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r>
        <w:t xml:space="preserve"/>
      </w:r>
    </w:p>
    <w:p>
      <w:pPr>
        <w:spacing w:after="80" w:before="0"/>
        <w:jc w:val="center"/>
      </w:pPr>
      <w:r>
        <w:rPr>
          <w:rFonts w:ascii="Arial" w:cs="Arial" w:eastAsia="Arial" w:hAnsi="Arial"/>
          <w:b/>
          <w:bCs/>
          <w:color w:val="1B6EC2"/>
          <w:sz w:val="72"/>
          <w:szCs w:val="72"/>
        </w:rPr>
        <w:t xml:space="preserve">MITANEKO</w:t>
      </w:r>
    </w:p>
    <w:p>
      <w:pPr>
        <w:spacing w:after="300" w:before="0"/>
        <w:jc w:val="center"/>
      </w:pPr>
      <w:r>
        <w:rPr>
          <w:rFonts w:ascii="Arial" w:cs="Arial" w:eastAsia="Arial" w:hAnsi="Arial"/>
          <w:i/>
          <w:iCs/>
          <w:color w:val="E8670A"/>
          <w:sz w:val="26"/>
          <w:szCs w:val="26"/>
        </w:rPr>
        <w:t xml:space="preserve">Quand chaque habitant devient acteur de son quartier</w:t>
      </w:r>
    </w:p>
    <w:p>
      <w:pPr>
        <w:pBdr>
          <w:top w:val="single" w:color="1B6EC2" w:sz="8"/>
          <w:bottom w:val="single" w:color="1B6EC2" w:sz="8"/>
        </w:pBdr>
        <w:spacing w:after="200" w:before="200"/>
        <w:jc w:val="center"/>
      </w:pPr>
      <w:r>
        <w:rPr>
          <w:rFonts w:ascii="Arial" w:cs="Arial" w:eastAsia="Arial" w:hAnsi="Arial"/>
          <w:b/>
          <w:bCs/>
          <w:color w:val="FFFFFF"/>
          <w:sz w:val="40"/>
          <w:szCs w:val="40"/>
        </w:rPr>
        <w:t xml:space="preserve">CAHIER DES CHARGES</w:t>
      </w:r>
    </w:p>
    <w:p>
      <w:pPr>
        <w:spacing w:after="100" w:before="200"/>
      </w:pPr>
      <w:r>
        <w:t xml:space="preserve"/>
      </w:r>
    </w:p>
    <w:p>
      <w:pPr>
        <w:spacing w:after="40" w:before="0"/>
        <w:jc w:val="center"/>
      </w:pPr>
      <w:r>
        <w:rPr>
          <w:rFonts w:ascii="Arial" w:cs="Arial" w:eastAsia="Arial" w:hAnsi="Arial"/>
          <w:b/>
          <w:bCs/>
          <w:color w:val="666666"/>
          <w:sz w:val="22"/>
          <w:szCs w:val="22"/>
        </w:rPr>
        <w:t xml:space="preserve">Orange Digital Center — Programme POESAM 2026</w:t>
      </w:r>
    </w:p>
    <w:p>
      <w:pPr>
        <w:spacing w:after="400" w:before="0"/>
        <w:jc w:val="center"/>
      </w:pPr>
      <w:r>
        <w:rPr>
          <w:rFonts w:ascii="Arial" w:cs="Arial" w:eastAsia="Arial" w:hAnsi="Arial"/>
          <w:i/>
          <w:iCs/>
          <w:color w:val="666666"/>
          <w:sz w:val="20"/>
          <w:szCs w:val="20"/>
        </w:rPr>
        <w:t xml:space="preserve">Dossier de candidature officiel</w:t>
      </w:r>
    </w:p>
    <w:p>
      <w:pPr>
        <w:spacing w:after="1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tcPr>
          <w:p>
            <w:r>
              <w:rPr>
                <w:rFonts w:ascii="Arial" w:cs="Arial" w:eastAsia="Arial" w:hAnsi="Arial"/>
                <w:b/>
                <w:bCs/>
                <w:color w:val="1B6EC2"/>
                <w:sz w:val="18"/>
                <w:szCs w:val="18"/>
              </w:rPr>
              <w:t xml:space="preserve">Porteur du projet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RASAMIMANANA Anna — CEO &amp; Fondatrice</w:t>
            </w:r>
          </w:p>
        </w:tc>
      </w:tr>
    </w:tbl>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tcPr>
          <w:p>
            <w:r>
              <w:rPr>
                <w:rFonts w:ascii="Arial" w:cs="Arial" w:eastAsia="Arial" w:hAnsi="Arial"/>
                <w:b/>
                <w:bCs/>
                <w:color w:val="1B6EC2"/>
                <w:sz w:val="18"/>
                <w:szCs w:val="18"/>
              </w:rPr>
              <w:t xml:space="preserve">CTO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ANDRIANARIJERY Toaviniaina Maharavo</w:t>
            </w:r>
          </w:p>
        </w:tc>
      </w:tr>
    </w:tbl>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tcPr>
          <w:p>
            <w:r>
              <w:rPr>
                <w:rFonts w:ascii="Arial" w:cs="Arial" w:eastAsia="Arial" w:hAnsi="Arial"/>
                <w:b/>
                <w:bCs/>
                <w:color w:val="1B6EC2"/>
                <w:sz w:val="18"/>
                <w:szCs w:val="18"/>
              </w:rPr>
              <w:t xml:space="preserve">Date de rédaction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Mai 2026</w:t>
            </w:r>
          </w:p>
        </w:tc>
      </w:tr>
    </w:tbl>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tcPr>
          <w:p>
            <w:r>
              <w:rPr>
                <w:rFonts w:ascii="Arial" w:cs="Arial" w:eastAsia="Arial" w:hAnsi="Arial"/>
                <w:b/>
                <w:bCs/>
                <w:color w:val="1B6EC2"/>
                <w:sz w:val="18"/>
                <w:szCs w:val="18"/>
              </w:rP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v1.0 — Document officiel de candidature</w:t>
            </w:r>
          </w:p>
        </w:tc>
      </w:tr>
    </w:tbl>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tcPr>
          <w:p>
            <w:r>
              <w:rPr>
                <w:rFonts w:ascii="Arial" w:cs="Arial" w:eastAsia="Arial" w:hAnsi="Arial"/>
                <w:b/>
                <w:bCs/>
                <w:color w:val="1B6EC2"/>
                <w:sz w:val="18"/>
                <w:szCs w:val="18"/>
              </w:rPr>
              <w:t xml:space="preserve">Statut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En cours de développement — Phase pilote</w:t>
            </w:r>
          </w:p>
        </w:tc>
      </w:tr>
    </w:tbl>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tcPr>
          <w:p>
            <w:r>
              <w:rPr>
                <w:rFonts w:ascii="Arial" w:cs="Arial" w:eastAsia="Arial" w:hAnsi="Arial"/>
                <w:b/>
                <w:bCs/>
                <w:color w:val="1B6EC2"/>
                <w:sz w:val="18"/>
                <w:szCs w:val="18"/>
              </w:rPr>
              <w:t xml:space="preserve">Secteur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Civic Tech / GovTech / Impact Social</w:t>
            </w:r>
          </w:p>
        </w:tc>
      </w:tr>
    </w:tbl>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tcPr>
          <w:p>
            <w:r>
              <w:rPr>
                <w:rFonts w:ascii="Arial" w:cs="Arial" w:eastAsia="Arial" w:hAnsi="Arial"/>
                <w:b/>
                <w:bCs/>
                <w:color w:val="1B6EC2"/>
                <w:sz w:val="18"/>
                <w:szCs w:val="18"/>
              </w:rPr>
              <w:t xml:space="preserve">Marché cible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Madagascar (Phase 1) → Afrique francophone (Phase 2+)</w:t>
            </w:r>
          </w:p>
        </w:tc>
      </w:tr>
    </w:tbl>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1. Présentation Générale du Projet</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1.1 Contexte et Problématique</w:t>
      </w:r>
    </w:p>
    <w:p>
      <w:pPr>
        <w:spacing w:after="100" w:before="100" w:line="276"/>
        <w:jc w:val="both"/>
      </w:pPr>
      <w:r>
        <w:rPr>
          <w:rFonts w:ascii="Arial" w:cs="Arial" w:eastAsia="Arial" w:hAnsi="Arial"/>
          <w:color w:val="333333"/>
          <w:sz w:val="20"/>
          <w:szCs w:val="20"/>
        </w:rPr>
        <w:t xml:space="preserve">Madagascar connaît une urbanisation rapide et croissante. Antananarivo et les grandes villes concentrent une population jeune, de plus en plus connectée, mais frustrée par l'absence d'outils pour agir sur leur environnement immédiat. Trois problèmes structurels persistent :</w:t>
      </w:r>
    </w:p>
    <w:p>
      <w:pPr>
        <w:spacing w:after="100" w:before="100"/>
      </w:pPr>
      <w:r>
        <w:t xml:space="preserve"/>
      </w:r>
    </w:p>
    <w:p>
      <w:pPr>
        <w:pStyle w:val="ListParagraph"/>
        <w:numPr>
          <w:ilvl w:val="0"/>
          <w:numId w:val="2"/>
        </w:numPr>
        <w:spacing w:after="60" w:before="60"/>
      </w:pPr>
      <w:r>
        <w:rPr>
          <w:rFonts w:ascii="Arial" w:cs="Arial" w:eastAsia="Arial" w:hAnsi="Arial"/>
          <w:color w:val="333333"/>
          <w:sz w:val="20"/>
          <w:szCs w:val="20"/>
        </w:rPr>
        <w:t xml:space="preserve">La pollution et l'insalubrité persistante des espaces publics</w:t>
      </w:r>
    </w:p>
    <w:p>
      <w:pPr>
        <w:pStyle w:val="ListParagraph"/>
        <w:numPr>
          <w:ilvl w:val="0"/>
          <w:numId w:val="2"/>
        </w:numPr>
        <w:spacing w:after="60" w:before="60"/>
      </w:pPr>
      <w:r>
        <w:rPr>
          <w:rFonts w:ascii="Arial" w:cs="Arial" w:eastAsia="Arial" w:hAnsi="Arial"/>
          <w:color w:val="333333"/>
          <w:sz w:val="20"/>
          <w:szCs w:val="20"/>
        </w:rPr>
        <w:t xml:space="preserve">L'insécurité dans des zones non surveillées ou mal éclairées</w:t>
      </w:r>
    </w:p>
    <w:p>
      <w:pPr>
        <w:pStyle w:val="ListParagraph"/>
        <w:numPr>
          <w:ilvl w:val="0"/>
          <w:numId w:val="2"/>
        </w:numPr>
        <w:spacing w:after="60" w:before="60"/>
      </w:pPr>
      <w:r>
        <w:rPr>
          <w:rFonts w:ascii="Arial" w:cs="Arial" w:eastAsia="Arial" w:hAnsi="Arial"/>
          <w:color w:val="333333"/>
          <w:sz w:val="20"/>
          <w:szCs w:val="20"/>
        </w:rPr>
        <w:t xml:space="preserve">Un lien social fragilisé et un sentiment d'impuissance civique</w:t>
      </w:r>
    </w:p>
    <w:p>
      <w:pPr>
        <w:spacing w:after="100" w:before="100"/>
      </w:pPr>
      <w:r>
        <w:t xml:space="preserve"/>
      </w:r>
    </w:p>
    <w:p>
      <w:pPr>
        <w:spacing w:after="100" w:before="100" w:line="276"/>
        <w:jc w:val="both"/>
      </w:pPr>
      <w:r>
        <w:rPr>
          <w:rFonts w:ascii="Arial" w:cs="Arial" w:eastAsia="Arial" w:hAnsi="Arial"/>
          <w:color w:val="333333"/>
          <w:sz w:val="20"/>
          <w:szCs w:val="20"/>
        </w:rPr>
        <w:t xml:space="preserve">Ces difficultés ne manquent pas de volonté pour être résolues — elles manquent d'outil. MITANEKO naît pour combler ce vide.</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1.2 Description du Projet</w:t>
      </w:r>
    </w:p>
    <w:p>
      <w:pPr>
        <w:spacing w:after="100" w:before="100" w:line="276"/>
        <w:jc w:val="both"/>
      </w:pPr>
      <w:r>
        <w:rPr>
          <w:rFonts w:ascii="Arial" w:cs="Arial" w:eastAsia="Arial" w:hAnsi="Arial"/>
          <w:color w:val="333333"/>
          <w:sz w:val="20"/>
          <w:szCs w:val="20"/>
        </w:rPr>
        <w:t xml:space="preserve">MITANEKO est une plateforme numérique participative conçue pour transformer les habitants des quartiers urbains en acteurs réels de leur cadre de vie. L'application mobile (iOS &amp; Android) et l'interface web légère permettent à chaque citoyen de :</w:t>
      </w:r>
    </w:p>
    <w:p>
      <w:pPr>
        <w:spacing w:after="100" w:before="100"/>
      </w:pPr>
      <w:r>
        <w:t xml:space="preserve"/>
      </w:r>
    </w:p>
    <w:p>
      <w:pPr>
        <w:pStyle w:val="ListParagraph"/>
        <w:numPr>
          <w:ilvl w:val="0"/>
          <w:numId w:val="2"/>
        </w:numPr>
        <w:spacing w:after="60" w:before="60"/>
      </w:pPr>
      <w:r>
        <w:rPr>
          <w:rFonts w:ascii="Arial" w:cs="Arial" w:eastAsia="Arial" w:hAnsi="Arial"/>
          <w:color w:val="333333"/>
          <w:sz w:val="20"/>
          <w:szCs w:val="20"/>
        </w:rPr>
        <w:t xml:space="preserve">Signaler un problème géolocalisé avec photo</w:t>
      </w:r>
    </w:p>
    <w:p>
      <w:pPr>
        <w:pStyle w:val="ListParagraph"/>
        <w:numPr>
          <w:ilvl w:val="0"/>
          <w:numId w:val="2"/>
        </w:numPr>
        <w:spacing w:after="60" w:before="60"/>
      </w:pPr>
      <w:r>
        <w:rPr>
          <w:rFonts w:ascii="Arial" w:cs="Arial" w:eastAsia="Arial" w:hAnsi="Arial"/>
          <w:color w:val="333333"/>
          <w:sz w:val="20"/>
          <w:szCs w:val="20"/>
        </w:rPr>
        <w:t xml:space="preserve">Voter pour les priorités de son quartier</w:t>
      </w:r>
    </w:p>
    <w:p>
      <w:pPr>
        <w:pStyle w:val="ListParagraph"/>
        <w:numPr>
          <w:ilvl w:val="0"/>
          <w:numId w:val="2"/>
        </w:numPr>
        <w:spacing w:after="60" w:before="60"/>
      </w:pPr>
      <w:r>
        <w:rPr>
          <w:rFonts w:ascii="Arial" w:cs="Arial" w:eastAsia="Arial" w:hAnsi="Arial"/>
          <w:color w:val="333333"/>
          <w:sz w:val="20"/>
          <w:szCs w:val="20"/>
        </w:rPr>
        <w:t xml:space="preserve">Suivre les actions menées en temps réel</w:t>
      </w:r>
    </w:p>
    <w:p>
      <w:pPr>
        <w:pStyle w:val="ListParagraph"/>
        <w:numPr>
          <w:ilvl w:val="0"/>
          <w:numId w:val="2"/>
        </w:numPr>
        <w:spacing w:after="60" w:before="60"/>
      </w:pPr>
      <w:r>
        <w:rPr>
          <w:rFonts w:ascii="Arial" w:cs="Arial" w:eastAsia="Arial" w:hAnsi="Arial"/>
          <w:color w:val="333333"/>
          <w:sz w:val="20"/>
          <w:szCs w:val="20"/>
        </w:rPr>
        <w:t xml:space="preserve">S'organiser collectivement autour de projets communs</w:t>
      </w:r>
    </w:p>
    <w:p>
      <w:pPr>
        <w:spacing w:after="100" w:before="100"/>
      </w:pPr>
      <w:r>
        <w:t xml:space="preserve"/>
      </w:r>
    </w:p>
    <w:p>
      <w:pPr>
        <w:spacing w:after="100" w:before="100" w:line="276"/>
        <w:jc w:val="both"/>
      </w:pPr>
      <w:r>
        <w:rPr>
          <w:rFonts w:ascii="Arial" w:cs="Arial" w:eastAsia="Arial" w:hAnsi="Arial"/>
          <w:color w:val="333333"/>
          <w:sz w:val="20"/>
          <w:szCs w:val="20"/>
        </w:rPr>
        <w:t xml:space="preserve">Ce qui rend MITANEKO unique est sa boucle complète : Signal → Vote → Action → Suivi. Pas seulement signaler, mais décider, agir et voir les résultats de manière transparente et mesurable.</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1.3 Vision et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Vision</w:t>
            </w:r>
          </w:p>
        </w:tc>
        <w:tc>
          <w:tcPr>
            <w:tcW w:type="dxa" w:w="468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Mission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Devenir l'infrastructure de gouvernance participative de référence dans les villes africaines en développement.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Donner à chaque citoyen malgache un outil simple et accessible pour améliorer concrètement son quartier.</w:t>
            </w:r>
          </w:p>
        </w:tc>
      </w:tr>
    </w:tbl>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2. Objectifs du Projet</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2.1 Objectifs Généraux</w:t>
      </w:r>
    </w:p>
    <w:p>
      <w:pPr>
        <w:pStyle w:val="ListParagraph"/>
        <w:numPr>
          <w:ilvl w:val="0"/>
          <w:numId w:val="2"/>
        </w:numPr>
        <w:spacing w:after="60" w:before="60"/>
      </w:pPr>
      <w:r>
        <w:rPr>
          <w:rFonts w:ascii="Arial" w:cs="Arial" w:eastAsia="Arial" w:hAnsi="Arial"/>
          <w:color w:val="333333"/>
          <w:sz w:val="20"/>
          <w:szCs w:val="20"/>
        </w:rPr>
        <w:t xml:space="preserve">Déployer une solution civic tech localement adaptée à Madagascar</w:t>
      </w:r>
    </w:p>
    <w:p>
      <w:pPr>
        <w:pStyle w:val="ListParagraph"/>
        <w:numPr>
          <w:ilvl w:val="0"/>
          <w:numId w:val="2"/>
        </w:numPr>
        <w:spacing w:after="60" w:before="60"/>
      </w:pPr>
      <w:r>
        <w:rPr>
          <w:rFonts w:ascii="Arial" w:cs="Arial" w:eastAsia="Arial" w:hAnsi="Arial"/>
          <w:color w:val="333333"/>
          <w:sz w:val="20"/>
          <w:szCs w:val="20"/>
        </w:rPr>
        <w:t xml:space="preserve">Améliorer la qualité de vie dans les quartiers urbains malgaches</w:t>
      </w:r>
    </w:p>
    <w:p>
      <w:pPr>
        <w:pStyle w:val="ListParagraph"/>
        <w:numPr>
          <w:ilvl w:val="0"/>
          <w:numId w:val="2"/>
        </w:numPr>
        <w:spacing w:after="60" w:before="60"/>
      </w:pPr>
      <w:r>
        <w:rPr>
          <w:rFonts w:ascii="Arial" w:cs="Arial" w:eastAsia="Arial" w:hAnsi="Arial"/>
          <w:color w:val="333333"/>
          <w:sz w:val="20"/>
          <w:szCs w:val="20"/>
        </w:rPr>
        <w:t xml:space="preserve">Créer un modèle reproductible pour les villes africaines émergentes</w:t>
      </w:r>
    </w:p>
    <w:p>
      <w:pPr>
        <w:pStyle w:val="ListParagraph"/>
        <w:numPr>
          <w:ilvl w:val="0"/>
          <w:numId w:val="2"/>
        </w:numPr>
        <w:spacing w:after="60" w:before="60"/>
      </w:pPr>
      <w:r>
        <w:rPr>
          <w:rFonts w:ascii="Arial" w:cs="Arial" w:eastAsia="Arial" w:hAnsi="Arial"/>
          <w:color w:val="333333"/>
          <w:sz w:val="20"/>
          <w:szCs w:val="20"/>
        </w:rPr>
        <w:t xml:space="preserve">Générer un impact social, environnemental et sécuritaire mesurable</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2.2 Objectifs Spécifiques — Phase Pilote (An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Objectif spécifique</w:t>
            </w:r>
          </w:p>
        </w:tc>
        <w:tc>
          <w:tcPr>
            <w:tcW w:type="dxa" w:w="43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Indicateur cible</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Lancer la plateforme sur 1 quartier pilote à Antananarivo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 commune partenaire — Mois 1 à 6</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Recruter et activer les premiers utilisateurs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&gt; 300 utilisateurs actifs mensuels</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Traiter les signalements citoyens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&gt; 500 signalements traités en 6 mois</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Atteindre un taux de résolution satisfaisant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&gt; 60% des signalements résolus</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Réduire les déchets non traités dans les zones couvertes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- 40% en fin de pilote</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Organiser des événements communautaires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&gt; 5 événements en 6 mois</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Satisfaire les communes partenaires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Score &gt; 4/5 en enquête de satisfaction</w:t>
            </w:r>
          </w:p>
        </w:tc>
      </w:tr>
    </w:tbl>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3. Périmètre Fonctionnel</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3.1 Fonctionnalités Principales</w:t>
      </w:r>
    </w:p>
    <w:p>
      <w:pPr>
        <w:spacing w:after="100" w:before="100"/>
      </w:pPr>
      <w:r>
        <w:t xml:space="preserve"/>
      </w:r>
    </w:p>
    <w:p>
      <w:pPr>
        <w:pStyle w:val="Heading3"/>
        <w:spacing w:after="100" w:before="200"/>
      </w:pPr>
      <w:r>
        <w:rPr>
          <w:rFonts w:ascii="Arial" w:cs="Arial" w:eastAsia="Arial" w:hAnsi="Arial"/>
          <w:b/>
          <w:bCs/>
          <w:color w:val="333333"/>
          <w:sz w:val="22"/>
          <w:szCs w:val="22"/>
        </w:rPr>
        <w:t xml:space="preserve">3.1.1 Signalement Géolocalisé</w:t>
      </w:r>
    </w:p>
    <w:p>
      <w:pPr>
        <w:spacing w:after="100" w:before="100" w:line="276"/>
        <w:jc w:val="both"/>
      </w:pPr>
      <w:r>
        <w:rPr>
          <w:rFonts w:ascii="Arial" w:cs="Arial" w:eastAsia="Arial" w:hAnsi="Arial"/>
          <w:color w:val="333333"/>
          <w:sz w:val="20"/>
          <w:szCs w:val="20"/>
        </w:rPr>
        <w:t xml:space="preserve">Chaque habitant peut signaler un problème (déchets, nid-de-poule, zone dangereuse, etc.) depuis son smartphone. Le signalement est automatiquement géolocalisé sur la carte interactive et accompagné d'une photo pour constituer une preuve visuelle incontestable.</w:t>
      </w:r>
    </w:p>
    <w:p>
      <w:pPr>
        <w:spacing w:after="10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Catégorisation automatique du type de problème</w:t>
      </w:r>
    </w:p>
    <w:p>
      <w:pPr>
        <w:pStyle w:val="ListParagraph"/>
        <w:numPr>
          <w:ilvl w:val="0"/>
          <w:numId w:val="2"/>
        </w:numPr>
        <w:spacing w:after="60" w:before="60"/>
      </w:pPr>
      <w:r>
        <w:rPr>
          <w:rFonts w:ascii="Arial" w:cs="Arial" w:eastAsia="Arial" w:hAnsi="Arial"/>
          <w:color w:val="333333"/>
          <w:sz w:val="20"/>
          <w:szCs w:val="20"/>
        </w:rPr>
        <w:t xml:space="preserve">Géolocalisation précise via GPS</w:t>
      </w:r>
    </w:p>
    <w:p>
      <w:pPr>
        <w:pStyle w:val="ListParagraph"/>
        <w:numPr>
          <w:ilvl w:val="0"/>
          <w:numId w:val="2"/>
        </w:numPr>
        <w:spacing w:after="60" w:before="60"/>
      </w:pPr>
      <w:r>
        <w:rPr>
          <w:rFonts w:ascii="Arial" w:cs="Arial" w:eastAsia="Arial" w:hAnsi="Arial"/>
          <w:color w:val="333333"/>
          <w:sz w:val="20"/>
          <w:szCs w:val="20"/>
        </w:rPr>
        <w:t xml:space="preserve">Ajout de photos et description textuelle</w:t>
      </w:r>
    </w:p>
    <w:p>
      <w:pPr>
        <w:pStyle w:val="ListParagraph"/>
        <w:numPr>
          <w:ilvl w:val="0"/>
          <w:numId w:val="2"/>
        </w:numPr>
        <w:spacing w:after="60" w:before="60"/>
      </w:pPr>
      <w:r>
        <w:rPr>
          <w:rFonts w:ascii="Arial" w:cs="Arial" w:eastAsia="Arial" w:hAnsi="Arial"/>
          <w:color w:val="333333"/>
          <w:sz w:val="20"/>
          <w:szCs w:val="20"/>
        </w:rPr>
        <w:t xml:space="preserve">Fonctionnement hors-ligne partiel (synchronisation différée)</w:t>
      </w:r>
    </w:p>
    <w:p>
      <w:pPr>
        <w:spacing w:after="100" w:before="100"/>
      </w:pPr>
      <w:r>
        <w:t xml:space="preserve"/>
      </w:r>
    </w:p>
    <w:p>
      <w:pPr>
        <w:pStyle w:val="Heading3"/>
        <w:spacing w:after="100" w:before="200"/>
      </w:pPr>
      <w:r>
        <w:rPr>
          <w:rFonts w:ascii="Arial" w:cs="Arial" w:eastAsia="Arial" w:hAnsi="Arial"/>
          <w:b/>
          <w:bCs/>
          <w:color w:val="333333"/>
          <w:sz w:val="22"/>
          <w:szCs w:val="22"/>
        </w:rPr>
        <w:t xml:space="preserve">3.1.2 Carte Interactive Temps Réel</w:t>
      </w:r>
    </w:p>
    <w:p>
      <w:pPr>
        <w:spacing w:after="100" w:before="100" w:line="276"/>
        <w:jc w:val="both"/>
      </w:pPr>
      <w:r>
        <w:rPr>
          <w:rFonts w:ascii="Arial" w:cs="Arial" w:eastAsia="Arial" w:hAnsi="Arial"/>
          <w:color w:val="333333"/>
          <w:sz w:val="20"/>
          <w:szCs w:val="20"/>
        </w:rPr>
        <w:t xml:space="preserve">Une carte basée sur OpenStreetMap affiche tous les signalements actifs du quartier, leur statut (en attente / en cours / résolu) et les zones prioritaires identifiées par la communauté.</w:t>
      </w:r>
    </w:p>
    <w:p>
      <w:pPr>
        <w:spacing w:after="100" w:before="100"/>
      </w:pPr>
      <w:r>
        <w:t xml:space="preserve"/>
      </w:r>
    </w:p>
    <w:p>
      <w:pPr>
        <w:pStyle w:val="Heading3"/>
        <w:spacing w:after="100" w:before="200"/>
      </w:pPr>
      <w:r>
        <w:rPr>
          <w:rFonts w:ascii="Arial" w:cs="Arial" w:eastAsia="Arial" w:hAnsi="Arial"/>
          <w:b/>
          <w:bCs/>
          <w:color w:val="333333"/>
          <w:sz w:val="22"/>
          <w:szCs w:val="22"/>
        </w:rPr>
        <w:t xml:space="preserve">3.1.3 Vote et Priorisation Collective</w:t>
      </w:r>
    </w:p>
    <w:p>
      <w:pPr>
        <w:spacing w:after="100" w:before="100" w:line="276"/>
        <w:jc w:val="both"/>
      </w:pPr>
      <w:r>
        <w:rPr>
          <w:rFonts w:ascii="Arial" w:cs="Arial" w:eastAsia="Arial" w:hAnsi="Arial"/>
          <w:color w:val="333333"/>
          <w:sz w:val="20"/>
          <w:szCs w:val="20"/>
        </w:rPr>
        <w:t xml:space="preserve">Les habitants votent pour les problèmes qu'ils jugent les plus urgents. Ce mécanisme démocratique garantit que les décisions viennent du terrain et non d'en haut. Les élus locaux disposent d'une vision agrégée des priorités réelles.</w:t>
      </w:r>
    </w:p>
    <w:p>
      <w:pPr>
        <w:spacing w:after="100" w:before="100"/>
      </w:pPr>
      <w:r>
        <w:t xml:space="preserve"/>
      </w:r>
    </w:p>
    <w:p>
      <w:pPr>
        <w:pStyle w:val="Heading3"/>
        <w:spacing w:after="100" w:before="200"/>
      </w:pPr>
      <w:r>
        <w:rPr>
          <w:rFonts w:ascii="Arial" w:cs="Arial" w:eastAsia="Arial" w:hAnsi="Arial"/>
          <w:b/>
          <w:bCs/>
          <w:color w:val="333333"/>
          <w:sz w:val="22"/>
          <w:szCs w:val="22"/>
        </w:rPr>
        <w:t xml:space="preserve">3.1.4 Suivi des Actions</w:t>
      </w:r>
    </w:p>
    <w:p>
      <w:pPr>
        <w:spacing w:after="100" w:before="100" w:line="276"/>
        <w:jc w:val="both"/>
      </w:pPr>
      <w:r>
        <w:rPr>
          <w:rFonts w:ascii="Arial" w:cs="Arial" w:eastAsia="Arial" w:hAnsi="Arial"/>
          <w:color w:val="333333"/>
          <w:sz w:val="20"/>
          <w:szCs w:val="20"/>
        </w:rPr>
        <w:t xml:space="preserve">Chaque signalement dispose d'un statut mis à jour en temps réel : En attente → En cours → Résolu. Les citoyens reçoivent une notification dès qu'une action est engagée sur un problème qu'ils ont signalé ou soutenu.</w:t>
      </w:r>
    </w:p>
    <w:p>
      <w:pPr>
        <w:spacing w:after="100" w:before="100"/>
      </w:pPr>
      <w:r>
        <w:t xml:space="preserve"/>
      </w:r>
    </w:p>
    <w:p>
      <w:pPr>
        <w:pStyle w:val="Heading3"/>
        <w:spacing w:after="100" w:before="200"/>
      </w:pPr>
      <w:r>
        <w:rPr>
          <w:rFonts w:ascii="Arial" w:cs="Arial" w:eastAsia="Arial" w:hAnsi="Arial"/>
          <w:b/>
          <w:bCs/>
          <w:color w:val="333333"/>
          <w:sz w:val="22"/>
          <w:szCs w:val="22"/>
        </w:rPr>
        <w:t xml:space="preserve">3.1.5 Espace Communautaire</w:t>
      </w:r>
    </w:p>
    <w:p>
      <w:pPr>
        <w:spacing w:after="100" w:before="100" w:line="276"/>
        <w:jc w:val="both"/>
      </w:pPr>
      <w:r>
        <w:rPr>
          <w:rFonts w:ascii="Arial" w:cs="Arial" w:eastAsia="Arial" w:hAnsi="Arial"/>
          <w:color w:val="333333"/>
          <w:sz w:val="20"/>
          <w:szCs w:val="20"/>
        </w:rPr>
        <w:t xml:space="preserve">Un espace de discussion et d'organisation permet aux habitants de proposer des initiatives collectives, de s'organiser pour des nettoyages, des événements citoyens, ou de relayer des informations importantes.</w:t>
      </w:r>
    </w:p>
    <w:p>
      <w:pPr>
        <w:spacing w:after="100" w:before="100"/>
      </w:pPr>
      <w:r>
        <w:t xml:space="preserve"/>
      </w:r>
    </w:p>
    <w:p>
      <w:pPr>
        <w:pStyle w:val="Heading3"/>
        <w:spacing w:after="100" w:before="200"/>
      </w:pPr>
      <w:r>
        <w:rPr>
          <w:rFonts w:ascii="Arial" w:cs="Arial" w:eastAsia="Arial" w:hAnsi="Arial"/>
          <w:b/>
          <w:bCs/>
          <w:color w:val="333333"/>
          <w:sz w:val="22"/>
          <w:szCs w:val="22"/>
        </w:rPr>
        <w:t xml:space="preserve">3.1.6 Tableau de Bord Commune</w:t>
      </w:r>
    </w:p>
    <w:p>
      <w:pPr>
        <w:spacing w:after="100" w:before="100" w:line="276"/>
        <w:jc w:val="both"/>
      </w:pPr>
      <w:r>
        <w:rPr>
          <w:rFonts w:ascii="Arial" w:cs="Arial" w:eastAsia="Arial" w:hAnsi="Arial"/>
          <w:color w:val="333333"/>
          <w:sz w:val="20"/>
          <w:szCs w:val="20"/>
        </w:rPr>
        <w:t xml:space="preserve">Les élus et agents municipaux disposent d'une interface dédiée offrant une vue agrégée des zones critiques, des tendances temporelles, des KPIs d'impact et des données exploitables pour optimiser l'allocation des ressources.</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3.2 Récapitulatif Fonctionnel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Fonctionnalité</w:t>
            </w:r>
          </w:p>
        </w:tc>
        <w:tc>
          <w:tcPr>
            <w:tcW w:type="dxa" w:w="3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Utilisateur cible</w:t>
            </w:r>
          </w:p>
        </w:tc>
        <w:tc>
          <w:tcPr>
            <w:tcW w:type="dxa" w:w="33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Valeur apportée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Signalement géolocalisé + photo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Citoyen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Preuves visuelles, aucun problème ignoré</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Carte interactive temps réel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Citoyen / Commune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Vision partagée de l'état du quartier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Vote &amp; priorisation collective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Citoyen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Démocratie locale concrète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Suivi des actions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Citoyen / Commune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Transparence totale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Espace communautaire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Citoyen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Lien social, organisation collective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Tableau de bord commune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Élus / Agents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Aide à la décision, KPIs mesurables</w:t>
            </w:r>
          </w:p>
        </w:tc>
      </w:tr>
    </w:tbl>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4. Architecture Technique</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4.1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Couche</w:t>
            </w:r>
          </w:p>
        </w:tc>
        <w:tc>
          <w:tcPr>
            <w:tcW w:type="dxa" w:w="33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Technologie</w:t>
            </w:r>
          </w:p>
        </w:tc>
        <w:tc>
          <w:tcPr>
            <w:tcW w:type="dxa" w:w="35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Justification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Frontend Mobile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React Native (iOS &amp; Android)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Codebase unique, performance native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Interface Web</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React.js (tableau de bord communes)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Légèreté, accessibilité web</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Backend / API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Node.js + API REST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Scalabilité, rapidité</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Base de données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Firebase / Firestore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Temps réel, synchronisation offline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Cartographie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OpenStreetMap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Open source, adapté Afrique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Notifications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Firebase Cloud Messaging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Push notifications fiables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Infrastructure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Cloud (Firebase hosting)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Coût maîtrisé, scalable</w:t>
            </w:r>
          </w:p>
        </w:tc>
      </w:tr>
    </w:tbl>
    <w:p>
      <w:pPr>
        <w:spacing w:after="100" w:before="100"/>
      </w:pPr>
      <w:r>
        <w:t xml:space="preserve"/>
      </w:r>
    </w:p>
    <w:p>
      <w:pPr>
        <w:pStyle w:val="Heading2"/>
        <w:spacing w:after="160" w:before="300"/>
      </w:pPr>
      <w:r>
        <w:rPr>
          <w:rFonts w:ascii="Arial" w:cs="Arial" w:eastAsia="Arial" w:hAnsi="Arial"/>
          <w:b/>
          <w:bCs/>
          <w:color w:val="E8670A"/>
          <w:sz w:val="24"/>
          <w:szCs w:val="24"/>
        </w:rPr>
        <w:t xml:space="preserve">4.2 Contraintes Techniques</w:t>
      </w:r>
    </w:p>
    <w:p>
      <w:pPr>
        <w:pStyle w:val="ListParagraph"/>
        <w:numPr>
          <w:ilvl w:val="0"/>
          <w:numId w:val="2"/>
        </w:numPr>
        <w:spacing w:after="60" w:before="60"/>
      </w:pPr>
      <w:r>
        <w:rPr>
          <w:rFonts w:ascii="Arial" w:cs="Arial" w:eastAsia="Arial" w:hAnsi="Arial"/>
          <w:color w:val="333333"/>
          <w:sz w:val="20"/>
          <w:szCs w:val="20"/>
        </w:rPr>
        <w:t xml:space="preserve">Connectivité limitée : fonctionnement hors-ligne partiel (mode dégradé avec synchronisation différée)</w:t>
      </w:r>
    </w:p>
    <w:p>
      <w:pPr>
        <w:pStyle w:val="ListParagraph"/>
        <w:numPr>
          <w:ilvl w:val="0"/>
          <w:numId w:val="2"/>
        </w:numPr>
        <w:spacing w:after="60" w:before="60"/>
      </w:pPr>
      <w:r>
        <w:rPr>
          <w:rFonts w:ascii="Arial" w:cs="Arial" w:eastAsia="Arial" w:hAnsi="Arial"/>
          <w:color w:val="333333"/>
          <w:sz w:val="20"/>
          <w:szCs w:val="20"/>
        </w:rPr>
        <w:t xml:space="preserve">Compatibilité large gamme de smartphones : optimisation pour appareils d'entrée de gamme</w:t>
      </w:r>
    </w:p>
    <w:p>
      <w:pPr>
        <w:pStyle w:val="ListParagraph"/>
        <w:numPr>
          <w:ilvl w:val="0"/>
          <w:numId w:val="2"/>
        </w:numPr>
        <w:spacing w:after="60" w:before="60"/>
      </w:pPr>
      <w:r>
        <w:rPr>
          <w:rFonts w:ascii="Arial" w:cs="Arial" w:eastAsia="Arial" w:hAnsi="Arial"/>
          <w:color w:val="333333"/>
          <w:sz w:val="20"/>
          <w:szCs w:val="20"/>
        </w:rPr>
        <w:t xml:space="preserve">Interface simple et visuelle : accessible sans formation, pensée pour une adoption rapide</w:t>
      </w:r>
    </w:p>
    <w:p>
      <w:pPr>
        <w:pStyle w:val="ListParagraph"/>
        <w:numPr>
          <w:ilvl w:val="0"/>
          <w:numId w:val="2"/>
        </w:numPr>
        <w:spacing w:after="60" w:before="60"/>
      </w:pPr>
      <w:r>
        <w:rPr>
          <w:rFonts w:ascii="Arial" w:cs="Arial" w:eastAsia="Arial" w:hAnsi="Arial"/>
          <w:color w:val="333333"/>
          <w:sz w:val="20"/>
          <w:szCs w:val="20"/>
        </w:rPr>
        <w:t xml:space="preserve">Sécurité des données : authentification sécurisée, protection des données personnelles des citoyens</w:t>
      </w:r>
    </w:p>
    <w:p>
      <w:pPr>
        <w:pStyle w:val="ListParagraph"/>
        <w:numPr>
          <w:ilvl w:val="0"/>
          <w:numId w:val="2"/>
        </w:numPr>
        <w:spacing w:after="60" w:before="60"/>
      </w:pPr>
      <w:r>
        <w:rPr>
          <w:rFonts w:ascii="Arial" w:cs="Arial" w:eastAsia="Arial" w:hAnsi="Arial"/>
          <w:color w:val="333333"/>
          <w:sz w:val="20"/>
          <w:szCs w:val="20"/>
        </w:rPr>
        <w:t xml:space="preserve">Performance : temps de chargement &lt; 3 secondes même en 3G</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4.3 Exigences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Exigence</w:t>
            </w:r>
          </w:p>
        </w:tc>
        <w:tc>
          <w:tcPr>
            <w:tcW w:type="dxa" w:w="468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Valeur cible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Disponibilité de la plateforme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&gt; 99% (hors maintenance planifiée)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Temps de réponse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&lt; 2 secondes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Capacité simultanée (Phase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500 utilisateurs concurrents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Synchronisation hors-ligne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Dès reconnexion disponible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Taille de l'application mobile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&lt; 50 Mo</w:t>
            </w:r>
          </w:p>
        </w:tc>
      </w:tr>
    </w:tbl>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5. Modèle Économique</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5.1 Sources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Source</w:t>
            </w:r>
          </w:p>
        </w:tc>
        <w:tc>
          <w:tcPr>
            <w:tcW w:type="dxa" w:w="3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Modèle</w:t>
            </w:r>
          </w:p>
        </w:tc>
        <w:tc>
          <w:tcPr>
            <w:tcW w:type="dxa" w:w="35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Priorité</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Abonnements communes (B2G)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Licence SaaS annuelle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Levier principal de croissance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Partenariats ONG / projets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Co-financement projets ciblés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Phase 1 &amp; 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Subventions publiques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Programmes innovation urbaine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Phase 1 — financement démarrage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Sponsoring PME locales (RSE)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Visibilité communautaire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Levier secondaire Phase 2</w:t>
            </w:r>
          </w:p>
        </w:tc>
      </w:tr>
    </w:tbl>
    <w:p>
      <w:pPr>
        <w:spacing w:after="100" w:before="100"/>
      </w:pPr>
      <w:r>
        <w:t xml:space="preserve"/>
      </w:r>
    </w:p>
    <w:p>
      <w:pPr>
        <w:pStyle w:val="Heading2"/>
        <w:spacing w:after="160" w:before="300"/>
      </w:pPr>
      <w:r>
        <w:rPr>
          <w:rFonts w:ascii="Arial" w:cs="Arial" w:eastAsia="Arial" w:hAnsi="Arial"/>
          <w:b/>
          <w:bCs/>
          <w:color w:val="E8670A"/>
          <w:sz w:val="24"/>
          <w:szCs w:val="24"/>
        </w:rPr>
        <w:t xml:space="preserve">5.2 Projections Financières sur 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Indicateur</w:t>
            </w:r>
          </w:p>
        </w:tc>
        <w:tc>
          <w:tcPr>
            <w:tcW w:type="dxa" w:w="212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Année 1</w:t>
            </w:r>
          </w:p>
        </w:tc>
        <w:tc>
          <w:tcPr>
            <w:tcW w:type="dxa" w:w="212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Année 2</w:t>
            </w:r>
          </w:p>
        </w:tc>
        <w:tc>
          <w:tcPr>
            <w:tcW w:type="dxa" w:w="212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Année 3</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Investissements initiaux</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1 200 000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700 000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2 000 000 MGA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Coûts opérationnels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900 000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1 500 000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2 700 000 MGA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Total charges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2 100 000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2 200 000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4 700 000 MGA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Revenus — Abonnements communes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800 000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2 000 000 MGA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Revenus — Subventions / ONG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200 000 MGA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Total revenus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300 000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1 000 000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2 200 000 MGA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33333"/>
                <w:sz w:val="18"/>
                <w:szCs w:val="18"/>
              </w:rPr>
              <w:t xml:space="preserve">Résultat net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33333"/>
                <w:sz w:val="18"/>
                <w:szCs w:val="18"/>
              </w:rPr>
              <w:t xml:space="preserve">- 1 800 000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33333"/>
                <w:sz w:val="18"/>
                <w:szCs w:val="18"/>
              </w:rPr>
              <w:t xml:space="preserve">- 1 200 000 MGA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33333"/>
                <w:sz w:val="18"/>
                <w:szCs w:val="18"/>
              </w:rPr>
              <w:t xml:space="preserve">- 2 500 000 MGA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Communes partenaires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10+</w:t>
            </w:r>
          </w:p>
        </w:tc>
      </w:tr>
    </w:tbl>
    <w:p>
      <w:pPr>
        <w:spacing w:after="100" w:before="100"/>
      </w:pPr>
      <w:r>
        <w:t xml:space="preserve"/>
      </w:r>
    </w:p>
    <w:p>
      <w:pPr>
        <w:pStyle w:val="Heading2"/>
        <w:spacing w:after="160" w:before="300"/>
      </w:pPr>
      <w:r>
        <w:rPr>
          <w:rFonts w:ascii="Arial" w:cs="Arial" w:eastAsia="Arial" w:hAnsi="Arial"/>
          <w:b/>
          <w:bCs/>
          <w:color w:val="E8670A"/>
          <w:sz w:val="24"/>
          <w:szCs w:val="24"/>
        </w:rPr>
        <w:t xml:space="preserve">5.3 Répartition des Coûts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Poste de dépense</w:t>
            </w:r>
          </w:p>
        </w:tc>
        <w:tc>
          <w:tcPr>
            <w:tcW w:type="dxa" w:w="2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 Budget</w:t>
            </w:r>
          </w:p>
        </w:tc>
        <w:tc>
          <w:tcPr>
            <w:tcW w:type="dxa" w:w="53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Détail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Développement &amp;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App mobile, hébergement cloud, maintenance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Équipe &amp; RH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Salaires, freelances, formations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Marketing &amp; acquisition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Onboarding communes, communication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Opérations terrain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Partenariats, événements, coordination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Frais généraux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Administration, juridique, comptabilité</w:t>
            </w:r>
          </w:p>
        </w:tc>
      </w:tr>
    </w:tbl>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6. Plan de Déploiement</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6.1 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Phase</w:t>
            </w:r>
          </w:p>
        </w:tc>
        <w:tc>
          <w:tcPr>
            <w:tcW w:type="dxa" w:w="2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Période</w:t>
            </w:r>
          </w:p>
        </w:tc>
        <w:tc>
          <w:tcPr>
            <w:tcW w:type="dxa" w:w="3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Activités clés</w:t>
            </w:r>
          </w:p>
        </w:tc>
        <w:tc>
          <w:tcPr>
            <w:tcW w:type="dxa" w:w="25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Résultats attendus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Phase 1 — Pilote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Mois 1 –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 quartier pilote, 200 beta-testeurs, itérations produit rapides, mesure KPIs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Validation du modèle, 300 utilisateurs actifs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Phase 2 — Croissance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Mois 7 – 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3–4 communes partenaires, équipe commerciale B2G, partenariats ONG actifs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Première rentabilité partielle, modèle SaaS validé</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Phase 3 — Expansion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An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10+ communes nationales, déploiement Afrique francophone, franchise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Levée Série A, 50 communes, 500 000 citoyens acteurs</w:t>
            </w:r>
          </w:p>
        </w:tc>
      </w:tr>
    </w:tbl>
    <w:p>
      <w:pPr>
        <w:spacing w:after="100" w:before="100"/>
      </w:pPr>
      <w:r>
        <w:t xml:space="preserve"/>
      </w:r>
    </w:p>
    <w:p>
      <w:pPr>
        <w:pStyle w:val="Heading2"/>
        <w:spacing w:after="160" w:before="300"/>
      </w:pPr>
      <w:r>
        <w:rPr>
          <w:rFonts w:ascii="Arial" w:cs="Arial" w:eastAsia="Arial" w:hAnsi="Arial"/>
          <w:b/>
          <w:bCs/>
          <w:color w:val="E8670A"/>
          <w:sz w:val="24"/>
          <w:szCs w:val="24"/>
        </w:rPr>
        <w:t xml:space="preserve">6.2 Jalons Clés</w:t>
      </w:r>
    </w:p>
    <w:p>
      <w:pPr>
        <w:pStyle w:val="ListParagraph"/>
        <w:numPr>
          <w:ilvl w:val="0"/>
          <w:numId w:val="2"/>
        </w:numPr>
        <w:spacing w:after="60" w:before="60"/>
      </w:pPr>
      <w:r>
        <w:rPr>
          <w:rFonts w:ascii="Arial" w:cs="Arial" w:eastAsia="Arial" w:hAnsi="Arial"/>
          <w:color w:val="333333"/>
          <w:sz w:val="20"/>
          <w:szCs w:val="20"/>
        </w:rPr>
        <w:t xml:space="preserve">M1 : Signature convention avec commune pilote et lancement du recrutement beta</w:t>
      </w:r>
    </w:p>
    <w:p>
      <w:pPr>
        <w:pStyle w:val="ListParagraph"/>
        <w:numPr>
          <w:ilvl w:val="0"/>
          <w:numId w:val="2"/>
        </w:numPr>
        <w:spacing w:after="60" w:before="60"/>
      </w:pPr>
      <w:r>
        <w:rPr>
          <w:rFonts w:ascii="Arial" w:cs="Arial" w:eastAsia="Arial" w:hAnsi="Arial"/>
          <w:color w:val="333333"/>
          <w:sz w:val="20"/>
          <w:szCs w:val="20"/>
        </w:rPr>
        <w:t xml:space="preserve">M2 : Déploiement version beta fermée auprès de 200 testeurs</w:t>
      </w:r>
    </w:p>
    <w:p>
      <w:pPr>
        <w:pStyle w:val="ListParagraph"/>
        <w:numPr>
          <w:ilvl w:val="0"/>
          <w:numId w:val="2"/>
        </w:numPr>
        <w:spacing w:after="60" w:before="60"/>
      </w:pPr>
      <w:r>
        <w:rPr>
          <w:rFonts w:ascii="Arial" w:cs="Arial" w:eastAsia="Arial" w:hAnsi="Arial"/>
          <w:color w:val="333333"/>
          <w:sz w:val="20"/>
          <w:szCs w:val="20"/>
        </w:rPr>
        <w:t xml:space="preserve">M3 : Première itération produit basée sur retours terrain</w:t>
      </w:r>
    </w:p>
    <w:p>
      <w:pPr>
        <w:pStyle w:val="ListParagraph"/>
        <w:numPr>
          <w:ilvl w:val="0"/>
          <w:numId w:val="2"/>
        </w:numPr>
        <w:spacing w:after="60" w:before="60"/>
      </w:pPr>
      <w:r>
        <w:rPr>
          <w:rFonts w:ascii="Arial" w:cs="Arial" w:eastAsia="Arial" w:hAnsi="Arial"/>
          <w:color w:val="333333"/>
          <w:sz w:val="20"/>
          <w:szCs w:val="20"/>
        </w:rPr>
        <w:t xml:space="preserve">M4 : Lancement public dans le quartier pilote</w:t>
      </w:r>
    </w:p>
    <w:p>
      <w:pPr>
        <w:pStyle w:val="ListParagraph"/>
        <w:numPr>
          <w:ilvl w:val="0"/>
          <w:numId w:val="2"/>
        </w:numPr>
        <w:spacing w:after="60" w:before="60"/>
      </w:pPr>
      <w:r>
        <w:rPr>
          <w:rFonts w:ascii="Arial" w:cs="Arial" w:eastAsia="Arial" w:hAnsi="Arial"/>
          <w:color w:val="333333"/>
          <w:sz w:val="20"/>
          <w:szCs w:val="20"/>
        </w:rPr>
        <w:t xml:space="preserve">M6 : Rapport d'impact pilote — présentation aux parties prenantes</w:t>
      </w:r>
    </w:p>
    <w:p>
      <w:pPr>
        <w:pStyle w:val="ListParagraph"/>
        <w:numPr>
          <w:ilvl w:val="0"/>
          <w:numId w:val="2"/>
        </w:numPr>
        <w:spacing w:after="60" w:before="60"/>
      </w:pPr>
      <w:r>
        <w:rPr>
          <w:rFonts w:ascii="Arial" w:cs="Arial" w:eastAsia="Arial" w:hAnsi="Arial"/>
          <w:color w:val="333333"/>
          <w:sz w:val="20"/>
          <w:szCs w:val="20"/>
        </w:rPr>
        <w:t xml:space="preserve">M9 : Signature de la 2ème et 3ème commune partenaire</w:t>
      </w:r>
    </w:p>
    <w:p>
      <w:pPr>
        <w:pStyle w:val="ListParagraph"/>
        <w:numPr>
          <w:ilvl w:val="0"/>
          <w:numId w:val="2"/>
        </w:numPr>
        <w:spacing w:after="60" w:before="60"/>
      </w:pPr>
      <w:r>
        <w:rPr>
          <w:rFonts w:ascii="Arial" w:cs="Arial" w:eastAsia="Arial" w:hAnsi="Arial"/>
          <w:color w:val="333333"/>
          <w:sz w:val="20"/>
          <w:szCs w:val="20"/>
        </w:rPr>
        <w:t xml:space="preserve">M12 : Atteinte de 1 000 utilisateurs actifs mensuels</w:t>
      </w:r>
    </w:p>
    <w:p>
      <w:pPr>
        <w:pStyle w:val="ListParagraph"/>
        <w:numPr>
          <w:ilvl w:val="0"/>
          <w:numId w:val="2"/>
        </w:numPr>
        <w:spacing w:after="60" w:before="60"/>
      </w:pPr>
      <w:r>
        <w:rPr>
          <w:rFonts w:ascii="Arial" w:cs="Arial" w:eastAsia="Arial" w:hAnsi="Arial"/>
          <w:color w:val="333333"/>
          <w:sz w:val="20"/>
          <w:szCs w:val="20"/>
        </w:rPr>
        <w:t xml:space="preserve">M18 : Premières discussions Série A</w:t>
      </w:r>
    </w:p>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7. Équipe de Management</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7.1 Composition de l'Équipe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Membre</w:t>
            </w:r>
          </w:p>
        </w:tc>
        <w:tc>
          <w:tcPr>
            <w:tcW w:type="dxa" w:w="18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Rôle</w:t>
            </w:r>
          </w:p>
        </w:tc>
        <w:tc>
          <w:tcPr>
            <w:tcW w:type="dxa" w:w="50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Compétences clés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RASAMIMANANA Anna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CEO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Vision stratégique, gestion de projet, leadership, pitch &amp; storytelling, négociation partenariats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ANDRIANARIJERY T. Maharavo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React Native, Node.js, Firebase, architecture API REST, sécurité applicative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RANDRIANIRINA Harena Eric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Dev Full Stack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React Native, JavaScript/TypeScript, OpenStreetMap, tests &amp; débogage, gestion Git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RATSIMBAZAFY Tonintsoa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Partenariats Terrain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Négociation collectivités, animation communautaire, gestion ONG, mobilisation citoyenne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RAJAOBELINA Yuan Irinah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Designer UX/UI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Figma, design mobile-first, accessibilité numérique, prototypage rapide, user research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RAKOTO Noel Pricio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Growth &amp; Com.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Réseaux sociaux, content marketing, gestion de communauté, événements, reporting impact</w:t>
            </w:r>
          </w:p>
        </w:tc>
      </w:tr>
    </w:tbl>
    <w:p>
      <w:pPr>
        <w:spacing w:after="100" w:before="100"/>
      </w:pPr>
      <w:r>
        <w:t xml:space="preserve"/>
      </w:r>
    </w:p>
    <w:p>
      <w:pPr>
        <w:pStyle w:val="Heading2"/>
        <w:spacing w:after="160" w:before="300"/>
      </w:pPr>
      <w:r>
        <w:rPr>
          <w:rFonts w:ascii="Arial" w:cs="Arial" w:eastAsia="Arial" w:hAnsi="Arial"/>
          <w:b/>
          <w:bCs/>
          <w:color w:val="E8670A"/>
          <w:sz w:val="24"/>
          <w:szCs w:val="24"/>
        </w:rPr>
        <w:t xml:space="preserve">7.2 Atouts de l'Équipe</w:t>
      </w:r>
    </w:p>
    <w:p>
      <w:pPr>
        <w:pStyle w:val="ListParagraph"/>
        <w:numPr>
          <w:ilvl w:val="0"/>
          <w:numId w:val="2"/>
        </w:numPr>
        <w:spacing w:after="60" w:before="60"/>
      </w:pPr>
      <w:r>
        <w:rPr>
          <w:rFonts w:ascii="Arial" w:cs="Arial" w:eastAsia="Arial" w:hAnsi="Arial"/>
          <w:color w:val="333333"/>
          <w:sz w:val="20"/>
          <w:szCs w:val="20"/>
        </w:rPr>
        <w:t xml:space="preserve">Connaissance terrain de Madagascar : équipe malgache, connaissance des quartiers, communes et enjeux locaux</w:t>
      </w:r>
    </w:p>
    <w:p>
      <w:pPr>
        <w:pStyle w:val="ListParagraph"/>
        <w:numPr>
          <w:ilvl w:val="0"/>
          <w:numId w:val="2"/>
        </w:numPr>
        <w:spacing w:after="60" w:before="60"/>
      </w:pPr>
      <w:r>
        <w:rPr>
          <w:rFonts w:ascii="Arial" w:cs="Arial" w:eastAsia="Arial" w:hAnsi="Arial"/>
          <w:color w:val="333333"/>
          <w:sz w:val="20"/>
          <w:szCs w:val="20"/>
        </w:rPr>
        <w:t xml:space="preserve">Complémentarité des profils : tech + terrain + design + business — toutes les dimensions couvertes</w:t>
      </w:r>
    </w:p>
    <w:p>
      <w:pPr>
        <w:pStyle w:val="ListParagraph"/>
        <w:numPr>
          <w:ilvl w:val="0"/>
          <w:numId w:val="2"/>
        </w:numPr>
        <w:spacing w:after="60" w:before="60"/>
      </w:pPr>
      <w:r>
        <w:rPr>
          <w:rFonts w:ascii="Arial" w:cs="Arial" w:eastAsia="Arial" w:hAnsi="Arial"/>
          <w:color w:val="333333"/>
          <w:sz w:val="20"/>
          <w:szCs w:val="20"/>
        </w:rPr>
        <w:t xml:space="preserve">Vision long terme partagée : ambition entrepreneuriale à impact, pas un projet académique</w:t>
      </w:r>
    </w:p>
    <w:p>
      <w:pPr>
        <w:pStyle w:val="ListParagraph"/>
        <w:numPr>
          <w:ilvl w:val="0"/>
          <w:numId w:val="2"/>
        </w:numPr>
        <w:spacing w:after="60" w:before="60"/>
      </w:pPr>
      <w:r>
        <w:rPr>
          <w:rFonts w:ascii="Arial" w:cs="Arial" w:eastAsia="Arial" w:hAnsi="Arial"/>
          <w:color w:val="333333"/>
          <w:sz w:val="20"/>
          <w:szCs w:val="20"/>
        </w:rPr>
        <w:t xml:space="preserve">Réseau local solide : connexions avec communes, ONG et acteurs numériques malgaches</w:t>
      </w:r>
    </w:p>
    <w:p>
      <w:pPr>
        <w:spacing w:after="100" w:before="100"/>
      </w:pPr>
      <w:r>
        <w:t xml:space="preserve"/>
      </w:r>
    </w:p>
    <w:p>
      <w:pPr>
        <w:spacing w:after="100" w:before="100" w:line="276"/>
        <w:jc w:val="both"/>
      </w:pPr>
      <w:r>
        <w:rPr>
          <w:rFonts w:ascii="Arial" w:cs="Arial" w:eastAsia="Arial" w:hAnsi="Arial"/>
          <w:i/>
          <w:iCs/>
          <w:color w:val="1B6EC2"/>
          <w:sz w:val="20"/>
          <w:szCs w:val="20"/>
        </w:rPr>
        <w:t xml:space="preserve">Notre force : nous ne construisons pas une solution pour Madagascar — nous la construisons avec Madagascar.</w:t>
      </w:r>
    </w:p>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8. Analyse de Marché</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8.1 Segments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Segment</w:t>
            </w:r>
          </w:p>
        </w:tc>
        <w:tc>
          <w:tcPr>
            <w:tcW w:type="dxa" w:w="63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Besoin / Intérêt stratégique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Communes &amp; mairies (B2G)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Outil de gestion urbaine participatif — abonnement annuel SaaS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Citoyens urbains (B2C)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Être entendus et agir concrètement — accès gratuit ou freemium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ONG environnementales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Co-financement de projets à impact mesurable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Établissements éducatifs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Éducation à la citoyenneté numérique active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PME locales (RSE)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Visibilité communautaire et engagement citoyen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Villes africaines émerg.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Marché secondaire scalable — franchise / SaaS régional</w:t>
            </w:r>
          </w:p>
        </w:tc>
      </w:tr>
    </w:tbl>
    <w:p>
      <w:pPr>
        <w:spacing w:after="100" w:before="100"/>
      </w:pPr>
      <w:r>
        <w:t xml:space="preserve"/>
      </w:r>
    </w:p>
    <w:p>
      <w:pPr>
        <w:pStyle w:val="Heading2"/>
        <w:spacing w:after="160" w:before="300"/>
      </w:pPr>
      <w:r>
        <w:rPr>
          <w:rFonts w:ascii="Arial" w:cs="Arial" w:eastAsia="Arial" w:hAnsi="Arial"/>
          <w:b/>
          <w:bCs/>
          <w:color w:val="E8670A"/>
          <w:sz w:val="24"/>
          <w:szCs w:val="24"/>
        </w:rPr>
        <w:t xml:space="preserve">8.2 Analyse Concurrentielle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Critère</w:t>
            </w:r>
          </w:p>
        </w:tc>
        <w:tc>
          <w:tcPr>
            <w:tcW w:type="dxa" w:w="169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CitySourced</w:t>
            </w:r>
          </w:p>
        </w:tc>
        <w:tc>
          <w:tcPr>
            <w:tcW w:type="dxa" w:w="169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Traffy Fondue</w:t>
            </w:r>
          </w:p>
        </w:tc>
        <w:tc>
          <w:tcPr>
            <w:tcW w:type="dxa" w:w="169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WhatsApp groupes</w:t>
            </w:r>
          </w:p>
        </w:tc>
        <w:tc>
          <w:tcPr>
            <w:tcW w:type="dxa" w:w="169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MITANEKO</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Signalement géolocalisé</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Vote communautaire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Suivi complet des actions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Boucle signal → suivi</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Organisation collective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Partiel</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Adapté Afrique émergente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Partiel</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Gratuit pour les citoyens</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w:t>
            </w:r>
          </w:p>
        </w:tc>
      </w:tr>
    </w:tbl>
    <w:p>
      <w:pPr>
        <w:spacing w:after="100" w:before="100"/>
      </w:pPr>
      <w:r>
        <w:t xml:space="preserve"/>
      </w:r>
    </w:p>
    <w:p>
      <w:pPr>
        <w:spacing w:after="100" w:before="100" w:line="276"/>
        <w:jc w:val="both"/>
      </w:pPr>
      <w:r>
        <w:rPr>
          <w:rFonts w:ascii="Arial" w:cs="Arial" w:eastAsia="Arial" w:hAnsi="Arial"/>
          <w:b/>
          <w:bCs/>
          <w:color w:val="1B6EC2"/>
          <w:sz w:val="20"/>
          <w:szCs w:val="20"/>
        </w:rPr>
        <w:t xml:space="preserve">MITANEKO est la seule solution à fermer la boucle complète — et la seule pensée nativement pour les villes africaines émergentes.</w:t>
      </w:r>
    </w:p>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9. Impact Sociétal et Contribution aux ODD</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9.1 Triple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Impact Environnemental</w:t>
            </w:r>
          </w:p>
        </w:tc>
        <w:tc>
          <w:tcPr>
            <w:tcW w:type="dxa" w:w="312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Impact Sécurité</w:t>
            </w:r>
          </w:p>
        </w:tc>
        <w:tc>
          <w:tcPr>
            <w:tcW w:type="dxa" w:w="312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Impact Social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Signalements rapides et géolocalisés des déchets. Nettoyages collectifs organisés. Zones insalubres cartographiées.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Cartographie des zones à risque. Vigilance collective activée. Priorisation de l'éclairage et sécurisation.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Lien social reconstruit. Événements communautaires. Citoyens acteurs, pas simples spectateurs.</w:t>
            </w:r>
          </w:p>
        </w:tc>
      </w:tr>
    </w:tbl>
    <w:p>
      <w:pPr>
        <w:spacing w:after="100" w:before="100"/>
      </w:pPr>
      <w:r>
        <w:t xml:space="preserve"/>
      </w:r>
    </w:p>
    <w:p>
      <w:pPr>
        <w:pStyle w:val="Heading2"/>
        <w:spacing w:after="160" w:before="300"/>
      </w:pPr>
      <w:r>
        <w:rPr>
          <w:rFonts w:ascii="Arial" w:cs="Arial" w:eastAsia="Arial" w:hAnsi="Arial"/>
          <w:b/>
          <w:bCs/>
          <w:color w:val="E8670A"/>
          <w:sz w:val="24"/>
          <w:szCs w:val="24"/>
        </w:rPr>
        <w:t xml:space="preserve">9.2 Contribution aux ODD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ODD</w:t>
            </w:r>
          </w:p>
        </w:tc>
        <w:tc>
          <w:tcPr>
            <w:tcW w:type="dxa" w:w="63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Lien avec MITANEKO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ODD 11 — Villes durables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Cœur de mission : quartiers plus sûrs, propres et inclusifs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ODD 16 — Institutions efficaces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Gouvernance participative, transparence, citoyenneté active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ODD 13 — Action climatique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Réduction pollution, gestion des déchets, mobilisation collective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ODD 10 — Inégalités réduites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Outil accessible à tous, donne une voix aux plus vulnérables</w:t>
            </w:r>
          </w:p>
        </w:tc>
      </w:tr>
    </w:tbl>
    <w:p>
      <w:pPr>
        <w:spacing w:after="100" w:before="100"/>
      </w:pPr>
      <w:r>
        <w:t xml:space="preserve"/>
      </w:r>
    </w:p>
    <w:p>
      <w:pPr>
        <w:pStyle w:val="Heading2"/>
        <w:spacing w:after="160" w:before="300"/>
      </w:pPr>
      <w:r>
        <w:rPr>
          <w:rFonts w:ascii="Arial" w:cs="Arial" w:eastAsia="Arial" w:hAnsi="Arial"/>
          <w:b/>
          <w:bCs/>
          <w:color w:val="E8670A"/>
          <w:sz w:val="24"/>
          <w:szCs w:val="24"/>
        </w:rPr>
        <w:t xml:space="preserve">9.3 Ambition à 5 Ans</w:t>
      </w:r>
    </w:p>
    <w:p>
      <w:pPr>
        <w:spacing w:after="100" w:before="100" w:line="276"/>
        <w:jc w:val="both"/>
      </w:pPr>
      <w:r>
        <w:rPr>
          <w:rFonts w:ascii="Arial" w:cs="Arial" w:eastAsia="Arial" w:hAnsi="Arial"/>
          <w:color w:val="333333"/>
          <w:sz w:val="20"/>
          <w:szCs w:val="20"/>
        </w:rPr>
        <w:t xml:space="preserve">À l'horizon 5 ans : 50 communes couvertes, 500 000 citoyens acteurs, un modèle entièrement reproductible dans toute l'Afrique francophone.</w:t>
      </w:r>
    </w:p>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10. Partenariats Stratégiques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Partenaire</w:t>
            </w:r>
          </w:p>
        </w:tc>
        <w:tc>
          <w:tcPr>
            <w:tcW w:type="dxa" w:w="30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Type</w:t>
            </w:r>
          </w:p>
        </w:tc>
        <w:tc>
          <w:tcPr>
            <w:tcW w:type="dxa" w:w="38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Rôle &amp; Valeur apportée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Orange Digital Center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Accompagnement &amp; Financement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Seed funding, réseau communes, crédibilité institutionnelle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Mairies &amp; communes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Clients B2G &amp; Terrain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Clients principaux, relais terrain, légitimité institutionnelle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ONG environnementales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Co-financement &amp; Mobilisation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Co-financement projets d'impact, mobilisation citoyenne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Universités malgaches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Recherche &amp; RH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Recherche, données terrain, ressources humaines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OpenStreetMap / Firebase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Infrastructure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Cartographie et cloud open source, coûts maîtrisés</w:t>
            </w:r>
          </w:p>
        </w:tc>
      </w:tr>
    </w:tbl>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11. Exigences Non Fonctionnelles</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11.1 Sécurité et Confidentialité</w:t>
      </w:r>
    </w:p>
    <w:p>
      <w:pPr>
        <w:pStyle w:val="ListParagraph"/>
        <w:numPr>
          <w:ilvl w:val="0"/>
          <w:numId w:val="2"/>
        </w:numPr>
        <w:spacing w:after="60" w:before="60"/>
      </w:pPr>
      <w:r>
        <w:rPr>
          <w:rFonts w:ascii="Arial" w:cs="Arial" w:eastAsia="Arial" w:hAnsi="Arial"/>
          <w:color w:val="333333"/>
          <w:sz w:val="20"/>
          <w:szCs w:val="20"/>
        </w:rPr>
        <w:t xml:space="preserve">Authentification sécurisée des utilisateurs (Firebase Auth)</w:t>
      </w:r>
    </w:p>
    <w:p>
      <w:pPr>
        <w:pStyle w:val="ListParagraph"/>
        <w:numPr>
          <w:ilvl w:val="0"/>
          <w:numId w:val="2"/>
        </w:numPr>
        <w:spacing w:after="60" w:before="60"/>
      </w:pPr>
      <w:r>
        <w:rPr>
          <w:rFonts w:ascii="Arial" w:cs="Arial" w:eastAsia="Arial" w:hAnsi="Arial"/>
          <w:color w:val="333333"/>
          <w:sz w:val="20"/>
          <w:szCs w:val="20"/>
        </w:rPr>
        <w:t xml:space="preserve">Chiffrement des données en transit (HTTPS/TLS)</w:t>
      </w:r>
    </w:p>
    <w:p>
      <w:pPr>
        <w:pStyle w:val="ListParagraph"/>
        <w:numPr>
          <w:ilvl w:val="0"/>
          <w:numId w:val="2"/>
        </w:numPr>
        <w:spacing w:after="60" w:before="60"/>
      </w:pPr>
      <w:r>
        <w:rPr>
          <w:rFonts w:ascii="Arial" w:cs="Arial" w:eastAsia="Arial" w:hAnsi="Arial"/>
          <w:color w:val="333333"/>
          <w:sz w:val="20"/>
          <w:szCs w:val="20"/>
        </w:rPr>
        <w:t xml:space="preserve">Anonymisation possible des signalements sur demande</w:t>
      </w:r>
    </w:p>
    <w:p>
      <w:pPr>
        <w:pStyle w:val="ListParagraph"/>
        <w:numPr>
          <w:ilvl w:val="0"/>
          <w:numId w:val="2"/>
        </w:numPr>
        <w:spacing w:after="60" w:before="60"/>
      </w:pPr>
      <w:r>
        <w:rPr>
          <w:rFonts w:ascii="Arial" w:cs="Arial" w:eastAsia="Arial" w:hAnsi="Arial"/>
          <w:color w:val="333333"/>
          <w:sz w:val="20"/>
          <w:szCs w:val="20"/>
        </w:rPr>
        <w:t xml:space="preserve">Conformité aux bonnes pratiques de protection des données personnelles</w:t>
      </w:r>
    </w:p>
    <w:p>
      <w:pPr>
        <w:pStyle w:val="ListParagraph"/>
        <w:numPr>
          <w:ilvl w:val="0"/>
          <w:numId w:val="2"/>
        </w:numPr>
        <w:spacing w:after="60" w:before="60"/>
      </w:pPr>
      <w:r>
        <w:rPr>
          <w:rFonts w:ascii="Arial" w:cs="Arial" w:eastAsia="Arial" w:hAnsi="Arial"/>
          <w:color w:val="333333"/>
          <w:sz w:val="20"/>
          <w:szCs w:val="20"/>
        </w:rPr>
        <w:t xml:space="preserve">Accès rôle-based : citoyen / modérateur / commune / administrateur</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11.2 Accessibilité et Inclusivité</w:t>
      </w:r>
    </w:p>
    <w:p>
      <w:pPr>
        <w:pStyle w:val="ListParagraph"/>
        <w:numPr>
          <w:ilvl w:val="0"/>
          <w:numId w:val="2"/>
        </w:numPr>
        <w:spacing w:after="60" w:before="60"/>
      </w:pPr>
      <w:r>
        <w:rPr>
          <w:rFonts w:ascii="Arial" w:cs="Arial" w:eastAsia="Arial" w:hAnsi="Arial"/>
          <w:color w:val="333333"/>
          <w:sz w:val="20"/>
          <w:szCs w:val="20"/>
        </w:rPr>
        <w:t xml:space="preserve">Interface en malgache et en français</w:t>
      </w:r>
    </w:p>
    <w:p>
      <w:pPr>
        <w:pStyle w:val="ListParagraph"/>
        <w:numPr>
          <w:ilvl w:val="0"/>
          <w:numId w:val="2"/>
        </w:numPr>
        <w:spacing w:after="60" w:before="60"/>
      </w:pPr>
      <w:r>
        <w:rPr>
          <w:rFonts w:ascii="Arial" w:cs="Arial" w:eastAsia="Arial" w:hAnsi="Arial"/>
          <w:color w:val="333333"/>
          <w:sz w:val="20"/>
          <w:szCs w:val="20"/>
        </w:rPr>
        <w:t xml:space="preserve">Design adapté aux personnes peu alphabétisées numériquement (icônes, couleurs)</w:t>
      </w:r>
    </w:p>
    <w:p>
      <w:pPr>
        <w:pStyle w:val="ListParagraph"/>
        <w:numPr>
          <w:ilvl w:val="0"/>
          <w:numId w:val="2"/>
        </w:numPr>
        <w:spacing w:after="60" w:before="60"/>
      </w:pPr>
      <w:r>
        <w:rPr>
          <w:rFonts w:ascii="Arial" w:cs="Arial" w:eastAsia="Arial" w:hAnsi="Arial"/>
          <w:color w:val="333333"/>
          <w:sz w:val="20"/>
          <w:szCs w:val="20"/>
        </w:rPr>
        <w:t xml:space="preserve">Compatible avec les appareils Android d'entrée de gamme (≥ Android 8)</w:t>
      </w:r>
    </w:p>
    <w:p>
      <w:pPr>
        <w:pStyle w:val="ListParagraph"/>
        <w:numPr>
          <w:ilvl w:val="0"/>
          <w:numId w:val="2"/>
        </w:numPr>
        <w:spacing w:after="60" w:before="60"/>
      </w:pPr>
      <w:r>
        <w:rPr>
          <w:rFonts w:ascii="Arial" w:cs="Arial" w:eastAsia="Arial" w:hAnsi="Arial"/>
          <w:color w:val="333333"/>
          <w:sz w:val="20"/>
          <w:szCs w:val="20"/>
        </w:rPr>
        <w:t xml:space="preserve">Taille du fichier APK optimisée pour les connexions lentes</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11.3 Maintenabilité</w:t>
      </w:r>
    </w:p>
    <w:p>
      <w:pPr>
        <w:pStyle w:val="ListParagraph"/>
        <w:numPr>
          <w:ilvl w:val="0"/>
          <w:numId w:val="2"/>
        </w:numPr>
        <w:spacing w:after="60" w:before="60"/>
      </w:pPr>
      <w:r>
        <w:rPr>
          <w:rFonts w:ascii="Arial" w:cs="Arial" w:eastAsia="Arial" w:hAnsi="Arial"/>
          <w:color w:val="333333"/>
          <w:sz w:val="20"/>
          <w:szCs w:val="20"/>
        </w:rPr>
        <w:t xml:space="preserve">Code versionné sur Git avec documentation technique</w:t>
      </w:r>
    </w:p>
    <w:p>
      <w:pPr>
        <w:pStyle w:val="ListParagraph"/>
        <w:numPr>
          <w:ilvl w:val="0"/>
          <w:numId w:val="2"/>
        </w:numPr>
        <w:spacing w:after="60" w:before="60"/>
      </w:pPr>
      <w:r>
        <w:rPr>
          <w:rFonts w:ascii="Arial" w:cs="Arial" w:eastAsia="Arial" w:hAnsi="Arial"/>
          <w:color w:val="333333"/>
          <w:sz w:val="20"/>
          <w:szCs w:val="20"/>
        </w:rPr>
        <w:t xml:space="preserve">Architecture modulaire facilitant l'ajout de nouvelles fonctionnalités</w:t>
      </w:r>
    </w:p>
    <w:p>
      <w:pPr>
        <w:pStyle w:val="ListParagraph"/>
        <w:numPr>
          <w:ilvl w:val="0"/>
          <w:numId w:val="2"/>
        </w:numPr>
        <w:spacing w:after="60" w:before="60"/>
      </w:pPr>
      <w:r>
        <w:rPr>
          <w:rFonts w:ascii="Arial" w:cs="Arial" w:eastAsia="Arial" w:hAnsi="Arial"/>
          <w:color w:val="333333"/>
          <w:sz w:val="20"/>
          <w:szCs w:val="20"/>
        </w:rPr>
        <w:t xml:space="preserve">Tests unitaires et d'intégration couvrant les fonctionnalités critiques</w:t>
      </w:r>
    </w:p>
    <w:p>
      <w:pPr>
        <w:pStyle w:val="ListParagraph"/>
        <w:numPr>
          <w:ilvl w:val="0"/>
          <w:numId w:val="2"/>
        </w:numPr>
        <w:spacing w:after="60" w:before="60"/>
      </w:pPr>
      <w:r>
        <w:rPr>
          <w:rFonts w:ascii="Arial" w:cs="Arial" w:eastAsia="Arial" w:hAnsi="Arial"/>
          <w:color w:val="333333"/>
          <w:sz w:val="20"/>
          <w:szCs w:val="20"/>
        </w:rPr>
        <w:t xml:space="preserve">Monitoring et alertes en cas de panne (Firebase Crashlytics)</w:t>
      </w:r>
    </w:p>
    <w:p>
      <w:pPr>
        <w:spacing w:after="100" w:before="100"/>
      </w:pPr>
      <w:r>
        <w:t xml:space="preserve"/>
      </w:r>
    </w:p>
    <w:p>
      <w:pPr>
        <w:pStyle w:val="Heading2"/>
        <w:spacing w:after="160" w:before="300"/>
      </w:pPr>
      <w:r>
        <w:rPr>
          <w:rFonts w:ascii="Arial" w:cs="Arial" w:eastAsia="Arial" w:hAnsi="Arial"/>
          <w:b/>
          <w:bCs/>
          <w:color w:val="E8670A"/>
          <w:sz w:val="24"/>
          <w:szCs w:val="24"/>
        </w:rPr>
        <w:t xml:space="preserve">11.4 Évolutivité</w:t>
      </w:r>
    </w:p>
    <w:p>
      <w:pPr>
        <w:pStyle w:val="ListParagraph"/>
        <w:numPr>
          <w:ilvl w:val="0"/>
          <w:numId w:val="2"/>
        </w:numPr>
        <w:spacing w:after="60" w:before="60"/>
      </w:pPr>
      <w:r>
        <w:rPr>
          <w:rFonts w:ascii="Arial" w:cs="Arial" w:eastAsia="Arial" w:hAnsi="Arial"/>
          <w:color w:val="333333"/>
          <w:sz w:val="20"/>
          <w:szCs w:val="20"/>
        </w:rPr>
        <w:t xml:space="preserve">Architecture capable de passer de 1 à 50 communes sans refonte</w:t>
      </w:r>
    </w:p>
    <w:p>
      <w:pPr>
        <w:pStyle w:val="ListParagraph"/>
        <w:numPr>
          <w:ilvl w:val="0"/>
          <w:numId w:val="2"/>
        </w:numPr>
        <w:spacing w:after="60" w:before="60"/>
      </w:pPr>
      <w:r>
        <w:rPr>
          <w:rFonts w:ascii="Arial" w:cs="Arial" w:eastAsia="Arial" w:hAnsi="Arial"/>
          <w:color w:val="333333"/>
          <w:sz w:val="20"/>
          <w:szCs w:val="20"/>
        </w:rPr>
        <w:t xml:space="preserve">Système multi-tenant pour l'onboarding rapide de nouvelles communes</w:t>
      </w:r>
    </w:p>
    <w:p>
      <w:pPr>
        <w:pStyle w:val="ListParagraph"/>
        <w:numPr>
          <w:ilvl w:val="0"/>
          <w:numId w:val="2"/>
        </w:numPr>
        <w:spacing w:after="60" w:before="60"/>
      </w:pPr>
      <w:r>
        <w:rPr>
          <w:rFonts w:ascii="Arial" w:cs="Arial" w:eastAsia="Arial" w:hAnsi="Arial"/>
          <w:color w:val="333333"/>
          <w:sz w:val="20"/>
          <w:szCs w:val="20"/>
        </w:rPr>
        <w:t xml:space="preserve">API ouverte documentée pour futures intégrations (systèmes mairies, ONG)</w:t>
      </w:r>
    </w:p>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12. Glossaire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Terme</w:t>
            </w:r>
          </w:p>
        </w:tc>
        <w:tc>
          <w:tcPr>
            <w:tcW w:type="dxa" w:w="6860"/>
            <w:tcBorders>
              <w:top w:val="single" w:color="CCCCCC" w:sz="1"/>
              <w:left w:val="single" w:color="CCCCCC" w:sz="1"/>
              <w:bottom w:val="single" w:color="CCCCCC" w:sz="1"/>
              <w:right w:val="single" w:color="CCCCCC" w:sz="1"/>
            </w:tcBorders>
            <w:shd w:fill="D9E8F8" w:val="clear"/>
            <w:tcMar>
              <w:top w:type="dxa" w:w="80"/>
              <w:left w:type="dxa" w:w="140"/>
              <w:bottom w:type="dxa" w:w="80"/>
              <w:right w:type="dxa" w:w="140"/>
            </w:tcMar>
            <w:vAlign w:val="center"/>
          </w:tcPr>
          <w:p>
            <w:r>
              <w:rPr>
                <w:rFonts w:ascii="Arial" w:cs="Arial" w:eastAsia="Arial" w:hAnsi="Arial"/>
                <w:b/>
                <w:bCs/>
                <w:color w:val="1B6EC2"/>
                <w:sz w:val="18"/>
                <w:szCs w:val="18"/>
              </w:rPr>
              <w:t xml:space="preserve">Définition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B2G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Business to Government — modèle commercial visant les collectivités et administrations publiques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SaaS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Software as a Service — logiciel distribué en tant que service par abonnement, hébergé dans le cloud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Civic Tech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Technologies civiques — outils numériques conçus pour améliorer la participation citoyenne et la gouvernance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KPI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Key Performance Indicator — indicateur clé de performance utilisé pour mesurer l'atteinte des objectifs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MVP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Minimum Viable Product — version minimale du produit permettant de valider le modèle avec de vrais utilisateurs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ODD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Objectifs de Développement Durable — cadre de référence des Nations Unies pour un développement mondial durable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Responsabilité Sociétale des Entreprises — engagement des entreprises envers un impact social et environnemental positif</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Série 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18"/>
                <w:szCs w:val="18"/>
              </w:rPr>
              <w:t xml:space="preserve">Tour de financement de capital-risque pour accélérer la croissance d'une startup après la validation du modèle</w:t>
            </w:r>
          </w:p>
        </w:tc>
      </w:tr>
    </w:tbl>
    <w:p>
      <w:r>
        <w:br w:type="page"/>
      </w:r>
    </w:p>
    <w:p>
      <w:pPr>
        <w:pStyle w:val="Heading1"/>
        <w:pBdr>
          <w:bottom w:val="single" w:color="1B6EC2" w:sz="6" w:space="4"/>
        </w:pBdr>
        <w:spacing w:after="200" w:before="400"/>
      </w:pPr>
      <w:r>
        <w:rPr>
          <w:rFonts w:ascii="Arial" w:cs="Arial" w:eastAsia="Arial" w:hAnsi="Arial"/>
          <w:b/>
          <w:bCs/>
          <w:color w:val="1B6EC2"/>
          <w:sz w:val="28"/>
          <w:szCs w:val="28"/>
        </w:rPr>
        <w:t xml:space="preserve">Conclusion</w:t>
      </w:r>
    </w:p>
    <w:p>
      <w:pPr>
        <w:spacing w:after="100" w:before="100"/>
      </w:pPr>
      <w:r>
        <w:t xml:space="preserve"/>
      </w:r>
    </w:p>
    <w:p>
      <w:pPr>
        <w:spacing w:after="100" w:before="100" w:line="276"/>
        <w:jc w:val="both"/>
      </w:pPr>
      <w:r>
        <w:rPr>
          <w:rFonts w:ascii="Arial" w:cs="Arial" w:eastAsia="Arial" w:hAnsi="Arial"/>
          <w:color w:val="333333"/>
          <w:sz w:val="20"/>
          <w:szCs w:val="20"/>
        </w:rPr>
        <w:t xml:space="preserve">MITANEKO représente une opportunité unique : le marché de la civic tech à Madagascar est entièrement vierge, la pénétration smartphone atteint 72%, et l'urbanisation crée une demande urgente d'outils participatifs.</w:t>
      </w:r>
    </w:p>
    <w:p>
      <w:pPr>
        <w:spacing w:after="100" w:before="100"/>
      </w:pPr>
      <w:r>
        <w:t xml:space="preserve"/>
      </w:r>
    </w:p>
    <w:p>
      <w:pPr>
        <w:spacing w:after="100" w:before="100" w:line="276"/>
        <w:jc w:val="both"/>
      </w:pPr>
      <w:r>
        <w:rPr>
          <w:rFonts w:ascii="Arial" w:cs="Arial" w:eastAsia="Arial" w:hAnsi="Arial"/>
          <w:color w:val="333333"/>
          <w:sz w:val="20"/>
          <w:szCs w:val="20"/>
        </w:rPr>
        <w:t xml:space="preserve">Notre équipe malgache pluridisciplinaire, notre approche de boucle complète (signal → vote → action → suivi), et notre ancrage local profond nous positionnent comme la solution de référence pour la gouvernance participative en Afrique francophone.</w:t>
      </w:r>
    </w:p>
    <w:p>
      <w:pPr>
        <w:spacing w:after="100" w:before="100"/>
      </w:pPr>
      <w:r>
        <w:t xml:space="preserve"/>
      </w:r>
    </w:p>
    <w:p>
      <w:pPr>
        <w:spacing w:after="100" w:before="100" w:line="276"/>
        <w:jc w:val="both"/>
      </w:pPr>
      <w:r>
        <w:rPr>
          <w:rFonts w:ascii="Arial" w:cs="Arial" w:eastAsia="Arial" w:hAnsi="Arial"/>
          <w:color w:val="333333"/>
          <w:sz w:val="20"/>
          <w:szCs w:val="20"/>
        </w:rPr>
        <w:t xml:space="preserve">Avec le soutien du Programme POESAM 2026, MITANEKO peut dépasser le stade de l'idée pour devenir une réalité tangible, mesurable et reproductible — au service des habitants et des communes de Madagascar.</w:t>
      </w:r>
    </w:p>
    <w:p>
      <w:pPr>
        <w:spacing w:after="100" w:before="200"/>
      </w:pPr>
      <w:r>
        <w:t xml:space="preserve"/>
      </w:r>
    </w:p>
    <w:p>
      <w:pPr>
        <w:pBdr>
          <w:top w:val="single" w:color="1B6EC2" w:sz="4" w:space="4"/>
          <w:bottom w:val="single" w:color="1B6EC2" w:sz="4" w:space="4"/>
        </w:pBdr>
        <w:spacing w:after="200" w:before="200"/>
        <w:jc w:val="center"/>
      </w:pPr>
      <w:r>
        <w:rPr>
          <w:rFonts w:ascii="Arial" w:cs="Arial" w:eastAsia="Arial" w:hAnsi="Arial"/>
          <w:b/>
          <w:bCs/>
          <w:i/>
          <w:iCs/>
          <w:color w:val="1B6EC2"/>
          <w:sz w:val="20"/>
          <w:szCs w:val="20"/>
        </w:rPr>
        <w:t xml:space="preserve">Aidez MITANEKO. Parce que des quartiers propres et solidaires, c'est aussi une meilleure Madagascar.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EC2" w:sz="4" w:space="4"/>
      </w:pBdr>
      <w:tabs>
        <w:tab w:val="right" w:pos="9026"/>
      </w:tabs>
      <w:spacing w:before="100"/>
    </w:pPr>
    <w:r>
      <w:rPr>
        <w:rFonts w:ascii="Arial" w:cs="Arial" w:eastAsia="Arial" w:hAnsi="Arial"/>
        <w:color w:val="666666"/>
        <w:sz w:val="16"/>
        <w:szCs w:val="16"/>
      </w:rPr>
      <w:t xml:space="preserve">Confidentiel — MITANEKO ©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EC2" w:sz="4" w:space="4"/>
      </w:pBdr>
      <w:spacing w:after="100"/>
    </w:pPr>
    <w:r>
      <w:rPr>
        <w:rFonts w:ascii="Arial" w:cs="Arial" w:eastAsia="Arial" w:hAnsi="Arial"/>
        <w:b/>
        <w:bCs/>
        <w:color w:val="1B6EC2"/>
        <w:sz w:val="18"/>
        <w:szCs w:val="18"/>
      </w:rPr>
      <w:t xml:space="preserve">MITANEKO  —  Cahier des Charges</w:t>
    </w:r>
    <w:r>
      <w:rPr>
        <w:rFonts w:ascii="Arial" w:cs="Arial" w:eastAsia="Arial" w:hAnsi="Arial"/>
        <w:color w:val="666666"/>
        <w:sz w:val="18"/>
        <w:szCs w:val="18"/>
      </w:rPr>
      <w:t xml:space="preserve">   |   Programme POESAM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6EC2"/>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E8670A"/>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2026-05-07T05:15:30.841Z</dcterms:created>
  <dcterms:modified xsi:type="dcterms:W3CDTF">2026-05-07T05:15:30.842Z</dcterms:modified>
</cp:coreProperties>
</file>

<file path=docProps/custom.xml><?xml version="1.0" encoding="utf-8"?>
<Properties xmlns="http://schemas.openxmlformats.org/officeDocument/2006/custom-properties" xmlns:vt="http://schemas.openxmlformats.org/officeDocument/2006/docPropsVTypes"/>
</file>