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039E" w14:textId="0BD03949" w:rsidR="00197D7E" w:rsidRPr="0048712C" w:rsidRDefault="00485CDF" w:rsidP="00B151F6">
      <w:pPr>
        <w:spacing w:line="240" w:lineRule="auto"/>
        <w:jc w:val="center"/>
        <w:rPr>
          <w:b/>
          <w:bCs/>
          <w:sz w:val="22"/>
        </w:rPr>
      </w:pPr>
      <w:bookmarkStart w:id="0" w:name="_Hlk97559267"/>
      <w:bookmarkEnd w:id="0"/>
      <w:r>
        <w:rPr>
          <w:b/>
          <w:bCs/>
          <w:sz w:val="22"/>
        </w:rPr>
        <w:t>DATA ANALYTICS – HOMEWORK 1</w:t>
      </w:r>
    </w:p>
    <w:p w14:paraId="2B40E8A1" w14:textId="66024250" w:rsidR="00904D58" w:rsidRPr="0012564C" w:rsidRDefault="00485CDF" w:rsidP="0012564C">
      <w:pPr>
        <w:spacing w:line="240" w:lineRule="auto"/>
        <w:jc w:val="center"/>
        <w:rPr>
          <w:b/>
          <w:bCs/>
          <w:sz w:val="22"/>
        </w:rPr>
      </w:pPr>
      <w:r>
        <w:rPr>
          <w:b/>
          <w:bCs/>
          <w:sz w:val="22"/>
        </w:rPr>
        <w:t>DATA QUALITY REPORT</w:t>
      </w:r>
    </w:p>
    <w:p w14:paraId="26E9D4AD" w14:textId="42453C4C" w:rsidR="009123E7" w:rsidRPr="005E1A23" w:rsidRDefault="00CE49C7" w:rsidP="002F374B">
      <w:pPr>
        <w:pStyle w:val="Heading1"/>
        <w:rPr>
          <w:sz w:val="19"/>
          <w:szCs w:val="19"/>
        </w:rPr>
      </w:pPr>
      <w:r w:rsidRPr="005E1A23">
        <w:rPr>
          <w:sz w:val="19"/>
          <w:szCs w:val="19"/>
        </w:rPr>
        <w:t>OVERVIEW</w:t>
      </w:r>
    </w:p>
    <w:p w14:paraId="5E122DF6" w14:textId="12C53F19" w:rsidR="00D1764E" w:rsidRPr="0072365C" w:rsidRDefault="00FC3DAD" w:rsidP="009630DC">
      <w:pPr>
        <w:pStyle w:val="Heading2"/>
        <w:rPr>
          <w:u w:val="none"/>
        </w:rPr>
      </w:pPr>
      <w:r w:rsidRPr="0072365C">
        <w:rPr>
          <w:u w:val="none"/>
        </w:rPr>
        <w:t>Th</w:t>
      </w:r>
      <w:r w:rsidR="002F374B" w:rsidRPr="0072365C">
        <w:rPr>
          <w:u w:val="none"/>
        </w:rPr>
        <w:t xml:space="preserve">is data quality report (the </w:t>
      </w:r>
      <w:r w:rsidR="002F374B" w:rsidRPr="0072365C">
        <w:rPr>
          <w:b/>
          <w:bCs/>
          <w:u w:val="none"/>
        </w:rPr>
        <w:t>Report</w:t>
      </w:r>
      <w:r w:rsidR="002F374B" w:rsidRPr="0072365C">
        <w:rPr>
          <w:u w:val="none"/>
        </w:rPr>
        <w:t xml:space="preserve">) consists of an initial summary of the review carried out on the cleaned dataset located in this directory </w:t>
      </w:r>
      <w:r w:rsidR="00DC1ECF">
        <w:rPr>
          <w:u w:val="none"/>
        </w:rPr>
        <w:t>and entitled “q1_cleaned_dataframe.csv”</w:t>
      </w:r>
      <w:r w:rsidR="002F374B" w:rsidRPr="0072365C">
        <w:rPr>
          <w:u w:val="none"/>
        </w:rPr>
        <w:t xml:space="preserve"> (the </w:t>
      </w:r>
      <w:r w:rsidR="002F374B" w:rsidRPr="0072365C">
        <w:rPr>
          <w:b/>
          <w:bCs/>
          <w:u w:val="none"/>
        </w:rPr>
        <w:t>Dataset</w:t>
      </w:r>
      <w:r w:rsidR="002F374B" w:rsidRPr="0072365C">
        <w:rPr>
          <w:u w:val="none"/>
        </w:rPr>
        <w:t>)</w:t>
      </w:r>
      <w:r w:rsidR="00D1764E" w:rsidRPr="0072365C">
        <w:rPr>
          <w:u w:val="none"/>
        </w:rPr>
        <w:t>.</w:t>
      </w:r>
      <w:r w:rsidR="002F374B" w:rsidRPr="0072365C">
        <w:rPr>
          <w:u w:val="none"/>
        </w:rPr>
        <w:t xml:space="preserve"> The Report contains a summary of the Dataset, the various issues encountered with this Dataset, and some proposed solutions for resolving those issues. </w:t>
      </w:r>
      <w:r w:rsidR="00C570EC" w:rsidRPr="0072365C">
        <w:rPr>
          <w:u w:val="none"/>
        </w:rPr>
        <w:t>The appendi</w:t>
      </w:r>
      <w:r w:rsidR="00EE487A">
        <w:rPr>
          <w:u w:val="none"/>
        </w:rPr>
        <w:t>ces</w:t>
      </w:r>
      <w:r w:rsidR="00C570EC" w:rsidRPr="0072365C">
        <w:rPr>
          <w:u w:val="none"/>
        </w:rPr>
        <w:t xml:space="preserve"> to the Report (the </w:t>
      </w:r>
      <w:r w:rsidR="00EE487A">
        <w:rPr>
          <w:b/>
          <w:bCs/>
          <w:u w:val="none"/>
        </w:rPr>
        <w:t>Appendices</w:t>
      </w:r>
      <w:r w:rsidR="00C570EC" w:rsidRPr="0072365C">
        <w:rPr>
          <w:u w:val="none"/>
        </w:rPr>
        <w:t xml:space="preserve">) contains the descriptive statistics tables, bar charts, histograms and box plots referred to in </w:t>
      </w:r>
      <w:r w:rsidR="004A622B" w:rsidRPr="0072365C">
        <w:rPr>
          <w:u w:val="none"/>
        </w:rPr>
        <w:t>the Report</w:t>
      </w:r>
      <w:r w:rsidR="00C570EC" w:rsidRPr="0072365C">
        <w:rPr>
          <w:u w:val="none"/>
        </w:rPr>
        <w:t xml:space="preserve">. </w:t>
      </w:r>
    </w:p>
    <w:p w14:paraId="21BCC1B7" w14:textId="203FDAC2" w:rsidR="00393C6B" w:rsidRPr="0072365C" w:rsidRDefault="00CE49C7" w:rsidP="00393C6B">
      <w:pPr>
        <w:pStyle w:val="Heading2"/>
        <w:rPr>
          <w:u w:val="none"/>
        </w:rPr>
      </w:pPr>
      <w:r w:rsidRPr="0072365C">
        <w:rPr>
          <w:u w:val="none"/>
        </w:rPr>
        <w:t xml:space="preserve">The initial review suggests that the Dataset is somewhat clean. While there are no irregular cardinalities or duplicate columns, there were two features with a large proportion of null values. There was also a duplicate row discovered, which has now been removed. It should be noted that several logic tests were carried out in respect of the Dataset, and no inconsistencies were found. There were also a significant number of outliers discovered in connection with one of the features. </w:t>
      </w:r>
    </w:p>
    <w:p w14:paraId="22EA1070" w14:textId="56371FB5" w:rsidR="00FC5A3D" w:rsidRDefault="00FC5A3D" w:rsidP="00393C6B">
      <w:pPr>
        <w:pStyle w:val="Heading1"/>
        <w:rPr>
          <w:sz w:val="19"/>
          <w:szCs w:val="19"/>
        </w:rPr>
      </w:pPr>
      <w:r>
        <w:rPr>
          <w:sz w:val="19"/>
          <w:szCs w:val="19"/>
        </w:rPr>
        <w:t>LOGICAL TESTS</w:t>
      </w:r>
    </w:p>
    <w:p w14:paraId="0272EBCB" w14:textId="5C6E0AE6" w:rsidR="00FC5A3D" w:rsidRDefault="00FC5A3D" w:rsidP="00FC5A3D">
      <w:pPr>
        <w:pStyle w:val="Heading2"/>
        <w:rPr>
          <w:u w:val="none"/>
        </w:rPr>
      </w:pPr>
      <w:r>
        <w:rPr>
          <w:u w:val="none"/>
        </w:rPr>
        <w:t>Several logical tests were conducted in connection with this dataset. There were only two tests that failed, as listed below.</w:t>
      </w:r>
    </w:p>
    <w:p w14:paraId="20D366CE" w14:textId="3A43AA43" w:rsidR="00554E66" w:rsidRDefault="00554E66" w:rsidP="00554E66">
      <w:pPr>
        <w:pStyle w:val="Heading2"/>
      </w:pPr>
      <w:r>
        <w:t xml:space="preserve">Test 3: The postal code </w:t>
      </w:r>
      <w:r w:rsidR="00B11D50">
        <w:t>must be a valid post code from differing counties in Ireland</w:t>
      </w:r>
    </w:p>
    <w:p w14:paraId="691BA69A" w14:textId="5E9E2688" w:rsidR="00554E66" w:rsidRPr="007E705B" w:rsidRDefault="00B11D50" w:rsidP="00554E66">
      <w:pPr>
        <w:pStyle w:val="Heading3"/>
        <w:numPr>
          <w:ilvl w:val="0"/>
          <w:numId w:val="0"/>
        </w:numPr>
        <w:ind w:left="431"/>
        <w:rPr>
          <w:i w:val="0"/>
          <w:iCs w:val="0"/>
          <w:u w:val="none"/>
        </w:rPr>
      </w:pPr>
      <w:r>
        <w:rPr>
          <w:i w:val="0"/>
          <w:iCs w:val="0"/>
          <w:u w:val="none"/>
        </w:rPr>
        <w:t xml:space="preserve">While all post codes provided were valid, all the postcodes in our </w:t>
      </w:r>
      <w:proofErr w:type="spellStart"/>
      <w:r>
        <w:rPr>
          <w:i w:val="0"/>
          <w:iCs w:val="0"/>
          <w:u w:val="none"/>
        </w:rPr>
        <w:t>dataframe</w:t>
      </w:r>
      <w:proofErr w:type="spellEnd"/>
      <w:r>
        <w:rPr>
          <w:i w:val="0"/>
          <w:iCs w:val="0"/>
          <w:u w:val="none"/>
        </w:rPr>
        <w:t xml:space="preserve"> were in Ireland. As such, there is no postal code data provided for any of the other county, which is what we would have expected given the title of the feature.</w:t>
      </w:r>
    </w:p>
    <w:p w14:paraId="64D363DE" w14:textId="634014F9" w:rsidR="00554E66" w:rsidRDefault="00B11D50" w:rsidP="00554E66">
      <w:pPr>
        <w:pStyle w:val="Heading2"/>
      </w:pPr>
      <w:r>
        <w:t>Test 6: There must be one property sale recorded per entry in the dataset</w:t>
      </w:r>
    </w:p>
    <w:p w14:paraId="04A4F7F8" w14:textId="58C956FE" w:rsidR="00554E66" w:rsidRPr="004A1355" w:rsidRDefault="00554E66" w:rsidP="004A1355">
      <w:pPr>
        <w:pStyle w:val="Heading3"/>
        <w:numPr>
          <w:ilvl w:val="0"/>
          <w:numId w:val="0"/>
        </w:numPr>
        <w:ind w:left="431"/>
        <w:rPr>
          <w:i w:val="0"/>
          <w:iCs w:val="0"/>
          <w:u w:val="none"/>
        </w:rPr>
      </w:pPr>
      <w:r>
        <w:rPr>
          <w:i w:val="0"/>
          <w:iCs w:val="0"/>
          <w:u w:val="none"/>
        </w:rPr>
        <w:t>The</w:t>
      </w:r>
      <w:r w:rsidR="00B11D50">
        <w:rPr>
          <w:i w:val="0"/>
          <w:iCs w:val="0"/>
          <w:u w:val="none"/>
        </w:rPr>
        <w:t xml:space="preserve">re were numerous entries in the dataset that </w:t>
      </w:r>
      <w:r w:rsidR="00060700">
        <w:rPr>
          <w:i w:val="0"/>
          <w:iCs w:val="0"/>
          <w:u w:val="none"/>
        </w:rPr>
        <w:t>represented a multiple property purchase, leading to significant outliers.</w:t>
      </w:r>
    </w:p>
    <w:p w14:paraId="1BC850E7" w14:textId="5CE86EBA" w:rsidR="00FC5A3D" w:rsidRPr="00FC5A3D" w:rsidRDefault="00FC5A3D" w:rsidP="00933852">
      <w:pPr>
        <w:pStyle w:val="Heading2"/>
      </w:pPr>
      <w:r>
        <w:rPr>
          <w:u w:val="none"/>
        </w:rPr>
        <w:t>Strategies for dealing with these test failures will be discussed in subsequent sections of this report.</w:t>
      </w:r>
    </w:p>
    <w:p w14:paraId="5C29D482" w14:textId="421FFBA3" w:rsidR="0099045F" w:rsidRDefault="0099045F" w:rsidP="00393C6B">
      <w:pPr>
        <w:pStyle w:val="Heading1"/>
        <w:rPr>
          <w:sz w:val="19"/>
          <w:szCs w:val="19"/>
        </w:rPr>
      </w:pPr>
      <w:r>
        <w:rPr>
          <w:sz w:val="19"/>
          <w:szCs w:val="19"/>
        </w:rPr>
        <w:t>DESCRIPTIVE STATISTICS TABLES</w:t>
      </w:r>
    </w:p>
    <w:p w14:paraId="60056C89" w14:textId="1C8A7436" w:rsidR="0099045F" w:rsidRDefault="0099045F" w:rsidP="00E56A40">
      <w:pPr>
        <w:pStyle w:val="Heading2"/>
        <w:rPr>
          <w:u w:val="none"/>
        </w:rPr>
      </w:pPr>
      <w:r>
        <w:rPr>
          <w:u w:val="none"/>
        </w:rPr>
        <w:t>While some observations have already made in relation to the descriptive statistics tables within the notebook, it is useful to summarise these here for reference.</w:t>
      </w:r>
      <w:r w:rsidR="007C43A0">
        <w:rPr>
          <w:u w:val="none"/>
        </w:rPr>
        <w:t xml:space="preserve"> These are set out in Appendix 1 to this Report.</w:t>
      </w:r>
    </w:p>
    <w:p w14:paraId="7AD0AB9C" w14:textId="658B2DE2" w:rsidR="0099045F" w:rsidRDefault="0099045F" w:rsidP="0099045F">
      <w:pPr>
        <w:pStyle w:val="Heading2"/>
      </w:pPr>
      <w:r>
        <w:t>Continuous Features</w:t>
      </w:r>
    </w:p>
    <w:p w14:paraId="276C2EEA" w14:textId="169164B7" w:rsidR="00C73282" w:rsidRPr="00C73282" w:rsidRDefault="00257337" w:rsidP="00C73282">
      <w:pPr>
        <w:ind w:left="431"/>
      </w:pPr>
      <w:r>
        <w:t xml:space="preserve">While the Date of Sale feature seems largely in order, we can see an incredibly large </w:t>
      </w:r>
      <w:r w:rsidR="00484362">
        <w:t>number</w:t>
      </w:r>
      <w:r>
        <w:t xml:space="preserve"> of outliers in relation to the Price feature. The minimum and maximum values do not seem to be reasonable values for a property purchase, and the standard deviation is incredibly large. This is something that we will consider </w:t>
      </w:r>
      <w:r w:rsidR="00484362">
        <w:t>later</w:t>
      </w:r>
      <w:r>
        <w:t xml:space="preserve"> in the Report.</w:t>
      </w:r>
    </w:p>
    <w:p w14:paraId="5372555A" w14:textId="375513A0" w:rsidR="00C73282" w:rsidRDefault="00C73282" w:rsidP="00C73282">
      <w:pPr>
        <w:pStyle w:val="Heading2"/>
      </w:pPr>
      <w:r>
        <w:t>Categorical Features</w:t>
      </w:r>
    </w:p>
    <w:p w14:paraId="55DEB618" w14:textId="45CAC3AE" w:rsidR="00C73282" w:rsidRPr="00C73282" w:rsidRDefault="00257337" w:rsidP="00C73282">
      <w:pPr>
        <w:ind w:left="431"/>
      </w:pPr>
      <w:r>
        <w:t>The</w:t>
      </w:r>
      <w:r w:rsidR="00C73282">
        <w:t xml:space="preserve"> categorical features seem largely in order, </w:t>
      </w:r>
      <w:r>
        <w:t>except for</w:t>
      </w:r>
      <w:r w:rsidR="00C73282">
        <w:t xml:space="preserve"> some irregularities in </w:t>
      </w:r>
      <w:r>
        <w:t>connection</w:t>
      </w:r>
      <w:r w:rsidR="00C73282">
        <w:t xml:space="preserve"> with some of the features. For </w:t>
      </w:r>
      <w:r w:rsidR="00CE51A9">
        <w:t xml:space="preserve">example, we can see that Postal Code and Property Size Description have a huge number of </w:t>
      </w:r>
      <w:r w:rsidR="00CE51A9">
        <w:lastRenderedPageBreak/>
        <w:t>missing values. We can also tell that some of the features, such as Not Full Market Price and Vat Exclusive, seem to be Boolean in nature. Furthermore, one of the Boolean values seems to dominate over the other, which we can tell by looking at the proportion of the first model.</w:t>
      </w:r>
      <w:r w:rsidR="00F837F1">
        <w:t xml:space="preserve"> It is also unsurprising to see that the most property sales occurred in Dublin and Cork, given that they are largest and second-largest cities in Ireland </w:t>
      </w:r>
      <w:r w:rsidR="00484362">
        <w:t>respectively</w:t>
      </w:r>
      <w:r w:rsidR="00F837F1">
        <w:t>.</w:t>
      </w:r>
    </w:p>
    <w:p w14:paraId="0020C60B" w14:textId="27B5D34E" w:rsidR="008E078B" w:rsidRDefault="00393C6B" w:rsidP="008E078B">
      <w:pPr>
        <w:pStyle w:val="Heading1"/>
        <w:rPr>
          <w:sz w:val="19"/>
          <w:szCs w:val="19"/>
        </w:rPr>
      </w:pPr>
      <w:r w:rsidRPr="005E1A23">
        <w:rPr>
          <w:sz w:val="19"/>
          <w:szCs w:val="19"/>
        </w:rPr>
        <w:t>REVIEW CONTINUOUS FEATURES</w:t>
      </w:r>
    </w:p>
    <w:p w14:paraId="057823B1" w14:textId="0867147C" w:rsidR="00776FDC" w:rsidRPr="00776FDC" w:rsidRDefault="00776FDC" w:rsidP="00776FDC">
      <w:pPr>
        <w:ind w:left="431"/>
      </w:pPr>
      <w:r>
        <w:t>Please note that the analysis of each feature listed below is based on a review of the statistic tables and the plotted graphs contained in the Appendices. There is a separate section in each paragraph containing analysis that is specific to the graphs.</w:t>
      </w:r>
    </w:p>
    <w:p w14:paraId="743B79CB" w14:textId="6CA5B1BD" w:rsidR="005E1A23" w:rsidRDefault="00E7672D" w:rsidP="00EE7B01">
      <w:pPr>
        <w:pStyle w:val="Heading2"/>
      </w:pPr>
      <w:r w:rsidRPr="000927D1">
        <w:t>Descriptive</w:t>
      </w:r>
      <w:r>
        <w:t xml:space="preserve"> Statistics</w:t>
      </w:r>
    </w:p>
    <w:tbl>
      <w:tblPr>
        <w:tblStyle w:val="GridTable4"/>
        <w:tblW w:w="0" w:type="auto"/>
        <w:tblLook w:val="04A0" w:firstRow="1" w:lastRow="0" w:firstColumn="1" w:lastColumn="0" w:noHBand="0" w:noVBand="1"/>
      </w:tblPr>
      <w:tblGrid>
        <w:gridCol w:w="1838"/>
        <w:gridCol w:w="2552"/>
        <w:gridCol w:w="5346"/>
      </w:tblGrid>
      <w:tr w:rsidR="00FE7F3D" w14:paraId="6A7CA2B0" w14:textId="77777777" w:rsidTr="00EE7B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38" w:type="dxa"/>
          </w:tcPr>
          <w:p w14:paraId="5436E528" w14:textId="00AEC109" w:rsidR="00FE7F3D" w:rsidRPr="000927D1" w:rsidRDefault="00FE7F3D" w:rsidP="000927D1">
            <w:pPr>
              <w:jc w:val="center"/>
              <w:rPr>
                <w:szCs w:val="19"/>
              </w:rPr>
            </w:pPr>
            <w:r w:rsidRPr="000927D1">
              <w:rPr>
                <w:szCs w:val="19"/>
              </w:rPr>
              <w:t>FEATURE NAME</w:t>
            </w:r>
          </w:p>
        </w:tc>
        <w:tc>
          <w:tcPr>
            <w:tcW w:w="2552" w:type="dxa"/>
          </w:tcPr>
          <w:p w14:paraId="5902179B" w14:textId="6E201376" w:rsidR="00FE7F3D" w:rsidRPr="000927D1" w:rsidRDefault="00FE7F3D" w:rsidP="000927D1">
            <w:pPr>
              <w:jc w:val="center"/>
              <w:cnfStyle w:val="100000000000" w:firstRow="1" w:lastRow="0" w:firstColumn="0" w:lastColumn="0" w:oddVBand="0" w:evenVBand="0" w:oddHBand="0" w:evenHBand="0" w:firstRowFirstColumn="0" w:firstRowLastColumn="0" w:lastRowFirstColumn="0" w:lastRowLastColumn="0"/>
            </w:pPr>
            <w:r w:rsidRPr="000927D1">
              <w:t>FEATURE DESCRIPTION</w:t>
            </w:r>
          </w:p>
        </w:tc>
        <w:tc>
          <w:tcPr>
            <w:tcW w:w="5346" w:type="dxa"/>
          </w:tcPr>
          <w:p w14:paraId="40507A9D" w14:textId="10D4337E" w:rsidR="00FE7F3D" w:rsidRPr="000927D1" w:rsidRDefault="00FE7F3D" w:rsidP="000927D1">
            <w:pPr>
              <w:jc w:val="center"/>
              <w:cnfStyle w:val="100000000000" w:firstRow="1" w:lastRow="0" w:firstColumn="0" w:lastColumn="0" w:oddVBand="0" w:evenVBand="0" w:oddHBand="0" w:evenHBand="0" w:firstRowFirstColumn="0" w:firstRowLastColumn="0" w:lastRowFirstColumn="0" w:lastRowLastColumn="0"/>
              <w:rPr>
                <w:szCs w:val="19"/>
              </w:rPr>
            </w:pPr>
            <w:r w:rsidRPr="000927D1">
              <w:rPr>
                <w:szCs w:val="19"/>
              </w:rPr>
              <w:t>OBSERVATIONS</w:t>
            </w:r>
          </w:p>
        </w:tc>
      </w:tr>
      <w:tr w:rsidR="00FE7F3D" w14:paraId="7064BFDE" w14:textId="77777777" w:rsidTr="004B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7A28FB" w14:textId="2F1F0F29" w:rsidR="00FE7F3D" w:rsidRDefault="004B6847" w:rsidP="000927D1">
            <w:r>
              <w:t>Date of Sale</w:t>
            </w:r>
          </w:p>
        </w:tc>
        <w:tc>
          <w:tcPr>
            <w:tcW w:w="2552" w:type="dxa"/>
          </w:tcPr>
          <w:p w14:paraId="4B83065D" w14:textId="52B772D2" w:rsidR="000927D1" w:rsidRDefault="004B6847" w:rsidP="000927D1">
            <w:pPr>
              <w:cnfStyle w:val="000000100000" w:firstRow="0" w:lastRow="0" w:firstColumn="0" w:lastColumn="0" w:oddVBand="0" w:evenVBand="0" w:oddHBand="1" w:evenHBand="0" w:firstRowFirstColumn="0" w:firstRowLastColumn="0" w:lastRowFirstColumn="0" w:lastRowLastColumn="0"/>
            </w:pPr>
            <w:r>
              <w:t xml:space="preserve">This feature contains the date of sale of a particular property. </w:t>
            </w:r>
          </w:p>
        </w:tc>
        <w:tc>
          <w:tcPr>
            <w:tcW w:w="5346" w:type="dxa"/>
          </w:tcPr>
          <w:p w14:paraId="32EDCD3A" w14:textId="77777777" w:rsidR="000927D1" w:rsidRDefault="000927D1" w:rsidP="000927D1">
            <w:pPr>
              <w:cnfStyle w:val="000000100000" w:firstRow="0" w:lastRow="0" w:firstColumn="0" w:lastColumn="0" w:oddVBand="0" w:evenVBand="0" w:oddHBand="1" w:evenHBand="0" w:firstRowFirstColumn="0" w:firstRowLastColumn="0" w:lastRowFirstColumn="0" w:lastRowLastColumn="0"/>
            </w:pPr>
            <w:r>
              <w:t xml:space="preserve">This feature has no missing entries. The dates range from 4 January 2010 to 14 January 2022, which is the time range expected given the source of the Dataset. </w:t>
            </w:r>
          </w:p>
          <w:p w14:paraId="7C980E2D" w14:textId="218B96EC" w:rsidR="00FE7F3D" w:rsidRDefault="000927D1" w:rsidP="000927D1">
            <w:pPr>
              <w:cnfStyle w:val="000000100000" w:firstRow="0" w:lastRow="0" w:firstColumn="0" w:lastColumn="0" w:oddVBand="0" w:evenVBand="0" w:oddHBand="1" w:evenHBand="0" w:firstRowFirstColumn="0" w:firstRowLastColumn="0" w:lastRowFirstColumn="0" w:lastRowLastColumn="0"/>
            </w:pPr>
            <w:r>
              <w:t>The distribution</w:t>
            </w:r>
            <w:r w:rsidR="00484362">
              <w:t xml:space="preserve"> shown in the histogram</w:t>
            </w:r>
            <w:r>
              <w:t xml:space="preserve"> seems to be slightly skewed towards the latter half of the decade. This is in line with expectation, given that the at the start of the decade the Irish property market will still have been suffering from the effects of the 2008 economic crisis and thus less property sales will have taken place at that time.</w:t>
            </w:r>
          </w:p>
        </w:tc>
      </w:tr>
      <w:tr w:rsidR="00FE7F3D" w14:paraId="50751936" w14:textId="77777777" w:rsidTr="004B6847">
        <w:tc>
          <w:tcPr>
            <w:cnfStyle w:val="001000000000" w:firstRow="0" w:lastRow="0" w:firstColumn="1" w:lastColumn="0" w:oddVBand="0" w:evenVBand="0" w:oddHBand="0" w:evenHBand="0" w:firstRowFirstColumn="0" w:firstRowLastColumn="0" w:lastRowFirstColumn="0" w:lastRowLastColumn="0"/>
            <w:tcW w:w="1838" w:type="dxa"/>
          </w:tcPr>
          <w:p w14:paraId="64219AA9" w14:textId="16E3870B" w:rsidR="00FE7F3D" w:rsidRDefault="000927D1" w:rsidP="000927D1">
            <w:r w:rsidRPr="000927D1">
              <w:t>Price (€)</w:t>
            </w:r>
          </w:p>
        </w:tc>
        <w:tc>
          <w:tcPr>
            <w:tcW w:w="2552" w:type="dxa"/>
          </w:tcPr>
          <w:p w14:paraId="78373EB3" w14:textId="10BFA735" w:rsidR="00FE7F3D" w:rsidRDefault="000927D1" w:rsidP="000927D1">
            <w:pPr>
              <w:cnfStyle w:val="000000000000" w:firstRow="0" w:lastRow="0" w:firstColumn="0" w:lastColumn="0" w:oddVBand="0" w:evenVBand="0" w:oddHBand="0" w:evenHBand="0" w:firstRowFirstColumn="0" w:firstRowLastColumn="0" w:lastRowFirstColumn="0" w:lastRowLastColumn="0"/>
            </w:pPr>
            <w:r>
              <w:t>This feature contains the price for which a particular property was sold.</w:t>
            </w:r>
          </w:p>
        </w:tc>
        <w:tc>
          <w:tcPr>
            <w:tcW w:w="5346" w:type="dxa"/>
          </w:tcPr>
          <w:p w14:paraId="512C3A87" w14:textId="77777777" w:rsidR="00FE7F3D" w:rsidRDefault="00070502" w:rsidP="000927D1">
            <w:pPr>
              <w:cnfStyle w:val="000000000000" w:firstRow="0" w:lastRow="0" w:firstColumn="0" w:lastColumn="0" w:oddVBand="0" w:evenVBand="0" w:oddHBand="0" w:evenHBand="0" w:firstRowFirstColumn="0" w:firstRowLastColumn="0" w:lastRowFirstColumn="0" w:lastRowLastColumn="0"/>
            </w:pPr>
            <w:r>
              <w:t>This feature has no missing entries</w:t>
            </w:r>
            <w:r w:rsidR="00BF5D3C">
              <w:t xml:space="preserve">. </w:t>
            </w:r>
          </w:p>
          <w:p w14:paraId="42D345D2" w14:textId="5D5E8C56" w:rsidR="00BF5D3C" w:rsidRDefault="00BF5D3C" w:rsidP="000927D1">
            <w:pPr>
              <w:cnfStyle w:val="000000000000" w:firstRow="0" w:lastRow="0" w:firstColumn="0" w:lastColumn="0" w:oddVBand="0" w:evenVBand="0" w:oddHBand="0" w:evenHBand="0" w:firstRowFirstColumn="0" w:firstRowLastColumn="0" w:lastRowFirstColumn="0" w:lastRowLastColumn="0"/>
            </w:pPr>
            <w:r>
              <w:t xml:space="preserve">The main issue with this feature is the significant </w:t>
            </w:r>
            <w:r w:rsidR="00E376A5">
              <w:t>number</w:t>
            </w:r>
            <w:r>
              <w:t xml:space="preserve"> of outliers. </w:t>
            </w:r>
            <w:r w:rsidR="00E376A5">
              <w:t xml:space="preserve">Prices range from </w:t>
            </w:r>
            <w:r w:rsidR="002871DD">
              <w:t xml:space="preserve">as low as </w:t>
            </w:r>
            <w:r w:rsidR="002871DD" w:rsidRPr="002871DD">
              <w:t>€</w:t>
            </w:r>
            <w:r w:rsidR="002871DD">
              <w:t xml:space="preserve">5,953 to </w:t>
            </w:r>
            <w:r w:rsidR="002871DD" w:rsidRPr="000927D1">
              <w:t>€</w:t>
            </w:r>
            <w:r w:rsidR="002871DD">
              <w:t>139,165,000, which are both implausible as property prices.</w:t>
            </w:r>
          </w:p>
          <w:p w14:paraId="7DE7F7AC" w14:textId="77777777" w:rsidR="00D1293A" w:rsidRDefault="002871DD" w:rsidP="00D1293A">
            <w:pPr>
              <w:cnfStyle w:val="000000000000" w:firstRow="0" w:lastRow="0" w:firstColumn="0" w:lastColumn="0" w:oddVBand="0" w:evenVBand="0" w:oddHBand="0" w:evenHBand="0" w:firstRowFirstColumn="0" w:firstRowLastColumn="0" w:lastRowFirstColumn="0" w:lastRowLastColumn="0"/>
            </w:pPr>
            <w:r>
              <w:t xml:space="preserve">Upon further investigation, a cause for the high outliers was discovered – it appears that certain group sales of properties were mistakenly entered as a single “entry” in the Dataset, causing an inflated price to be included. </w:t>
            </w:r>
          </w:p>
          <w:p w14:paraId="0F3AA1C7" w14:textId="4B4EF4E3" w:rsidR="00D1293A" w:rsidRDefault="00D1293A" w:rsidP="00D1293A">
            <w:pPr>
              <w:cnfStyle w:val="000000000000" w:firstRow="0" w:lastRow="0" w:firstColumn="0" w:lastColumn="0" w:oddVBand="0" w:evenVBand="0" w:oddHBand="0" w:evenHBand="0" w:firstRowFirstColumn="0" w:firstRowLastColumn="0" w:lastRowFirstColumn="0" w:lastRowLastColumn="0"/>
            </w:pPr>
            <w:r>
              <w:t xml:space="preserve">While it is plausible that the sale of such properties took place as part of a single transaction – it is common in Ireland for investors to purchase a large portfolio of properties for renting out – it does not fit with the logical integrity of this feature, which states that each row must represent the sale of a single property. </w:t>
            </w:r>
          </w:p>
          <w:p w14:paraId="7A6D5C26" w14:textId="5005CFB8" w:rsidR="00E376A5" w:rsidRDefault="00AC637C" w:rsidP="000927D1">
            <w:pPr>
              <w:cnfStyle w:val="000000000000" w:firstRow="0" w:lastRow="0" w:firstColumn="0" w:lastColumn="0" w:oddVBand="0" w:evenVBand="0" w:oddHBand="0" w:evenHBand="0" w:firstRowFirstColumn="0" w:firstRowLastColumn="0" w:lastRowFirstColumn="0" w:lastRowLastColumn="0"/>
            </w:pPr>
            <w:r>
              <w:t>It is not clear what the cause of the low outliers is, although it does seem like an entry made in error. A discussion should be had with the domain expert in this regard</w:t>
            </w:r>
            <w:r w:rsidR="006F32FB">
              <w:t>.</w:t>
            </w:r>
          </w:p>
        </w:tc>
      </w:tr>
    </w:tbl>
    <w:p w14:paraId="0CFADF82" w14:textId="5538CB8A" w:rsidR="00424F03" w:rsidRDefault="00424F03" w:rsidP="00424F03">
      <w:pPr>
        <w:pStyle w:val="Heading2"/>
        <w:numPr>
          <w:ilvl w:val="0"/>
          <w:numId w:val="0"/>
        </w:numPr>
        <w:ind w:left="431"/>
      </w:pPr>
    </w:p>
    <w:p w14:paraId="7EE56384" w14:textId="77777777" w:rsidR="00DA614F" w:rsidRPr="00DA614F" w:rsidRDefault="00DA614F" w:rsidP="00DA614F"/>
    <w:p w14:paraId="21BFCA6C" w14:textId="754F5D01" w:rsidR="00424F03" w:rsidRDefault="00424F03" w:rsidP="00424F03">
      <w:pPr>
        <w:pStyle w:val="Heading2"/>
      </w:pPr>
      <w:r>
        <w:t>Histograms</w:t>
      </w:r>
    </w:p>
    <w:p w14:paraId="35B05D8A" w14:textId="212FA512" w:rsidR="007E705B" w:rsidRPr="007E705B" w:rsidRDefault="00424F03" w:rsidP="007E705B">
      <w:pPr>
        <w:pStyle w:val="Heading3"/>
        <w:numPr>
          <w:ilvl w:val="0"/>
          <w:numId w:val="0"/>
        </w:numPr>
        <w:ind w:left="431"/>
        <w:rPr>
          <w:i w:val="0"/>
          <w:iCs w:val="0"/>
          <w:u w:val="none"/>
        </w:rPr>
      </w:pPr>
      <w:r>
        <w:rPr>
          <w:i w:val="0"/>
          <w:iCs w:val="0"/>
          <w:u w:val="none"/>
        </w:rPr>
        <w:t xml:space="preserve">The histograms </w:t>
      </w:r>
      <w:r w:rsidR="00F63B6C">
        <w:rPr>
          <w:i w:val="0"/>
          <w:iCs w:val="0"/>
          <w:u w:val="none"/>
        </w:rPr>
        <w:t>are in</w:t>
      </w:r>
      <w:r>
        <w:rPr>
          <w:i w:val="0"/>
          <w:iCs w:val="0"/>
          <w:u w:val="none"/>
        </w:rPr>
        <w:t xml:space="preserve"> Appendix </w:t>
      </w:r>
      <w:r w:rsidR="007C43A0">
        <w:rPr>
          <w:i w:val="0"/>
          <w:iCs w:val="0"/>
          <w:u w:val="none"/>
        </w:rPr>
        <w:t>2</w:t>
      </w:r>
      <w:r>
        <w:rPr>
          <w:i w:val="0"/>
          <w:iCs w:val="0"/>
          <w:u w:val="none"/>
        </w:rPr>
        <w:t xml:space="preserve"> to </w:t>
      </w:r>
      <w:r w:rsidR="00574D06">
        <w:rPr>
          <w:i w:val="0"/>
          <w:iCs w:val="0"/>
          <w:u w:val="none"/>
        </w:rPr>
        <w:t xml:space="preserve">the Report. </w:t>
      </w:r>
      <w:r w:rsidR="00F63B6C">
        <w:rPr>
          <w:i w:val="0"/>
          <w:iCs w:val="0"/>
          <w:u w:val="none"/>
        </w:rPr>
        <w:t>There does not seem to be anything unusual about the Date of Sale histogram</w:t>
      </w:r>
      <w:r w:rsidR="0044004C">
        <w:rPr>
          <w:i w:val="0"/>
          <w:iCs w:val="0"/>
          <w:u w:val="none"/>
        </w:rPr>
        <w:t>, as noted in the section above.</w:t>
      </w:r>
      <w:r w:rsidR="00484362">
        <w:rPr>
          <w:i w:val="0"/>
          <w:iCs w:val="0"/>
          <w:u w:val="none"/>
        </w:rPr>
        <w:t xml:space="preserve"> </w:t>
      </w:r>
      <w:r w:rsidR="00B96673">
        <w:rPr>
          <w:i w:val="0"/>
          <w:iCs w:val="0"/>
          <w:u w:val="none"/>
        </w:rPr>
        <w:t xml:space="preserve">The </w:t>
      </w:r>
      <w:r w:rsidR="00B96673" w:rsidRPr="00B96673">
        <w:rPr>
          <w:i w:val="0"/>
          <w:iCs w:val="0"/>
          <w:u w:val="none"/>
        </w:rPr>
        <w:t>Price (€)</w:t>
      </w:r>
      <w:r w:rsidR="00B96673">
        <w:rPr>
          <w:i w:val="0"/>
          <w:iCs w:val="0"/>
          <w:u w:val="none"/>
        </w:rPr>
        <w:t xml:space="preserve"> histogram, however, is incredibly skewed </w:t>
      </w:r>
      <w:r w:rsidR="00927EE9">
        <w:rPr>
          <w:i w:val="0"/>
          <w:iCs w:val="0"/>
          <w:u w:val="none"/>
        </w:rPr>
        <w:t xml:space="preserve">given the presence of extreme outliers. </w:t>
      </w:r>
      <w:r w:rsidR="00BE3E1E">
        <w:rPr>
          <w:i w:val="0"/>
          <w:iCs w:val="0"/>
          <w:u w:val="none"/>
        </w:rPr>
        <w:t xml:space="preserve">For this purpose, another histogram is provided with the minimum and maximum outliers clamped using the process </w:t>
      </w:r>
      <w:r w:rsidR="002D5E0A">
        <w:rPr>
          <w:i w:val="0"/>
          <w:iCs w:val="0"/>
          <w:u w:val="none"/>
        </w:rPr>
        <w:t>more particularly set out in the notebook</w:t>
      </w:r>
      <w:r w:rsidR="00BE3E1E">
        <w:rPr>
          <w:i w:val="0"/>
          <w:iCs w:val="0"/>
          <w:u w:val="none"/>
        </w:rPr>
        <w:t>. The second histogram shows a distribution that is expected, namely the fact that there is a left-skewed distribution (meaning that most sales made were in the average range, with some large infrequent outliers where very expensive properties were purchased.</w:t>
      </w:r>
    </w:p>
    <w:p w14:paraId="77C1B283" w14:textId="49E0E8C1" w:rsidR="00317DC7" w:rsidRDefault="00317DC7" w:rsidP="00317DC7">
      <w:pPr>
        <w:pStyle w:val="Heading2"/>
      </w:pPr>
      <w:r>
        <w:t>Box Plots</w:t>
      </w:r>
    </w:p>
    <w:p w14:paraId="5CEA36E3" w14:textId="062D02D9" w:rsidR="00317DC7" w:rsidRPr="00424F03" w:rsidRDefault="00317DC7" w:rsidP="00317DC7">
      <w:pPr>
        <w:pStyle w:val="Heading3"/>
        <w:numPr>
          <w:ilvl w:val="0"/>
          <w:numId w:val="0"/>
        </w:numPr>
        <w:ind w:left="431"/>
        <w:rPr>
          <w:i w:val="0"/>
          <w:iCs w:val="0"/>
          <w:u w:val="none"/>
        </w:rPr>
      </w:pPr>
      <w:r>
        <w:rPr>
          <w:i w:val="0"/>
          <w:iCs w:val="0"/>
          <w:u w:val="none"/>
        </w:rPr>
        <w:t xml:space="preserve">The box plots are in Appendix </w:t>
      </w:r>
      <w:r w:rsidR="007C43A0">
        <w:rPr>
          <w:i w:val="0"/>
          <w:iCs w:val="0"/>
          <w:u w:val="none"/>
        </w:rPr>
        <w:t>2</w:t>
      </w:r>
      <w:r>
        <w:rPr>
          <w:i w:val="0"/>
          <w:iCs w:val="0"/>
          <w:u w:val="none"/>
        </w:rPr>
        <w:t xml:space="preserve"> to the Report. The analysis here is </w:t>
      </w:r>
      <w:r w:rsidR="00E844AE">
        <w:rPr>
          <w:i w:val="0"/>
          <w:iCs w:val="0"/>
          <w:u w:val="none"/>
        </w:rPr>
        <w:t xml:space="preserve">largely the same as </w:t>
      </w:r>
      <w:r>
        <w:rPr>
          <w:i w:val="0"/>
          <w:iCs w:val="0"/>
          <w:u w:val="none"/>
        </w:rPr>
        <w:t>the analysis located in para.</w:t>
      </w:r>
      <w:r w:rsidR="00E844AE">
        <w:rPr>
          <w:i w:val="0"/>
          <w:iCs w:val="0"/>
          <w:u w:val="none"/>
        </w:rPr>
        <w:t>4</w:t>
      </w:r>
      <w:r>
        <w:rPr>
          <w:i w:val="0"/>
          <w:iCs w:val="0"/>
          <w:u w:val="none"/>
        </w:rPr>
        <w:t>.2 (</w:t>
      </w:r>
      <w:r>
        <w:rPr>
          <w:u w:val="none"/>
        </w:rPr>
        <w:t>Histograms</w:t>
      </w:r>
      <w:r>
        <w:rPr>
          <w:i w:val="0"/>
          <w:iCs w:val="0"/>
          <w:u w:val="none"/>
        </w:rPr>
        <w:t>) above</w:t>
      </w:r>
      <w:r w:rsidR="00142165">
        <w:rPr>
          <w:i w:val="0"/>
          <w:iCs w:val="0"/>
          <w:u w:val="none"/>
        </w:rPr>
        <w:t xml:space="preserve"> – it is useful to note, however, that for the purposes of the clamped box plot, t</w:t>
      </w:r>
      <w:r w:rsidR="00142165" w:rsidRPr="00142165">
        <w:rPr>
          <w:i w:val="0"/>
          <w:iCs w:val="0"/>
          <w:u w:val="none"/>
        </w:rPr>
        <w:t xml:space="preserve">he  spread between second and fourth quartiles seems to be between 20k-40k, with some large outliers over 56k. </w:t>
      </w:r>
      <w:r w:rsidR="00142165">
        <w:rPr>
          <w:i w:val="0"/>
          <w:iCs w:val="0"/>
          <w:u w:val="none"/>
        </w:rPr>
        <w:t>For the date of sale box plot,  spread between the second and fourth quartiles seems to be between 2015–2020.</w:t>
      </w:r>
    </w:p>
    <w:p w14:paraId="2AD6664B" w14:textId="64FF3964" w:rsidR="007E705B" w:rsidRDefault="007E705B" w:rsidP="007E705B">
      <w:pPr>
        <w:pStyle w:val="Heading2"/>
      </w:pPr>
      <w:r>
        <w:t>Potential Solutions</w:t>
      </w:r>
    </w:p>
    <w:tbl>
      <w:tblPr>
        <w:tblStyle w:val="GridTable4"/>
        <w:tblW w:w="0" w:type="auto"/>
        <w:tblLook w:val="04A0" w:firstRow="1" w:lastRow="0" w:firstColumn="1" w:lastColumn="0" w:noHBand="0" w:noVBand="1"/>
      </w:tblPr>
      <w:tblGrid>
        <w:gridCol w:w="1337"/>
        <w:gridCol w:w="3336"/>
        <w:gridCol w:w="2552"/>
        <w:gridCol w:w="2511"/>
      </w:tblGrid>
      <w:tr w:rsidR="00FB72D7" w:rsidRPr="000927D1" w14:paraId="08EE234F" w14:textId="4AB5829B" w:rsidTr="003561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37" w:type="dxa"/>
          </w:tcPr>
          <w:p w14:paraId="692A1D0D" w14:textId="49FD6E31" w:rsidR="00FB72D7" w:rsidRPr="000927D1" w:rsidRDefault="00FB72D7" w:rsidP="00A651EF">
            <w:pPr>
              <w:jc w:val="center"/>
              <w:rPr>
                <w:szCs w:val="19"/>
              </w:rPr>
            </w:pPr>
            <w:r>
              <w:rPr>
                <w:szCs w:val="19"/>
              </w:rPr>
              <w:t>ISSUE</w:t>
            </w:r>
          </w:p>
        </w:tc>
        <w:tc>
          <w:tcPr>
            <w:tcW w:w="3336" w:type="dxa"/>
          </w:tcPr>
          <w:p w14:paraId="0FA969DF" w14:textId="23663DB4" w:rsidR="00FB72D7" w:rsidRPr="000927D1" w:rsidRDefault="00FB72D7" w:rsidP="00A651EF">
            <w:pPr>
              <w:jc w:val="center"/>
              <w:cnfStyle w:val="100000000000" w:firstRow="1" w:lastRow="0" w:firstColumn="0" w:lastColumn="0" w:oddVBand="0" w:evenVBand="0" w:oddHBand="0" w:evenHBand="0" w:firstRowFirstColumn="0" w:firstRowLastColumn="0" w:lastRowFirstColumn="0" w:lastRowLastColumn="0"/>
            </w:pPr>
            <w:r>
              <w:t>POTENTIAL SOLUTIONS</w:t>
            </w:r>
          </w:p>
        </w:tc>
        <w:tc>
          <w:tcPr>
            <w:tcW w:w="2552" w:type="dxa"/>
          </w:tcPr>
          <w:p w14:paraId="714F43EF" w14:textId="2ED00E35" w:rsidR="00FB72D7" w:rsidRPr="000927D1" w:rsidRDefault="00FB72D7" w:rsidP="00A651EF">
            <w:pPr>
              <w:jc w:val="center"/>
              <w:cnfStyle w:val="100000000000" w:firstRow="1" w:lastRow="0" w:firstColumn="0" w:lastColumn="0" w:oddVBand="0" w:evenVBand="0" w:oddHBand="0" w:evenHBand="0" w:firstRowFirstColumn="0" w:firstRowLastColumn="0" w:lastRowFirstColumn="0" w:lastRowLastColumn="0"/>
              <w:rPr>
                <w:szCs w:val="19"/>
              </w:rPr>
            </w:pPr>
            <w:r>
              <w:rPr>
                <w:szCs w:val="19"/>
              </w:rPr>
              <w:t>ADVANTAGES</w:t>
            </w:r>
          </w:p>
        </w:tc>
        <w:tc>
          <w:tcPr>
            <w:tcW w:w="2511" w:type="dxa"/>
          </w:tcPr>
          <w:p w14:paraId="306060BB" w14:textId="508F03F1" w:rsidR="00FB72D7" w:rsidRDefault="00FB72D7" w:rsidP="00A651EF">
            <w:pPr>
              <w:jc w:val="center"/>
              <w:cnfStyle w:val="100000000000" w:firstRow="1" w:lastRow="0" w:firstColumn="0" w:lastColumn="0" w:oddVBand="0" w:evenVBand="0" w:oddHBand="0" w:evenHBand="0" w:firstRowFirstColumn="0" w:firstRowLastColumn="0" w:lastRowFirstColumn="0" w:lastRowLastColumn="0"/>
              <w:rPr>
                <w:szCs w:val="19"/>
              </w:rPr>
            </w:pPr>
            <w:r>
              <w:rPr>
                <w:szCs w:val="19"/>
              </w:rPr>
              <w:t>DISADVANTAGES</w:t>
            </w:r>
          </w:p>
        </w:tc>
      </w:tr>
      <w:tr w:rsidR="00725BAC" w14:paraId="31D3B061" w14:textId="7C6BB966" w:rsidTr="003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vMerge w:val="restart"/>
            <w:tcBorders>
              <w:top w:val="single" w:sz="4" w:space="0" w:color="000000" w:themeColor="text1"/>
            </w:tcBorders>
            <w:shd w:val="clear" w:color="auto" w:fill="FFFFFF" w:themeFill="background1"/>
          </w:tcPr>
          <w:p w14:paraId="32CD4E5D" w14:textId="410DF3F3" w:rsidR="00725BAC" w:rsidRDefault="00725BAC" w:rsidP="00A651EF">
            <w:r>
              <w:t>Presence of high outliers</w:t>
            </w:r>
          </w:p>
        </w:tc>
        <w:tc>
          <w:tcPr>
            <w:tcW w:w="3336" w:type="dxa"/>
            <w:tcBorders>
              <w:top w:val="single" w:sz="4" w:space="0" w:color="000000" w:themeColor="text1"/>
            </w:tcBorders>
            <w:shd w:val="clear" w:color="auto" w:fill="FFFFFF" w:themeFill="background1"/>
          </w:tcPr>
          <w:p w14:paraId="09441643" w14:textId="204DD54E" w:rsidR="00725BAC" w:rsidRDefault="00725BAC" w:rsidP="00A651EF">
            <w:pPr>
              <w:cnfStyle w:val="000000100000" w:firstRow="0" w:lastRow="0" w:firstColumn="0" w:lastColumn="0" w:oddVBand="0" w:evenVBand="0" w:oddHBand="1" w:evenHBand="0" w:firstRowFirstColumn="0" w:firstRowLastColumn="0" w:lastRowFirstColumn="0" w:lastRowLastColumn="0"/>
            </w:pPr>
            <w:r>
              <w:t xml:space="preserve">For rows where several properties were entered as a single entry, split those rows into several entries representing each property, under the assumption that each property cost the same amount. </w:t>
            </w:r>
          </w:p>
        </w:tc>
        <w:tc>
          <w:tcPr>
            <w:tcW w:w="2552" w:type="dxa"/>
            <w:tcBorders>
              <w:top w:val="single" w:sz="4" w:space="0" w:color="000000" w:themeColor="text1"/>
            </w:tcBorders>
            <w:shd w:val="clear" w:color="auto" w:fill="FFFFFF" w:themeFill="background1"/>
          </w:tcPr>
          <w:p w14:paraId="47A8CD2A" w14:textId="6CD250E4" w:rsidR="00725BAC" w:rsidRDefault="00725BAC" w:rsidP="00A651EF">
            <w:pPr>
              <w:cnfStyle w:val="000000100000" w:firstRow="0" w:lastRow="0" w:firstColumn="0" w:lastColumn="0" w:oddVBand="0" w:evenVBand="0" w:oddHBand="1" w:evenHBand="0" w:firstRowFirstColumn="0" w:firstRowLastColumn="0" w:lastRowFirstColumn="0" w:lastRowLastColumn="0"/>
            </w:pPr>
            <w:r>
              <w:t>Very little loss of data, represents the true intent of the entry in the context of the table (a record of the sale of several properties).</w:t>
            </w:r>
          </w:p>
        </w:tc>
        <w:tc>
          <w:tcPr>
            <w:tcW w:w="2511" w:type="dxa"/>
            <w:tcBorders>
              <w:top w:val="single" w:sz="4" w:space="0" w:color="000000" w:themeColor="text1"/>
            </w:tcBorders>
            <w:shd w:val="clear" w:color="auto" w:fill="FFFFFF" w:themeFill="background1"/>
          </w:tcPr>
          <w:p w14:paraId="4BB48B98" w14:textId="56E260A6" w:rsidR="00725BAC" w:rsidRDefault="00725BAC" w:rsidP="00A651EF">
            <w:pPr>
              <w:cnfStyle w:val="000000100000" w:firstRow="0" w:lastRow="0" w:firstColumn="0" w:lastColumn="0" w:oddVBand="0" w:evenVBand="0" w:oddHBand="1" w:evenHBand="0" w:firstRowFirstColumn="0" w:firstRowLastColumn="0" w:lastRowFirstColumn="0" w:lastRowLastColumn="0"/>
            </w:pPr>
            <w:r>
              <w:t>Assumption that each property cost the same amount may be incorrect. Also, it is difficult to track down which entries represent multiple properties within the Dataset.</w:t>
            </w:r>
          </w:p>
        </w:tc>
      </w:tr>
      <w:tr w:rsidR="00725BAC" w14:paraId="006800EC" w14:textId="77777777" w:rsidTr="003561BB">
        <w:tc>
          <w:tcPr>
            <w:cnfStyle w:val="001000000000" w:firstRow="0" w:lastRow="0" w:firstColumn="1" w:lastColumn="0" w:oddVBand="0" w:evenVBand="0" w:oddHBand="0" w:evenHBand="0" w:firstRowFirstColumn="0" w:firstRowLastColumn="0" w:lastRowFirstColumn="0" w:lastRowLastColumn="0"/>
            <w:tcW w:w="1337" w:type="dxa"/>
            <w:vMerge/>
            <w:shd w:val="clear" w:color="auto" w:fill="FFFFFF" w:themeFill="background1"/>
          </w:tcPr>
          <w:p w14:paraId="24E0067A" w14:textId="77777777" w:rsidR="00725BAC" w:rsidRDefault="00725BAC" w:rsidP="00A651EF"/>
        </w:tc>
        <w:tc>
          <w:tcPr>
            <w:tcW w:w="3336" w:type="dxa"/>
            <w:shd w:val="clear" w:color="auto" w:fill="FFFFFF" w:themeFill="background1"/>
          </w:tcPr>
          <w:p w14:paraId="4165430C" w14:textId="3BA9BF41" w:rsidR="00725BAC" w:rsidRDefault="00725BAC" w:rsidP="00A651EF">
            <w:pPr>
              <w:cnfStyle w:val="000000000000" w:firstRow="0" w:lastRow="0" w:firstColumn="0" w:lastColumn="0" w:oddVBand="0" w:evenVBand="0" w:oddHBand="0" w:evenHBand="0" w:firstRowFirstColumn="0" w:firstRowLastColumn="0" w:lastRowFirstColumn="0" w:lastRowLastColumn="0"/>
            </w:pPr>
            <w:r>
              <w:t xml:space="preserve">Replace all high outliers above a certain value with the median. </w:t>
            </w:r>
          </w:p>
        </w:tc>
        <w:tc>
          <w:tcPr>
            <w:tcW w:w="2552" w:type="dxa"/>
            <w:shd w:val="clear" w:color="auto" w:fill="FFFFFF" w:themeFill="background1"/>
          </w:tcPr>
          <w:p w14:paraId="64C9FD32" w14:textId="080D26A6" w:rsidR="00725BAC" w:rsidRDefault="00725BAC" w:rsidP="00A651EF">
            <w:pPr>
              <w:cnfStyle w:val="000000000000" w:firstRow="0" w:lastRow="0" w:firstColumn="0" w:lastColumn="0" w:oddVBand="0" w:evenVBand="0" w:oddHBand="0" w:evenHBand="0" w:firstRowFirstColumn="0" w:firstRowLastColumn="0" w:lastRowFirstColumn="0" w:lastRowLastColumn="0"/>
            </w:pPr>
            <w:r>
              <w:t>Simple operation that will lead to a more evenly distributed Dataset.</w:t>
            </w:r>
          </w:p>
        </w:tc>
        <w:tc>
          <w:tcPr>
            <w:tcW w:w="2511" w:type="dxa"/>
            <w:shd w:val="clear" w:color="auto" w:fill="FFFFFF" w:themeFill="background1"/>
          </w:tcPr>
          <w:p w14:paraId="34035F33" w14:textId="075C3C5E" w:rsidR="00725BAC" w:rsidRDefault="00725BAC" w:rsidP="00A651EF">
            <w:pPr>
              <w:cnfStyle w:val="000000000000" w:firstRow="0" w:lastRow="0" w:firstColumn="0" w:lastColumn="0" w:oddVBand="0" w:evenVBand="0" w:oddHBand="0" w:evenHBand="0" w:firstRowFirstColumn="0" w:firstRowLastColumn="0" w:lastRowFirstColumn="0" w:lastRowLastColumn="0"/>
            </w:pPr>
            <w:r>
              <w:t>Large loss of data – some of the high outliers could represent actual properties that were sold for a large value, which is information which would be valuable for the model.</w:t>
            </w:r>
          </w:p>
        </w:tc>
      </w:tr>
      <w:tr w:rsidR="00725BAC" w14:paraId="346C7000" w14:textId="77777777" w:rsidTr="003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vMerge/>
            <w:shd w:val="clear" w:color="auto" w:fill="FFFFFF" w:themeFill="background1"/>
          </w:tcPr>
          <w:p w14:paraId="210BB2CA" w14:textId="77777777" w:rsidR="00725BAC" w:rsidRDefault="00725BAC" w:rsidP="00A651EF"/>
        </w:tc>
        <w:tc>
          <w:tcPr>
            <w:tcW w:w="3336" w:type="dxa"/>
            <w:shd w:val="clear" w:color="auto" w:fill="FFFFFF" w:themeFill="background1"/>
          </w:tcPr>
          <w:p w14:paraId="58D6AB06" w14:textId="0B1CC38A" w:rsidR="00725BAC" w:rsidRDefault="00725BAC" w:rsidP="00A651EF">
            <w:pPr>
              <w:cnfStyle w:val="000000100000" w:firstRow="0" w:lastRow="0" w:firstColumn="0" w:lastColumn="0" w:oddVBand="0" w:evenVBand="0" w:oddHBand="1" w:evenHBand="0" w:firstRowFirstColumn="0" w:firstRowLastColumn="0" w:lastRowFirstColumn="0" w:lastRowLastColumn="0"/>
            </w:pPr>
            <w:r>
              <w:t>Clamp the high outliers at a certain value.</w:t>
            </w:r>
          </w:p>
        </w:tc>
        <w:tc>
          <w:tcPr>
            <w:tcW w:w="2552" w:type="dxa"/>
            <w:shd w:val="clear" w:color="auto" w:fill="FFFFFF" w:themeFill="background1"/>
          </w:tcPr>
          <w:p w14:paraId="3E6BF57F" w14:textId="4A9F088C" w:rsidR="00725BAC" w:rsidRDefault="00725BAC" w:rsidP="00A651EF">
            <w:pPr>
              <w:cnfStyle w:val="000000100000" w:firstRow="0" w:lastRow="0" w:firstColumn="0" w:lastColumn="0" w:oddVBand="0" w:evenVBand="0" w:oddHBand="1" w:evenHBand="0" w:firstRowFirstColumn="0" w:firstRowLastColumn="0" w:lastRowFirstColumn="0" w:lastRowLastColumn="0"/>
            </w:pPr>
            <w:r>
              <w:t>Simple operation.</w:t>
            </w:r>
          </w:p>
        </w:tc>
        <w:tc>
          <w:tcPr>
            <w:tcW w:w="2511" w:type="dxa"/>
            <w:shd w:val="clear" w:color="auto" w:fill="FFFFFF" w:themeFill="background1"/>
          </w:tcPr>
          <w:p w14:paraId="4EB5EDB1" w14:textId="7A37E188" w:rsidR="00725BAC" w:rsidRDefault="00725BAC" w:rsidP="00A651EF">
            <w:pPr>
              <w:cnfStyle w:val="000000100000" w:firstRow="0" w:lastRow="0" w:firstColumn="0" w:lastColumn="0" w:oddVBand="0" w:evenVBand="0" w:oddHBand="1" w:evenHBand="0" w:firstRowFirstColumn="0" w:firstRowLastColumn="0" w:lastRowFirstColumn="0" w:lastRowLastColumn="0"/>
            </w:pPr>
            <w:r>
              <w:t>Even larger loss of data, cardinality becomes significantly reduced.</w:t>
            </w:r>
          </w:p>
        </w:tc>
      </w:tr>
      <w:tr w:rsidR="00F4337E" w14:paraId="7A7D11FD" w14:textId="77777777" w:rsidTr="003561BB">
        <w:tc>
          <w:tcPr>
            <w:cnfStyle w:val="001000000000" w:firstRow="0" w:lastRow="0" w:firstColumn="1" w:lastColumn="0" w:oddVBand="0" w:evenVBand="0" w:oddHBand="0" w:evenHBand="0" w:firstRowFirstColumn="0" w:firstRowLastColumn="0" w:lastRowFirstColumn="0" w:lastRowLastColumn="0"/>
            <w:tcW w:w="1337" w:type="dxa"/>
            <w:vMerge w:val="restart"/>
            <w:shd w:val="clear" w:color="auto" w:fill="FFFFFF" w:themeFill="background1"/>
          </w:tcPr>
          <w:p w14:paraId="583B9C8E" w14:textId="437DA9C3" w:rsidR="00F4337E" w:rsidRDefault="00F4337E" w:rsidP="00BC7FAB">
            <w:r>
              <w:lastRenderedPageBreak/>
              <w:t>Presence of low outliers</w:t>
            </w:r>
          </w:p>
        </w:tc>
        <w:tc>
          <w:tcPr>
            <w:tcW w:w="3336" w:type="dxa"/>
            <w:shd w:val="clear" w:color="auto" w:fill="FFFFFF" w:themeFill="background1"/>
          </w:tcPr>
          <w:p w14:paraId="01F1CF01" w14:textId="13AFC0AC" w:rsidR="00F4337E" w:rsidRDefault="00F4337E" w:rsidP="00BC7FAB">
            <w:pPr>
              <w:cnfStyle w:val="000000000000" w:firstRow="0" w:lastRow="0" w:firstColumn="0" w:lastColumn="0" w:oddVBand="0" w:evenVBand="0" w:oddHBand="0" w:evenHBand="0" w:firstRowFirstColumn="0" w:firstRowLastColumn="0" w:lastRowFirstColumn="0" w:lastRowLastColumn="0"/>
            </w:pPr>
            <w:r>
              <w:t xml:space="preserve">Replace all low outliers below a certain value with the median. </w:t>
            </w:r>
          </w:p>
        </w:tc>
        <w:tc>
          <w:tcPr>
            <w:tcW w:w="2552" w:type="dxa"/>
            <w:shd w:val="clear" w:color="auto" w:fill="FFFFFF" w:themeFill="background1"/>
          </w:tcPr>
          <w:p w14:paraId="349EFD8E" w14:textId="2EA5A7B2" w:rsidR="00F4337E" w:rsidRDefault="00F4337E" w:rsidP="00BC7FAB">
            <w:pPr>
              <w:cnfStyle w:val="000000000000" w:firstRow="0" w:lastRow="0" w:firstColumn="0" w:lastColumn="0" w:oddVBand="0" w:evenVBand="0" w:oddHBand="0" w:evenHBand="0" w:firstRowFirstColumn="0" w:firstRowLastColumn="0" w:lastRowFirstColumn="0" w:lastRowLastColumn="0"/>
            </w:pPr>
            <w:r>
              <w:t>Simple operation that will lead to a more evenly distributed Dataset.</w:t>
            </w:r>
          </w:p>
        </w:tc>
        <w:tc>
          <w:tcPr>
            <w:tcW w:w="2511" w:type="dxa"/>
            <w:shd w:val="clear" w:color="auto" w:fill="FFFFFF" w:themeFill="background1"/>
          </w:tcPr>
          <w:p w14:paraId="52720029" w14:textId="02677B93" w:rsidR="00F4337E" w:rsidRDefault="00F4337E" w:rsidP="00BC7FAB">
            <w:pPr>
              <w:cnfStyle w:val="000000000000" w:firstRow="0" w:lastRow="0" w:firstColumn="0" w:lastColumn="0" w:oddVBand="0" w:evenVBand="0" w:oddHBand="0" w:evenHBand="0" w:firstRowFirstColumn="0" w:firstRowLastColumn="0" w:lastRowFirstColumn="0" w:lastRowLastColumn="0"/>
            </w:pPr>
            <w:r>
              <w:t>Large loss of data – some of the low outliers could represent actual properties that were sold for a low value, which is information which would be valuable for the model.</w:t>
            </w:r>
          </w:p>
        </w:tc>
      </w:tr>
      <w:tr w:rsidR="00F4337E" w14:paraId="1D27E457" w14:textId="77777777" w:rsidTr="003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vMerge/>
            <w:shd w:val="clear" w:color="auto" w:fill="FFFFFF" w:themeFill="background1"/>
          </w:tcPr>
          <w:p w14:paraId="60A3FA9F" w14:textId="77777777" w:rsidR="00F4337E" w:rsidRDefault="00F4337E" w:rsidP="00BC7FAB"/>
        </w:tc>
        <w:tc>
          <w:tcPr>
            <w:tcW w:w="3336" w:type="dxa"/>
            <w:shd w:val="clear" w:color="auto" w:fill="FFFFFF" w:themeFill="background1"/>
          </w:tcPr>
          <w:p w14:paraId="0DD27DA8" w14:textId="68B853A8" w:rsidR="00F4337E" w:rsidRDefault="00F4337E" w:rsidP="00BC7FAB">
            <w:pPr>
              <w:cnfStyle w:val="000000100000" w:firstRow="0" w:lastRow="0" w:firstColumn="0" w:lastColumn="0" w:oddVBand="0" w:evenVBand="0" w:oddHBand="1" w:evenHBand="0" w:firstRowFirstColumn="0" w:firstRowLastColumn="0" w:lastRowFirstColumn="0" w:lastRowLastColumn="0"/>
            </w:pPr>
            <w:r>
              <w:t>Clamp the low outliers at a certain value.</w:t>
            </w:r>
          </w:p>
        </w:tc>
        <w:tc>
          <w:tcPr>
            <w:tcW w:w="2552" w:type="dxa"/>
            <w:shd w:val="clear" w:color="auto" w:fill="FFFFFF" w:themeFill="background1"/>
          </w:tcPr>
          <w:p w14:paraId="5F2B4BFA" w14:textId="393A6302" w:rsidR="00F4337E" w:rsidRDefault="00F4337E" w:rsidP="00BC7FAB">
            <w:pPr>
              <w:cnfStyle w:val="000000100000" w:firstRow="0" w:lastRow="0" w:firstColumn="0" w:lastColumn="0" w:oddVBand="0" w:evenVBand="0" w:oddHBand="1" w:evenHBand="0" w:firstRowFirstColumn="0" w:firstRowLastColumn="0" w:lastRowFirstColumn="0" w:lastRowLastColumn="0"/>
            </w:pPr>
            <w:r>
              <w:t>Simple operation.</w:t>
            </w:r>
          </w:p>
        </w:tc>
        <w:tc>
          <w:tcPr>
            <w:tcW w:w="2511" w:type="dxa"/>
            <w:shd w:val="clear" w:color="auto" w:fill="FFFFFF" w:themeFill="background1"/>
          </w:tcPr>
          <w:p w14:paraId="1B0EADA2" w14:textId="0FF51A46" w:rsidR="00F4337E" w:rsidRDefault="00F4337E" w:rsidP="00BC7FAB">
            <w:pPr>
              <w:cnfStyle w:val="000000100000" w:firstRow="0" w:lastRow="0" w:firstColumn="0" w:lastColumn="0" w:oddVBand="0" w:evenVBand="0" w:oddHBand="1" w:evenHBand="0" w:firstRowFirstColumn="0" w:firstRowLastColumn="0" w:lastRowFirstColumn="0" w:lastRowLastColumn="0"/>
            </w:pPr>
            <w:r>
              <w:t>Even larger loss of data, cardinality becomes significantly reduced.</w:t>
            </w:r>
          </w:p>
        </w:tc>
      </w:tr>
    </w:tbl>
    <w:p w14:paraId="469EB730" w14:textId="6A74A68F" w:rsidR="00393C6B" w:rsidRDefault="00393C6B" w:rsidP="00393C6B"/>
    <w:p w14:paraId="3FFF752D" w14:textId="4F172275" w:rsidR="00512957" w:rsidRPr="005E1A23" w:rsidRDefault="00512957" w:rsidP="00512957">
      <w:pPr>
        <w:pStyle w:val="Heading1"/>
        <w:rPr>
          <w:sz w:val="19"/>
          <w:szCs w:val="19"/>
        </w:rPr>
      </w:pPr>
      <w:r w:rsidRPr="005E1A23">
        <w:rPr>
          <w:sz w:val="19"/>
          <w:szCs w:val="19"/>
        </w:rPr>
        <w:t xml:space="preserve">REVIEW </w:t>
      </w:r>
      <w:r>
        <w:rPr>
          <w:sz w:val="19"/>
          <w:szCs w:val="19"/>
        </w:rPr>
        <w:t>CATEGORICAL</w:t>
      </w:r>
      <w:r w:rsidRPr="005E1A23">
        <w:rPr>
          <w:sz w:val="19"/>
          <w:szCs w:val="19"/>
        </w:rPr>
        <w:t xml:space="preserve"> FEATURES</w:t>
      </w:r>
    </w:p>
    <w:p w14:paraId="463F1DE8" w14:textId="77777777" w:rsidR="00512957" w:rsidRDefault="00512957" w:rsidP="00512957">
      <w:pPr>
        <w:pStyle w:val="Heading2"/>
      </w:pPr>
      <w:r w:rsidRPr="000927D1">
        <w:t>Descriptive</w:t>
      </w:r>
      <w:r>
        <w:t xml:space="preserve"> Statistics</w:t>
      </w:r>
    </w:p>
    <w:tbl>
      <w:tblPr>
        <w:tblStyle w:val="GridTable4"/>
        <w:tblW w:w="0" w:type="auto"/>
        <w:tblLook w:val="04A0" w:firstRow="1" w:lastRow="0" w:firstColumn="1" w:lastColumn="0" w:noHBand="0" w:noVBand="1"/>
      </w:tblPr>
      <w:tblGrid>
        <w:gridCol w:w="1838"/>
        <w:gridCol w:w="2552"/>
        <w:gridCol w:w="5346"/>
      </w:tblGrid>
      <w:tr w:rsidR="00512957" w14:paraId="3C8F2F35" w14:textId="77777777" w:rsidTr="00A65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38" w:type="dxa"/>
          </w:tcPr>
          <w:p w14:paraId="7E6B2FF5" w14:textId="77777777" w:rsidR="00512957" w:rsidRPr="000927D1" w:rsidRDefault="00512957" w:rsidP="00A651EF">
            <w:pPr>
              <w:jc w:val="center"/>
              <w:rPr>
                <w:szCs w:val="19"/>
              </w:rPr>
            </w:pPr>
            <w:r w:rsidRPr="000927D1">
              <w:rPr>
                <w:szCs w:val="19"/>
              </w:rPr>
              <w:t>FEATURE NAME</w:t>
            </w:r>
          </w:p>
        </w:tc>
        <w:tc>
          <w:tcPr>
            <w:tcW w:w="2552" w:type="dxa"/>
          </w:tcPr>
          <w:p w14:paraId="711BD2AC" w14:textId="77777777" w:rsidR="00512957" w:rsidRPr="000927D1" w:rsidRDefault="00512957" w:rsidP="00A651EF">
            <w:pPr>
              <w:jc w:val="center"/>
              <w:cnfStyle w:val="100000000000" w:firstRow="1" w:lastRow="0" w:firstColumn="0" w:lastColumn="0" w:oddVBand="0" w:evenVBand="0" w:oddHBand="0" w:evenHBand="0" w:firstRowFirstColumn="0" w:firstRowLastColumn="0" w:lastRowFirstColumn="0" w:lastRowLastColumn="0"/>
            </w:pPr>
            <w:r w:rsidRPr="000927D1">
              <w:t>FEATURE DESCRIPTION</w:t>
            </w:r>
          </w:p>
        </w:tc>
        <w:tc>
          <w:tcPr>
            <w:tcW w:w="5346" w:type="dxa"/>
          </w:tcPr>
          <w:p w14:paraId="536DF650" w14:textId="77777777" w:rsidR="00512957" w:rsidRPr="000927D1" w:rsidRDefault="00512957" w:rsidP="00A651EF">
            <w:pPr>
              <w:jc w:val="center"/>
              <w:cnfStyle w:val="100000000000" w:firstRow="1" w:lastRow="0" w:firstColumn="0" w:lastColumn="0" w:oddVBand="0" w:evenVBand="0" w:oddHBand="0" w:evenHBand="0" w:firstRowFirstColumn="0" w:firstRowLastColumn="0" w:lastRowFirstColumn="0" w:lastRowLastColumn="0"/>
              <w:rPr>
                <w:szCs w:val="19"/>
              </w:rPr>
            </w:pPr>
            <w:r w:rsidRPr="000927D1">
              <w:rPr>
                <w:szCs w:val="19"/>
              </w:rPr>
              <w:t>OBSERVATIONS</w:t>
            </w:r>
          </w:p>
        </w:tc>
      </w:tr>
      <w:tr w:rsidR="00512957" w14:paraId="366FB5F9" w14:textId="77777777" w:rsidTr="00A6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12DD6B" w14:textId="7CE1216D" w:rsidR="00512957" w:rsidRDefault="00D47665" w:rsidP="00A651EF">
            <w:r>
              <w:t>Address</w:t>
            </w:r>
          </w:p>
        </w:tc>
        <w:tc>
          <w:tcPr>
            <w:tcW w:w="2552" w:type="dxa"/>
          </w:tcPr>
          <w:p w14:paraId="5AC5318E" w14:textId="7D0CB42E" w:rsidR="00512957" w:rsidRDefault="00D47665" w:rsidP="00A651EF">
            <w:pPr>
              <w:cnfStyle w:val="000000100000" w:firstRow="0" w:lastRow="0" w:firstColumn="0" w:lastColumn="0" w:oddVBand="0" w:evenVBand="0" w:oddHBand="1" w:evenHBand="0" w:firstRowFirstColumn="0" w:firstRowLastColumn="0" w:lastRowFirstColumn="0" w:lastRowLastColumn="0"/>
            </w:pPr>
            <w:r>
              <w:t>The address of the property that was sold.</w:t>
            </w:r>
          </w:p>
        </w:tc>
        <w:tc>
          <w:tcPr>
            <w:tcW w:w="5346" w:type="dxa"/>
          </w:tcPr>
          <w:p w14:paraId="7027803E" w14:textId="42504716" w:rsidR="00512957" w:rsidRDefault="00D47665" w:rsidP="00A651EF">
            <w:pPr>
              <w:cnfStyle w:val="000000100000" w:firstRow="0" w:lastRow="0" w:firstColumn="0" w:lastColumn="0" w:oddVBand="0" w:evenVBand="0" w:oddHBand="1" w:evenHBand="0" w:firstRowFirstColumn="0" w:firstRowLastColumn="0" w:lastRowFirstColumn="0" w:lastRowLastColumn="0"/>
            </w:pPr>
            <w:r>
              <w:t>There do not seem to be any major anomalies with this feature. However, the extremely large cardinality makes it difficult to see how any meaningful analysis could be carried out in relation to it.</w:t>
            </w:r>
          </w:p>
        </w:tc>
      </w:tr>
      <w:tr w:rsidR="00512957" w14:paraId="48776D10" w14:textId="77777777" w:rsidTr="00A651EF">
        <w:tc>
          <w:tcPr>
            <w:cnfStyle w:val="001000000000" w:firstRow="0" w:lastRow="0" w:firstColumn="1" w:lastColumn="0" w:oddVBand="0" w:evenVBand="0" w:oddHBand="0" w:evenHBand="0" w:firstRowFirstColumn="0" w:firstRowLastColumn="0" w:lastRowFirstColumn="0" w:lastRowLastColumn="0"/>
            <w:tcW w:w="1838" w:type="dxa"/>
          </w:tcPr>
          <w:p w14:paraId="76A4D736" w14:textId="625665A7" w:rsidR="00512957" w:rsidRDefault="00D47665" w:rsidP="00A651EF">
            <w:r>
              <w:t>Postal Code</w:t>
            </w:r>
          </w:p>
        </w:tc>
        <w:tc>
          <w:tcPr>
            <w:tcW w:w="2552" w:type="dxa"/>
          </w:tcPr>
          <w:p w14:paraId="2CE136F1" w14:textId="4FF219E8" w:rsidR="00512957" w:rsidRDefault="00D47665" w:rsidP="00A651EF">
            <w:pPr>
              <w:cnfStyle w:val="000000000000" w:firstRow="0" w:lastRow="0" w:firstColumn="0" w:lastColumn="0" w:oddVBand="0" w:evenVBand="0" w:oddHBand="0" w:evenHBand="0" w:firstRowFirstColumn="0" w:firstRowLastColumn="0" w:lastRowFirstColumn="0" w:lastRowLastColumn="0"/>
            </w:pPr>
            <w:r>
              <w:t>The postal code of the property that was sold.</w:t>
            </w:r>
          </w:p>
        </w:tc>
        <w:tc>
          <w:tcPr>
            <w:tcW w:w="5346" w:type="dxa"/>
          </w:tcPr>
          <w:p w14:paraId="43204803" w14:textId="1E647C6F" w:rsidR="00512957" w:rsidRDefault="00D47665" w:rsidP="00A651EF">
            <w:pPr>
              <w:cnfStyle w:val="000000000000" w:firstRow="0" w:lastRow="0" w:firstColumn="0" w:lastColumn="0" w:oddVBand="0" w:evenVBand="0" w:oddHBand="0" w:evenHBand="0" w:firstRowFirstColumn="0" w:firstRowLastColumn="0" w:lastRowFirstColumn="0" w:lastRowLastColumn="0"/>
            </w:pPr>
            <w:r>
              <w:t xml:space="preserve">There are many missing values in respect of this feature. Upon further inspection, </w:t>
            </w:r>
            <w:r w:rsidR="008A5787">
              <w:t>the</w:t>
            </w:r>
            <w:r>
              <w:t xml:space="preserve"> postal codes only appear if the property was sold in Dublin. </w:t>
            </w:r>
            <w:r w:rsidR="008A5787">
              <w:t xml:space="preserve">Furthermore, the postal codes being used are not the more recent </w:t>
            </w:r>
            <w:proofErr w:type="spellStart"/>
            <w:r w:rsidR="008A5787">
              <w:t>Eircodes</w:t>
            </w:r>
            <w:proofErr w:type="spellEnd"/>
            <w:r w:rsidR="008A5787">
              <w:t xml:space="preserve">. </w:t>
            </w:r>
          </w:p>
        </w:tc>
      </w:tr>
      <w:tr w:rsidR="00D47665" w14:paraId="171ABF6F" w14:textId="77777777" w:rsidTr="00A6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A61BEE" w14:textId="2D7CC6EE" w:rsidR="00D47665" w:rsidRDefault="00D47665" w:rsidP="00A651EF">
            <w:r>
              <w:t>County</w:t>
            </w:r>
          </w:p>
        </w:tc>
        <w:tc>
          <w:tcPr>
            <w:tcW w:w="2552" w:type="dxa"/>
          </w:tcPr>
          <w:p w14:paraId="768A6D5F" w14:textId="6C911C17" w:rsidR="00D47665" w:rsidRDefault="004B3CB8" w:rsidP="00A651EF">
            <w:pPr>
              <w:cnfStyle w:val="000000100000" w:firstRow="0" w:lastRow="0" w:firstColumn="0" w:lastColumn="0" w:oddVBand="0" w:evenVBand="0" w:oddHBand="1" w:evenHBand="0" w:firstRowFirstColumn="0" w:firstRowLastColumn="0" w:lastRowFirstColumn="0" w:lastRowLastColumn="0"/>
            </w:pPr>
            <w:r>
              <w:t>The county where the property being sold was located.</w:t>
            </w:r>
          </w:p>
        </w:tc>
        <w:tc>
          <w:tcPr>
            <w:tcW w:w="5346" w:type="dxa"/>
          </w:tcPr>
          <w:p w14:paraId="3792D5A4" w14:textId="23C51FAF" w:rsidR="00D47665" w:rsidRDefault="00B92D95" w:rsidP="00A651EF">
            <w:pPr>
              <w:cnfStyle w:val="000000100000" w:firstRow="0" w:lastRow="0" w:firstColumn="0" w:lastColumn="0" w:oddVBand="0" w:evenVBand="0" w:oddHBand="1" w:evenHBand="0" w:firstRowFirstColumn="0" w:firstRowLastColumn="0" w:lastRowFirstColumn="0" w:lastRowLastColumn="0"/>
            </w:pPr>
            <w:r>
              <w:t>There do not seem to be any anomalies with this feature.</w:t>
            </w:r>
          </w:p>
        </w:tc>
      </w:tr>
      <w:tr w:rsidR="00D47665" w14:paraId="3FB7DFEF" w14:textId="77777777" w:rsidTr="00A651EF">
        <w:tc>
          <w:tcPr>
            <w:cnfStyle w:val="001000000000" w:firstRow="0" w:lastRow="0" w:firstColumn="1" w:lastColumn="0" w:oddVBand="0" w:evenVBand="0" w:oddHBand="0" w:evenHBand="0" w:firstRowFirstColumn="0" w:firstRowLastColumn="0" w:lastRowFirstColumn="0" w:lastRowLastColumn="0"/>
            <w:tcW w:w="1838" w:type="dxa"/>
          </w:tcPr>
          <w:p w14:paraId="237E7F20" w14:textId="3692D6E7" w:rsidR="00D47665" w:rsidRDefault="00D47665" w:rsidP="00A651EF">
            <w:r>
              <w:t>Not Full Market Price</w:t>
            </w:r>
          </w:p>
        </w:tc>
        <w:tc>
          <w:tcPr>
            <w:tcW w:w="2552" w:type="dxa"/>
          </w:tcPr>
          <w:p w14:paraId="46DFC6AA" w14:textId="021C0C1A" w:rsidR="00D47665" w:rsidRDefault="005115E8" w:rsidP="00A651EF">
            <w:pPr>
              <w:cnfStyle w:val="000000000000" w:firstRow="0" w:lastRow="0" w:firstColumn="0" w:lastColumn="0" w:oddVBand="0" w:evenVBand="0" w:oddHBand="0" w:evenHBand="0" w:firstRowFirstColumn="0" w:firstRowLastColumn="0" w:lastRowFirstColumn="0" w:lastRowLastColumn="0"/>
            </w:pPr>
            <w:r>
              <w:t xml:space="preserve">Indicates </w:t>
            </w:r>
            <w:r w:rsidR="0012227E">
              <w:t>whether</w:t>
            </w:r>
            <w:r>
              <w:t xml:space="preserve"> the property was sold at full value. </w:t>
            </w:r>
          </w:p>
        </w:tc>
        <w:tc>
          <w:tcPr>
            <w:tcW w:w="5346" w:type="dxa"/>
          </w:tcPr>
          <w:p w14:paraId="46FD00A0" w14:textId="4C794EB3" w:rsidR="00D865E9" w:rsidRDefault="00D865E9" w:rsidP="00A651EF">
            <w:pPr>
              <w:cnfStyle w:val="000000000000" w:firstRow="0" w:lastRow="0" w:firstColumn="0" w:lastColumn="0" w:oddVBand="0" w:evenVBand="0" w:oddHBand="0" w:evenHBand="0" w:firstRowFirstColumn="0" w:firstRowLastColumn="0" w:lastRowFirstColumn="0" w:lastRowLastColumn="0"/>
            </w:pPr>
            <w:r>
              <w:t xml:space="preserve">It is a little unclear from the </w:t>
            </w:r>
            <w:r w:rsidR="00594FCB">
              <w:t xml:space="preserve">RPPR </w:t>
            </w:r>
            <w:r>
              <w:t>information note what this feature is supposed to represent</w:t>
            </w:r>
            <w:r w:rsidR="00594FCB">
              <w:t>.</w:t>
            </w:r>
            <w:r>
              <w:t xml:space="preserve"> </w:t>
            </w:r>
            <w:r w:rsidR="00594FCB">
              <w:t>T</w:t>
            </w:r>
            <w:r>
              <w:t xml:space="preserve">he RPPR suggests that where this feature is set to “True”, “the price shown does not represent the full market price of the property concerned for a variety of reasons”, such as </w:t>
            </w:r>
            <w:r w:rsidR="00594FCB">
              <w:t xml:space="preserve">the interest in the property being retained by the previous owner, or the house being purchased under the Affordable Homes Scheme. It is unclear whether this means that: (a) the home was purchased for the full price </w:t>
            </w:r>
            <w:r w:rsidR="00594FCB">
              <w:lastRenderedPageBreak/>
              <w:t xml:space="preserve">and a lower price is shown in the register or (b) the home was </w:t>
            </w:r>
            <w:proofErr w:type="gramStart"/>
            <w:r w:rsidR="00594FCB">
              <w:t>actually purchased</w:t>
            </w:r>
            <w:proofErr w:type="gramEnd"/>
            <w:r w:rsidR="00594FCB">
              <w:t xml:space="preserve"> at a discount. </w:t>
            </w:r>
          </w:p>
          <w:p w14:paraId="1265C03F" w14:textId="392F1E43" w:rsidR="00594FCB" w:rsidRDefault="00594FCB" w:rsidP="00A651EF">
            <w:pPr>
              <w:cnfStyle w:val="000000000000" w:firstRow="0" w:lastRow="0" w:firstColumn="0" w:lastColumn="0" w:oddVBand="0" w:evenVBand="0" w:oddHBand="0" w:evenHBand="0" w:firstRowFirstColumn="0" w:firstRowLastColumn="0" w:lastRowFirstColumn="0" w:lastRowLastColumn="0"/>
            </w:pPr>
            <w:r>
              <w:t xml:space="preserve">Because it is not possible to discuss with a domain expert, we will have to </w:t>
            </w:r>
            <w:proofErr w:type="gramStart"/>
            <w:r>
              <w:t>make an assumption</w:t>
            </w:r>
            <w:proofErr w:type="gramEnd"/>
            <w:r>
              <w:t xml:space="preserve"> here. For the purposes of this assignment, we will assume that “Not Full Market Price” means that the relevant property was </w:t>
            </w:r>
            <w:proofErr w:type="gramStart"/>
            <w:r>
              <w:t>actually purchased</w:t>
            </w:r>
            <w:proofErr w:type="gramEnd"/>
            <w:r>
              <w:t xml:space="preserve"> at a price lower than its market value, for whatever reason that may be.  </w:t>
            </w:r>
          </w:p>
          <w:p w14:paraId="5ED9C72B" w14:textId="5F11BFEE" w:rsidR="00D47665" w:rsidRDefault="0012227E" w:rsidP="00A651EF">
            <w:pPr>
              <w:cnfStyle w:val="000000000000" w:firstRow="0" w:lastRow="0" w:firstColumn="0" w:lastColumn="0" w:oddVBand="0" w:evenVBand="0" w:oddHBand="0" w:evenHBand="0" w:firstRowFirstColumn="0" w:firstRowLastColumn="0" w:lastRowFirstColumn="0" w:lastRowLastColumn="0"/>
            </w:pPr>
            <w:r>
              <w:t xml:space="preserve">There do not seem to be any anomalies with this feature. </w:t>
            </w:r>
            <w:r w:rsidR="00B03AA3">
              <w:t>However, the fact that it is represented through a negative (</w:t>
            </w:r>
            <w:r w:rsidR="00DA614F">
              <w:t>i.e.,</w:t>
            </w:r>
            <w:r w:rsidR="00B03AA3">
              <w:t xml:space="preserve"> “Not Full Market Value” as opposed to “Full Market Value”), makes it a little counter-intuitive to work with.</w:t>
            </w:r>
            <w:r w:rsidR="00522657">
              <w:t xml:space="preserve"> Also, given that these are Boolean values, it might be easier to work with these if they were equal to “True” and “False” as opposed to “Yes” and “No”.</w:t>
            </w:r>
          </w:p>
          <w:p w14:paraId="11D55202" w14:textId="60975A0B" w:rsidR="00D865E9" w:rsidRDefault="00D865E9" w:rsidP="00A651EF">
            <w:pPr>
              <w:cnfStyle w:val="000000000000" w:firstRow="0" w:lastRow="0" w:firstColumn="0" w:lastColumn="0" w:oddVBand="0" w:evenVBand="0" w:oddHBand="0" w:evenHBand="0" w:firstRowFirstColumn="0" w:firstRowLastColumn="0" w:lastRowFirstColumn="0" w:lastRowLastColumn="0"/>
            </w:pPr>
            <w:r>
              <w:t xml:space="preserve">As mentioned, it seems that </w:t>
            </w:r>
            <w:r w:rsidR="00594FCB">
              <w:t>most of</w:t>
            </w:r>
            <w:r>
              <w:t xml:space="preserve"> the houses sold were sold for full market price.</w:t>
            </w:r>
          </w:p>
        </w:tc>
      </w:tr>
      <w:tr w:rsidR="00D47665" w14:paraId="4336DBE9" w14:textId="77777777" w:rsidTr="00A6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6F4829" w14:textId="2DC36F99" w:rsidR="00D47665" w:rsidRDefault="00D47665" w:rsidP="00A651EF">
            <w:r>
              <w:lastRenderedPageBreak/>
              <w:t>VAT Exclusive</w:t>
            </w:r>
          </w:p>
        </w:tc>
        <w:tc>
          <w:tcPr>
            <w:tcW w:w="2552" w:type="dxa"/>
          </w:tcPr>
          <w:p w14:paraId="7A302203" w14:textId="1858B7B2" w:rsidR="00D47665" w:rsidRDefault="0024129D" w:rsidP="00A651EF">
            <w:pPr>
              <w:cnfStyle w:val="000000100000" w:firstRow="0" w:lastRow="0" w:firstColumn="0" w:lastColumn="0" w:oddVBand="0" w:evenVBand="0" w:oddHBand="1" w:evenHBand="0" w:firstRowFirstColumn="0" w:firstRowLastColumn="0" w:lastRowFirstColumn="0" w:lastRowLastColumn="0"/>
            </w:pPr>
            <w:r>
              <w:t>Indicates if the purchase price includes VAT or not.</w:t>
            </w:r>
          </w:p>
        </w:tc>
        <w:tc>
          <w:tcPr>
            <w:tcW w:w="5346" w:type="dxa"/>
          </w:tcPr>
          <w:p w14:paraId="54256C8B" w14:textId="77777777" w:rsidR="00D47665" w:rsidRDefault="00B63F40" w:rsidP="00A651EF">
            <w:pPr>
              <w:cnfStyle w:val="000000100000" w:firstRow="0" w:lastRow="0" w:firstColumn="0" w:lastColumn="0" w:oddVBand="0" w:evenVBand="0" w:oddHBand="1" w:evenHBand="0" w:firstRowFirstColumn="0" w:firstRowLastColumn="0" w:lastRowFirstColumn="0" w:lastRowLastColumn="0"/>
            </w:pPr>
            <w:r>
              <w:t>There do not seem to be any anomalies with this feature.</w:t>
            </w:r>
            <w:r w:rsidR="00FA4032">
              <w:t xml:space="preserve"> Also, given that these are Boolean values, it might be easier to work with these if they were equal to “True” and “False” as opposed to “Yes” and “No”.</w:t>
            </w:r>
          </w:p>
          <w:p w14:paraId="5DC146ED" w14:textId="77777777" w:rsidR="004A1355" w:rsidRDefault="004A1355" w:rsidP="00A651EF">
            <w:pPr>
              <w:cnfStyle w:val="000000100000" w:firstRow="0" w:lastRow="0" w:firstColumn="0" w:lastColumn="0" w:oddVBand="0" w:evenVBand="0" w:oddHBand="1" w:evenHBand="0" w:firstRowFirstColumn="0" w:firstRowLastColumn="0" w:lastRowFirstColumn="0" w:lastRowLastColumn="0"/>
            </w:pPr>
            <w:r>
              <w:t>Based on the information note in the RPPR, this feature represents the fact that if VAT was payable on the property, then this would be mentioned here (and the Price displayed would not include this VAT).</w:t>
            </w:r>
          </w:p>
          <w:p w14:paraId="2395C1C1" w14:textId="79BFE783" w:rsidR="00D865E9" w:rsidRDefault="00D865E9" w:rsidP="00A651EF">
            <w:pPr>
              <w:cnfStyle w:val="000000100000" w:firstRow="0" w:lastRow="0" w:firstColumn="0" w:lastColumn="0" w:oddVBand="0" w:evenVBand="0" w:oddHBand="1" w:evenHBand="0" w:firstRowFirstColumn="0" w:firstRowLastColumn="0" w:lastRowFirstColumn="0" w:lastRowLastColumn="0"/>
            </w:pPr>
            <w:r>
              <w:t xml:space="preserve">As mentioned, </w:t>
            </w:r>
            <w:proofErr w:type="gramStart"/>
            <w:r>
              <w:t>the majority of</w:t>
            </w:r>
            <w:proofErr w:type="gramEnd"/>
            <w:r>
              <w:t xml:space="preserve"> the houses sold are marked not VAT Exclusive.</w:t>
            </w:r>
          </w:p>
        </w:tc>
      </w:tr>
      <w:tr w:rsidR="00D47665" w14:paraId="4BB898A6" w14:textId="77777777" w:rsidTr="00A651EF">
        <w:tc>
          <w:tcPr>
            <w:cnfStyle w:val="001000000000" w:firstRow="0" w:lastRow="0" w:firstColumn="1" w:lastColumn="0" w:oddVBand="0" w:evenVBand="0" w:oddHBand="0" w:evenHBand="0" w:firstRowFirstColumn="0" w:firstRowLastColumn="0" w:lastRowFirstColumn="0" w:lastRowLastColumn="0"/>
            <w:tcW w:w="1838" w:type="dxa"/>
          </w:tcPr>
          <w:p w14:paraId="5EE4AF37" w14:textId="0EFD052E" w:rsidR="00D47665" w:rsidRDefault="00D47665" w:rsidP="00A651EF">
            <w:r>
              <w:t>Description of Property</w:t>
            </w:r>
          </w:p>
        </w:tc>
        <w:tc>
          <w:tcPr>
            <w:tcW w:w="2552" w:type="dxa"/>
          </w:tcPr>
          <w:p w14:paraId="0622AFB2" w14:textId="6533C8C3" w:rsidR="00D47665" w:rsidRDefault="00B44C3E" w:rsidP="00A651EF">
            <w:pPr>
              <w:cnfStyle w:val="000000000000" w:firstRow="0" w:lastRow="0" w:firstColumn="0" w:lastColumn="0" w:oddVBand="0" w:evenVBand="0" w:oddHBand="0" w:evenHBand="0" w:firstRowFirstColumn="0" w:firstRowLastColumn="0" w:lastRowFirstColumn="0" w:lastRowLastColumn="0"/>
            </w:pPr>
            <w:r>
              <w:t>Gives a brief description of the property.</w:t>
            </w:r>
          </w:p>
        </w:tc>
        <w:tc>
          <w:tcPr>
            <w:tcW w:w="5346" w:type="dxa"/>
          </w:tcPr>
          <w:p w14:paraId="0FDC8757" w14:textId="77777777" w:rsidR="00D47665" w:rsidRDefault="00FD3D92" w:rsidP="00FD3D92">
            <w:pPr>
              <w:cnfStyle w:val="000000000000" w:firstRow="0" w:lastRow="0" w:firstColumn="0" w:lastColumn="0" w:oddVBand="0" w:evenVBand="0" w:oddHBand="0" w:evenHBand="0" w:firstRowFirstColumn="0" w:firstRowLastColumn="0" w:lastRowFirstColumn="0" w:lastRowLastColumn="0"/>
            </w:pPr>
            <w:r>
              <w:t>This feature has a cardinality of three, and upon further inspection one of the unique values is simply an Irish translation of one of the other unique values. Thus, the two possible values of this column are “New Dwelling House / Apartment” and “Second-Hand Dwelling House Apartment”.</w:t>
            </w:r>
          </w:p>
          <w:p w14:paraId="7BBAE38D" w14:textId="71796914" w:rsidR="004A1355" w:rsidRDefault="004A1355" w:rsidP="00FD3D92">
            <w:pPr>
              <w:cnfStyle w:val="000000000000" w:firstRow="0" w:lastRow="0" w:firstColumn="0" w:lastColumn="0" w:oddVBand="0" w:evenVBand="0" w:oddHBand="0" w:evenHBand="0" w:firstRowFirstColumn="0" w:firstRowLastColumn="0" w:lastRowFirstColumn="0" w:lastRowLastColumn="0"/>
            </w:pPr>
            <w:r>
              <w:t xml:space="preserve">One interesting point here is the fact that this feature merely suggests if the property sold was new and second hand. Given that VAT is payable mostly on new Irish properties, it should be considered </w:t>
            </w:r>
            <w:r w:rsidR="009C55E4">
              <w:t>whether</w:t>
            </w:r>
            <w:r>
              <w:t xml:space="preserve"> VAT Exclusive and Description of Property are merely representing the same facet of a property sale, namely </w:t>
            </w:r>
            <w:r w:rsidR="00DA614F">
              <w:t>whether</w:t>
            </w:r>
            <w:r>
              <w:t xml:space="preserve"> the property sold was second hand. </w:t>
            </w:r>
          </w:p>
        </w:tc>
      </w:tr>
      <w:tr w:rsidR="00D47665" w14:paraId="09F6D86E" w14:textId="77777777" w:rsidTr="00A6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F7C133" w14:textId="1CBE588F" w:rsidR="00D47665" w:rsidRDefault="00D47665" w:rsidP="00A651EF">
            <w:r>
              <w:lastRenderedPageBreak/>
              <w:t>Property Size Description</w:t>
            </w:r>
          </w:p>
        </w:tc>
        <w:tc>
          <w:tcPr>
            <w:tcW w:w="2552" w:type="dxa"/>
          </w:tcPr>
          <w:p w14:paraId="34BB9560" w14:textId="65D56AE4" w:rsidR="00D47665" w:rsidRDefault="000A0907" w:rsidP="00A651EF">
            <w:pPr>
              <w:cnfStyle w:val="000000100000" w:firstRow="0" w:lastRow="0" w:firstColumn="0" w:lastColumn="0" w:oddVBand="0" w:evenVBand="0" w:oddHBand="1" w:evenHBand="0" w:firstRowFirstColumn="0" w:firstRowLastColumn="0" w:lastRowFirstColumn="0" w:lastRowLastColumn="0"/>
            </w:pPr>
            <w:r>
              <w:t>Gives a description of the property size.</w:t>
            </w:r>
          </w:p>
        </w:tc>
        <w:tc>
          <w:tcPr>
            <w:tcW w:w="5346" w:type="dxa"/>
          </w:tcPr>
          <w:p w14:paraId="1B5E412B" w14:textId="20E918B2" w:rsidR="00D47665" w:rsidRDefault="00141A4A" w:rsidP="00A651EF">
            <w:pPr>
              <w:cnfStyle w:val="000000100000" w:firstRow="0" w:lastRow="0" w:firstColumn="0" w:lastColumn="0" w:oddVBand="0" w:evenVBand="0" w:oddHBand="1" w:evenHBand="0" w:firstRowFirstColumn="0" w:firstRowLastColumn="0" w:lastRowFirstColumn="0" w:lastRowLastColumn="0"/>
            </w:pPr>
            <w:r>
              <w:t xml:space="preserve">This feature has a cardinality of four and seems to have split the properties into four separate ranges. </w:t>
            </w:r>
            <w:r w:rsidR="002706B1">
              <w:t xml:space="preserve">However, due to the enormous </w:t>
            </w:r>
            <w:r w:rsidR="009C55E4">
              <w:t>number</w:t>
            </w:r>
            <w:r w:rsidR="002706B1">
              <w:t xml:space="preserve"> of missing values (over 90%) it is difficult to say whether any useful information could be </w:t>
            </w:r>
            <w:r w:rsidR="00EC06AF">
              <w:t>gleaned from this feature.</w:t>
            </w:r>
          </w:p>
        </w:tc>
      </w:tr>
    </w:tbl>
    <w:p w14:paraId="289FCDB7" w14:textId="77777777" w:rsidR="00512957" w:rsidRDefault="00512957" w:rsidP="00512957">
      <w:pPr>
        <w:pStyle w:val="Heading2"/>
        <w:numPr>
          <w:ilvl w:val="0"/>
          <w:numId w:val="0"/>
        </w:numPr>
        <w:ind w:left="431"/>
      </w:pPr>
    </w:p>
    <w:p w14:paraId="15A3A339" w14:textId="27EA898E" w:rsidR="00512957" w:rsidRDefault="00530B12" w:rsidP="00512957">
      <w:pPr>
        <w:pStyle w:val="Heading2"/>
      </w:pPr>
      <w:r>
        <w:t>Bar Charts</w:t>
      </w:r>
    </w:p>
    <w:p w14:paraId="26DA6910" w14:textId="77777777" w:rsidR="009C55E4" w:rsidRDefault="00512957" w:rsidP="00512957">
      <w:pPr>
        <w:pStyle w:val="Heading3"/>
        <w:numPr>
          <w:ilvl w:val="0"/>
          <w:numId w:val="0"/>
        </w:numPr>
        <w:ind w:left="431"/>
        <w:rPr>
          <w:i w:val="0"/>
          <w:iCs w:val="0"/>
          <w:u w:val="none"/>
        </w:rPr>
      </w:pPr>
      <w:r>
        <w:rPr>
          <w:i w:val="0"/>
          <w:iCs w:val="0"/>
          <w:u w:val="none"/>
        </w:rPr>
        <w:t xml:space="preserve">The </w:t>
      </w:r>
      <w:r w:rsidR="00530B12">
        <w:rPr>
          <w:i w:val="0"/>
          <w:iCs w:val="0"/>
          <w:u w:val="none"/>
        </w:rPr>
        <w:t>bar charts</w:t>
      </w:r>
      <w:r>
        <w:rPr>
          <w:i w:val="0"/>
          <w:iCs w:val="0"/>
          <w:u w:val="none"/>
        </w:rPr>
        <w:t xml:space="preserve"> are in Appendix 1 to the Report. There does </w:t>
      </w:r>
      <w:r w:rsidR="00530B12">
        <w:rPr>
          <w:i w:val="0"/>
          <w:iCs w:val="0"/>
          <w:u w:val="none"/>
        </w:rPr>
        <w:t xml:space="preserve">not seem to be anything unusual about any of the bar charts, and in fact the outcomes are largely as expected. </w:t>
      </w:r>
      <w:r w:rsidR="00AC2B0A">
        <w:rPr>
          <w:i w:val="0"/>
          <w:iCs w:val="0"/>
          <w:u w:val="none"/>
        </w:rPr>
        <w:t xml:space="preserve">Of particular interest is the fact that </w:t>
      </w:r>
      <w:r w:rsidR="00530B12">
        <w:rPr>
          <w:i w:val="0"/>
          <w:iCs w:val="0"/>
          <w:u w:val="none"/>
        </w:rPr>
        <w:t xml:space="preserve">the most sales took place in </w:t>
      </w:r>
      <w:r w:rsidR="00AC2B0A">
        <w:rPr>
          <w:i w:val="0"/>
          <w:iCs w:val="0"/>
          <w:u w:val="none"/>
        </w:rPr>
        <w:t>the two largest cities in Ireland</w:t>
      </w:r>
      <w:r w:rsidR="00530B12">
        <w:rPr>
          <w:i w:val="0"/>
          <w:iCs w:val="0"/>
          <w:u w:val="none"/>
        </w:rPr>
        <w:t xml:space="preserve"> i.e., Dublin and Cork. </w:t>
      </w:r>
      <w:r w:rsidR="00AC2B0A">
        <w:rPr>
          <w:i w:val="0"/>
          <w:iCs w:val="0"/>
          <w:u w:val="none"/>
        </w:rPr>
        <w:t>It is also interesting to see that Dublin 15 has the most sales out of any postcode in Dublin. Dublin 15 is a suburb, and it is possible that the large amounts of sales in this area suggests that more people are moving to live there.</w:t>
      </w:r>
      <w:r w:rsidR="00C64B37">
        <w:rPr>
          <w:i w:val="0"/>
          <w:iCs w:val="0"/>
          <w:u w:val="none"/>
        </w:rPr>
        <w:t xml:space="preserve"> </w:t>
      </w:r>
    </w:p>
    <w:p w14:paraId="6B378DC8" w14:textId="058B3970" w:rsidR="00633AA8" w:rsidRDefault="00633AA8" w:rsidP="00633AA8">
      <w:pPr>
        <w:pStyle w:val="Heading3"/>
        <w:numPr>
          <w:ilvl w:val="0"/>
          <w:numId w:val="0"/>
        </w:numPr>
        <w:ind w:left="431"/>
        <w:rPr>
          <w:i w:val="0"/>
          <w:iCs w:val="0"/>
          <w:u w:val="none"/>
        </w:rPr>
      </w:pPr>
      <w:r>
        <w:rPr>
          <w:i w:val="0"/>
          <w:iCs w:val="0"/>
          <w:u w:val="none"/>
        </w:rPr>
        <w:t>An attempt was made to plot the top 15 most frequent addresses, but this proved not to be particularly fruitful, given that: (a) the maximum cardinality of any address is equal to two; and (b) those 15 addresses all seem to be spread all over Ireland</w:t>
      </w:r>
      <w:r w:rsidR="00B3469E">
        <w:rPr>
          <w:i w:val="0"/>
          <w:iCs w:val="0"/>
          <w:u w:val="none"/>
        </w:rPr>
        <w:t>, meaning that there does not seem to be any major</w:t>
      </w:r>
      <w:r w:rsidR="00451101">
        <w:rPr>
          <w:i w:val="0"/>
          <w:iCs w:val="0"/>
          <w:u w:val="none"/>
        </w:rPr>
        <w:t xml:space="preserve"> link between frequency of reselling and location</w:t>
      </w:r>
      <w:r>
        <w:rPr>
          <w:i w:val="0"/>
          <w:iCs w:val="0"/>
          <w:u w:val="none"/>
        </w:rPr>
        <w:t>.</w:t>
      </w:r>
    </w:p>
    <w:p w14:paraId="2FA97AA8" w14:textId="206203C6" w:rsidR="00633AA8" w:rsidRDefault="00C64B37" w:rsidP="00633AA8">
      <w:pPr>
        <w:pStyle w:val="Heading3"/>
        <w:numPr>
          <w:ilvl w:val="0"/>
          <w:numId w:val="0"/>
        </w:numPr>
        <w:ind w:left="431"/>
        <w:rPr>
          <w:i w:val="0"/>
          <w:iCs w:val="0"/>
          <w:u w:val="none"/>
        </w:rPr>
      </w:pPr>
      <w:r>
        <w:rPr>
          <w:i w:val="0"/>
          <w:iCs w:val="0"/>
          <w:u w:val="none"/>
        </w:rPr>
        <w:t>We can also see that the Not Full Market Price features and VAT Exclusive features seem to heavily lean on one of their Boolean values (</w:t>
      </w:r>
      <w:r w:rsidR="009C55E4">
        <w:rPr>
          <w:i w:val="0"/>
          <w:iCs w:val="0"/>
          <w:u w:val="none"/>
        </w:rPr>
        <w:t>“</w:t>
      </w:r>
      <w:r>
        <w:rPr>
          <w:i w:val="0"/>
          <w:iCs w:val="0"/>
          <w:u w:val="none"/>
        </w:rPr>
        <w:t>No</w:t>
      </w:r>
      <w:r w:rsidR="009C55E4">
        <w:rPr>
          <w:i w:val="0"/>
          <w:iCs w:val="0"/>
          <w:u w:val="none"/>
        </w:rPr>
        <w:t>”</w:t>
      </w:r>
      <w:r>
        <w:rPr>
          <w:i w:val="0"/>
          <w:iCs w:val="0"/>
          <w:u w:val="none"/>
        </w:rPr>
        <w:t xml:space="preserve"> for both), which is something that we should consider when plotting correlations between features. </w:t>
      </w:r>
      <w:r w:rsidR="009C55E4">
        <w:rPr>
          <w:i w:val="0"/>
          <w:iCs w:val="0"/>
          <w:u w:val="none"/>
        </w:rPr>
        <w:t>Finally, we can see that most houses sold were second-hand, and were larger than 125 square metres.</w:t>
      </w:r>
    </w:p>
    <w:p w14:paraId="118870A0" w14:textId="77DACFC7" w:rsidR="00633AA8" w:rsidRPr="00633AA8" w:rsidRDefault="00633AA8" w:rsidP="00633AA8"/>
    <w:p w14:paraId="3AA20345" w14:textId="3DDF90C2" w:rsidR="00512957" w:rsidRDefault="00512957" w:rsidP="00512957">
      <w:pPr>
        <w:pStyle w:val="Heading2"/>
      </w:pPr>
      <w:r>
        <w:t>Potential Solutions</w:t>
      </w:r>
    </w:p>
    <w:p w14:paraId="44C13A5E" w14:textId="0AB613D1" w:rsidR="00924C4A" w:rsidRPr="00924C4A" w:rsidRDefault="00924C4A" w:rsidP="00924C4A">
      <w:pPr>
        <w:ind w:left="431"/>
        <w:rPr>
          <w:i/>
          <w:iCs/>
        </w:rPr>
      </w:pPr>
      <w:r>
        <w:rPr>
          <w:i/>
          <w:iCs/>
        </w:rPr>
        <w:t xml:space="preserve">Note: Some of the potential solutions for issues that were considered seem to have no disadvantages, or where the alternative is to do nothing. For such issues, only one solution is presented, as the fact that doing nothing </w:t>
      </w:r>
      <w:r w:rsidR="001F6FFB">
        <w:rPr>
          <w:i/>
          <w:iCs/>
        </w:rPr>
        <w:t>as</w:t>
      </w:r>
      <w:r>
        <w:rPr>
          <w:i/>
          <w:iCs/>
        </w:rPr>
        <w:t xml:space="preserve"> an alternative is implied</w:t>
      </w:r>
      <w:r w:rsidR="005613E2">
        <w:rPr>
          <w:i/>
          <w:iCs/>
        </w:rPr>
        <w:t xml:space="preserve"> (unless doing nothing has a disadvantage, as with the first row in the table below, in which case this is presented as a valid option). </w:t>
      </w:r>
      <w:r>
        <w:rPr>
          <w:i/>
          <w:iCs/>
        </w:rPr>
        <w:t xml:space="preserve"> </w:t>
      </w:r>
    </w:p>
    <w:tbl>
      <w:tblPr>
        <w:tblStyle w:val="GridTable4"/>
        <w:tblW w:w="0" w:type="auto"/>
        <w:tblLook w:val="04A0" w:firstRow="1" w:lastRow="0" w:firstColumn="1" w:lastColumn="0" w:noHBand="0" w:noVBand="1"/>
      </w:tblPr>
      <w:tblGrid>
        <w:gridCol w:w="2547"/>
        <w:gridCol w:w="2410"/>
        <w:gridCol w:w="2268"/>
        <w:gridCol w:w="2511"/>
      </w:tblGrid>
      <w:tr w:rsidR="00512957" w:rsidRPr="000927D1" w14:paraId="4645BD5E" w14:textId="77777777" w:rsidTr="003561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47" w:type="dxa"/>
          </w:tcPr>
          <w:p w14:paraId="74644A00" w14:textId="77777777" w:rsidR="00512957" w:rsidRPr="000927D1" w:rsidRDefault="00512957" w:rsidP="00A651EF">
            <w:pPr>
              <w:jc w:val="center"/>
              <w:rPr>
                <w:szCs w:val="19"/>
              </w:rPr>
            </w:pPr>
            <w:r>
              <w:rPr>
                <w:szCs w:val="19"/>
              </w:rPr>
              <w:t>ISSUE</w:t>
            </w:r>
          </w:p>
        </w:tc>
        <w:tc>
          <w:tcPr>
            <w:tcW w:w="2410" w:type="dxa"/>
          </w:tcPr>
          <w:p w14:paraId="4677DD55" w14:textId="77777777" w:rsidR="00512957" w:rsidRPr="000927D1" w:rsidRDefault="00512957" w:rsidP="00A651EF">
            <w:pPr>
              <w:jc w:val="center"/>
              <w:cnfStyle w:val="100000000000" w:firstRow="1" w:lastRow="0" w:firstColumn="0" w:lastColumn="0" w:oddVBand="0" w:evenVBand="0" w:oddHBand="0" w:evenHBand="0" w:firstRowFirstColumn="0" w:firstRowLastColumn="0" w:lastRowFirstColumn="0" w:lastRowLastColumn="0"/>
            </w:pPr>
            <w:r>
              <w:t>POTENTIAL SOLUTIONS</w:t>
            </w:r>
          </w:p>
        </w:tc>
        <w:tc>
          <w:tcPr>
            <w:tcW w:w="2268" w:type="dxa"/>
          </w:tcPr>
          <w:p w14:paraId="7F72DF1D" w14:textId="77777777" w:rsidR="00512957" w:rsidRPr="000927D1" w:rsidRDefault="00512957" w:rsidP="00A651EF">
            <w:pPr>
              <w:jc w:val="center"/>
              <w:cnfStyle w:val="100000000000" w:firstRow="1" w:lastRow="0" w:firstColumn="0" w:lastColumn="0" w:oddVBand="0" w:evenVBand="0" w:oddHBand="0" w:evenHBand="0" w:firstRowFirstColumn="0" w:firstRowLastColumn="0" w:lastRowFirstColumn="0" w:lastRowLastColumn="0"/>
              <w:rPr>
                <w:szCs w:val="19"/>
              </w:rPr>
            </w:pPr>
            <w:r>
              <w:rPr>
                <w:szCs w:val="19"/>
              </w:rPr>
              <w:t>ADVANTAGES</w:t>
            </w:r>
          </w:p>
        </w:tc>
        <w:tc>
          <w:tcPr>
            <w:tcW w:w="2511" w:type="dxa"/>
          </w:tcPr>
          <w:p w14:paraId="74E6688C" w14:textId="77777777" w:rsidR="00512957" w:rsidRDefault="00512957" w:rsidP="00A651EF">
            <w:pPr>
              <w:jc w:val="center"/>
              <w:cnfStyle w:val="100000000000" w:firstRow="1" w:lastRow="0" w:firstColumn="0" w:lastColumn="0" w:oddVBand="0" w:evenVBand="0" w:oddHBand="0" w:evenHBand="0" w:firstRowFirstColumn="0" w:firstRowLastColumn="0" w:lastRowFirstColumn="0" w:lastRowLastColumn="0"/>
              <w:rPr>
                <w:szCs w:val="19"/>
              </w:rPr>
            </w:pPr>
            <w:r>
              <w:rPr>
                <w:szCs w:val="19"/>
              </w:rPr>
              <w:t>DISADVANTAGES</w:t>
            </w:r>
          </w:p>
        </w:tc>
      </w:tr>
      <w:tr w:rsidR="004D70FD" w14:paraId="30E31914" w14:textId="77777777" w:rsidTr="003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Borders>
              <w:top w:val="single" w:sz="4" w:space="0" w:color="000000" w:themeColor="text1"/>
            </w:tcBorders>
            <w:shd w:val="clear" w:color="auto" w:fill="FFFFFF" w:themeFill="background1"/>
          </w:tcPr>
          <w:p w14:paraId="7C7E9862" w14:textId="507F53B7" w:rsidR="004D70FD" w:rsidRDefault="004D70FD" w:rsidP="00A651EF">
            <w:r>
              <w:t>No real use for address feature</w:t>
            </w:r>
          </w:p>
        </w:tc>
        <w:tc>
          <w:tcPr>
            <w:tcW w:w="2410" w:type="dxa"/>
            <w:tcBorders>
              <w:top w:val="single" w:sz="4" w:space="0" w:color="000000" w:themeColor="text1"/>
            </w:tcBorders>
            <w:shd w:val="clear" w:color="auto" w:fill="FFFFFF" w:themeFill="background1"/>
          </w:tcPr>
          <w:p w14:paraId="1FA8F49E" w14:textId="5008E862" w:rsidR="004D70FD" w:rsidRDefault="004D70FD" w:rsidP="00A651EF">
            <w:pPr>
              <w:cnfStyle w:val="000000100000" w:firstRow="0" w:lastRow="0" w:firstColumn="0" w:lastColumn="0" w:oddVBand="0" w:evenVBand="0" w:oddHBand="1" w:evenHBand="0" w:firstRowFirstColumn="0" w:firstRowLastColumn="0" w:lastRowFirstColumn="0" w:lastRowLastColumn="0"/>
            </w:pPr>
            <w:r>
              <w:t>Do nothing</w:t>
            </w:r>
          </w:p>
        </w:tc>
        <w:tc>
          <w:tcPr>
            <w:tcW w:w="2268" w:type="dxa"/>
            <w:tcBorders>
              <w:top w:val="single" w:sz="4" w:space="0" w:color="000000" w:themeColor="text1"/>
            </w:tcBorders>
            <w:shd w:val="clear" w:color="auto" w:fill="FFFFFF" w:themeFill="background1"/>
          </w:tcPr>
          <w:p w14:paraId="2FBD258B" w14:textId="58D0C1D0" w:rsidR="004D70FD" w:rsidRDefault="004D70FD" w:rsidP="00A651EF">
            <w:pPr>
              <w:cnfStyle w:val="000000100000" w:firstRow="0" w:lastRow="0" w:firstColumn="0" w:lastColumn="0" w:oddVBand="0" w:evenVBand="0" w:oddHBand="1" w:evenHBand="0" w:firstRowFirstColumn="0" w:firstRowLastColumn="0" w:lastRowFirstColumn="0" w:lastRowLastColumn="0"/>
            </w:pPr>
            <w:r>
              <w:t>No loss of data.</w:t>
            </w:r>
          </w:p>
        </w:tc>
        <w:tc>
          <w:tcPr>
            <w:tcW w:w="2511" w:type="dxa"/>
            <w:tcBorders>
              <w:top w:val="single" w:sz="4" w:space="0" w:color="000000" w:themeColor="text1"/>
            </w:tcBorders>
            <w:shd w:val="clear" w:color="auto" w:fill="FFFFFF" w:themeFill="background1"/>
          </w:tcPr>
          <w:p w14:paraId="06561EAA" w14:textId="51DCC650" w:rsidR="004D70FD" w:rsidRDefault="004D70FD" w:rsidP="00A651EF">
            <w:pPr>
              <w:cnfStyle w:val="000000100000" w:firstRow="0" w:lastRow="0" w:firstColumn="0" w:lastColumn="0" w:oddVBand="0" w:evenVBand="0" w:oddHBand="1" w:evenHBand="0" w:firstRowFirstColumn="0" w:firstRowLastColumn="0" w:lastRowFirstColumn="0" w:lastRowLastColumn="0"/>
            </w:pPr>
            <w:r>
              <w:t>Potentially keeping “dead weight” in the Dataset, as there is nothing really that can be done with this feature.</w:t>
            </w:r>
          </w:p>
        </w:tc>
      </w:tr>
      <w:tr w:rsidR="004D70FD" w14:paraId="3FAAF5FF" w14:textId="77777777" w:rsidTr="003561BB">
        <w:tc>
          <w:tcPr>
            <w:cnfStyle w:val="001000000000" w:firstRow="0" w:lastRow="0" w:firstColumn="1" w:lastColumn="0" w:oddVBand="0" w:evenVBand="0" w:oddHBand="0" w:evenHBand="0" w:firstRowFirstColumn="0" w:firstRowLastColumn="0" w:lastRowFirstColumn="0" w:lastRowLastColumn="0"/>
            <w:tcW w:w="2547" w:type="dxa"/>
            <w:vMerge/>
            <w:shd w:val="clear" w:color="auto" w:fill="FFFFFF" w:themeFill="background1"/>
          </w:tcPr>
          <w:p w14:paraId="1345EC62" w14:textId="77777777" w:rsidR="004D70FD" w:rsidRDefault="004D70FD" w:rsidP="00A651EF"/>
        </w:tc>
        <w:tc>
          <w:tcPr>
            <w:tcW w:w="2410" w:type="dxa"/>
            <w:shd w:val="clear" w:color="auto" w:fill="FFFFFF" w:themeFill="background1"/>
          </w:tcPr>
          <w:p w14:paraId="7C8A3674" w14:textId="0D18C2F9" w:rsidR="004D70FD" w:rsidRDefault="004D70FD" w:rsidP="00A651EF">
            <w:pPr>
              <w:cnfStyle w:val="000000000000" w:firstRow="0" w:lastRow="0" w:firstColumn="0" w:lastColumn="0" w:oddVBand="0" w:evenVBand="0" w:oddHBand="0" w:evenHBand="0" w:firstRowFirstColumn="0" w:firstRowLastColumn="0" w:lastRowFirstColumn="0" w:lastRowLastColumn="0"/>
            </w:pPr>
            <w:r>
              <w:t>Drop feature</w:t>
            </w:r>
          </w:p>
        </w:tc>
        <w:tc>
          <w:tcPr>
            <w:tcW w:w="2268" w:type="dxa"/>
            <w:shd w:val="clear" w:color="auto" w:fill="FFFFFF" w:themeFill="background1"/>
          </w:tcPr>
          <w:p w14:paraId="5D57EB96" w14:textId="187367F4" w:rsidR="004D70FD" w:rsidRDefault="004D70FD" w:rsidP="00A651EF">
            <w:pPr>
              <w:cnfStyle w:val="000000000000" w:firstRow="0" w:lastRow="0" w:firstColumn="0" w:lastColumn="0" w:oddVBand="0" w:evenVBand="0" w:oddHBand="0" w:evenHBand="0" w:firstRowFirstColumn="0" w:firstRowLastColumn="0" w:lastRowFirstColumn="0" w:lastRowLastColumn="0"/>
            </w:pPr>
            <w:r>
              <w:t>We no longer have a feature in our database that we are not using.</w:t>
            </w:r>
          </w:p>
        </w:tc>
        <w:tc>
          <w:tcPr>
            <w:tcW w:w="2511" w:type="dxa"/>
            <w:shd w:val="clear" w:color="auto" w:fill="FFFFFF" w:themeFill="background1"/>
          </w:tcPr>
          <w:p w14:paraId="10F5C59E" w14:textId="0F939484" w:rsidR="004D70FD" w:rsidRDefault="004D70FD" w:rsidP="00A651EF">
            <w:pPr>
              <w:cnfStyle w:val="000000000000" w:firstRow="0" w:lastRow="0" w:firstColumn="0" w:lastColumn="0" w:oddVBand="0" w:evenVBand="0" w:oddHBand="0" w:evenHBand="0" w:firstRowFirstColumn="0" w:firstRowLastColumn="0" w:lastRowFirstColumn="0" w:lastRowLastColumn="0"/>
            </w:pPr>
            <w:r>
              <w:t>Massive loss of data.</w:t>
            </w:r>
          </w:p>
        </w:tc>
      </w:tr>
      <w:tr w:rsidR="004D70FD" w14:paraId="15DBF7BF" w14:textId="77777777" w:rsidTr="003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shd w:val="clear" w:color="auto" w:fill="FFFFFF" w:themeFill="background1"/>
          </w:tcPr>
          <w:p w14:paraId="3D5A5CF3" w14:textId="77777777" w:rsidR="004D70FD" w:rsidRDefault="004D70FD" w:rsidP="00A651EF"/>
        </w:tc>
        <w:tc>
          <w:tcPr>
            <w:tcW w:w="2410" w:type="dxa"/>
            <w:shd w:val="clear" w:color="auto" w:fill="FFFFFF" w:themeFill="background1"/>
          </w:tcPr>
          <w:p w14:paraId="4EACB463" w14:textId="0763498C" w:rsidR="004D70FD" w:rsidRDefault="004D70FD" w:rsidP="00A651EF">
            <w:pPr>
              <w:cnfStyle w:val="000000100000" w:firstRow="0" w:lastRow="0" w:firstColumn="0" w:lastColumn="0" w:oddVBand="0" w:evenVBand="0" w:oddHBand="1" w:evenHBand="0" w:firstRowFirstColumn="0" w:firstRowLastColumn="0" w:lastRowFirstColumn="0" w:lastRowLastColumn="0"/>
            </w:pPr>
            <w:r>
              <w:t>Use third party libraries to transform address strings into ones that can be more easily worked with</w:t>
            </w:r>
          </w:p>
        </w:tc>
        <w:tc>
          <w:tcPr>
            <w:tcW w:w="2268" w:type="dxa"/>
            <w:shd w:val="clear" w:color="auto" w:fill="FFFFFF" w:themeFill="background1"/>
          </w:tcPr>
          <w:p w14:paraId="52911933" w14:textId="3A1A4216" w:rsidR="004D70FD" w:rsidRDefault="004D70FD" w:rsidP="00A651EF">
            <w:pPr>
              <w:cnfStyle w:val="000000100000" w:firstRow="0" w:lastRow="0" w:firstColumn="0" w:lastColumn="0" w:oddVBand="0" w:evenVBand="0" w:oddHBand="1" w:evenHBand="0" w:firstRowFirstColumn="0" w:firstRowLastColumn="0" w:lastRowFirstColumn="0" w:lastRowLastColumn="0"/>
            </w:pPr>
            <w:r>
              <w:t xml:space="preserve">Using a library such as </w:t>
            </w:r>
            <w:proofErr w:type="spellStart"/>
            <w:r>
              <w:t>Geopy</w:t>
            </w:r>
            <w:proofErr w:type="spellEnd"/>
            <w:r>
              <w:t xml:space="preserve"> will allow us to easily work with the address fields, and map them using a library such as Folium</w:t>
            </w:r>
          </w:p>
        </w:tc>
        <w:tc>
          <w:tcPr>
            <w:tcW w:w="2511" w:type="dxa"/>
            <w:shd w:val="clear" w:color="auto" w:fill="FFFFFF" w:themeFill="background1"/>
          </w:tcPr>
          <w:p w14:paraId="23808E33" w14:textId="6F31815E" w:rsidR="004D70FD" w:rsidRDefault="004D70FD" w:rsidP="00A651EF">
            <w:pPr>
              <w:cnfStyle w:val="000000100000" w:firstRow="0" w:lastRow="0" w:firstColumn="0" w:lastColumn="0" w:oddVBand="0" w:evenVBand="0" w:oddHBand="1" w:evenHBand="0" w:firstRowFirstColumn="0" w:firstRowLastColumn="0" w:lastRowFirstColumn="0" w:lastRowLastColumn="0"/>
            </w:pPr>
            <w:r>
              <w:t>None (potentially takes a long time)</w:t>
            </w:r>
          </w:p>
        </w:tc>
      </w:tr>
      <w:tr w:rsidR="00512957" w14:paraId="6D01166A" w14:textId="77777777" w:rsidTr="003561BB">
        <w:tc>
          <w:tcPr>
            <w:cnfStyle w:val="001000000000" w:firstRow="0" w:lastRow="0" w:firstColumn="1" w:lastColumn="0" w:oddVBand="0" w:evenVBand="0" w:oddHBand="0" w:evenHBand="0" w:firstRowFirstColumn="0" w:firstRowLastColumn="0" w:lastRowFirstColumn="0" w:lastRowLastColumn="0"/>
            <w:tcW w:w="2547" w:type="dxa"/>
            <w:vMerge w:val="restart"/>
            <w:shd w:val="clear" w:color="auto" w:fill="FFFFFF" w:themeFill="background1"/>
          </w:tcPr>
          <w:p w14:paraId="62DFEFB0" w14:textId="33051645" w:rsidR="00512957" w:rsidRDefault="009D7FE6" w:rsidP="00A651EF">
            <w:r>
              <w:t>Large number of missing values in postal code</w:t>
            </w:r>
          </w:p>
        </w:tc>
        <w:tc>
          <w:tcPr>
            <w:tcW w:w="2410" w:type="dxa"/>
            <w:shd w:val="clear" w:color="auto" w:fill="FFFFFF" w:themeFill="background1"/>
          </w:tcPr>
          <w:p w14:paraId="43FB2B6C" w14:textId="4706DBCD" w:rsidR="00512957" w:rsidRDefault="00077FB8" w:rsidP="00A651EF">
            <w:pPr>
              <w:cnfStyle w:val="000000000000" w:firstRow="0" w:lastRow="0" w:firstColumn="0" w:lastColumn="0" w:oddVBand="0" w:evenVBand="0" w:oddHBand="0" w:evenHBand="0" w:firstRowFirstColumn="0" w:firstRowLastColumn="0" w:lastRowFirstColumn="0" w:lastRowLastColumn="0"/>
            </w:pPr>
            <w:r>
              <w:t>Drop feature</w:t>
            </w:r>
            <w:r w:rsidR="00512957">
              <w:t xml:space="preserve"> </w:t>
            </w:r>
          </w:p>
        </w:tc>
        <w:tc>
          <w:tcPr>
            <w:tcW w:w="2268" w:type="dxa"/>
            <w:shd w:val="clear" w:color="auto" w:fill="FFFFFF" w:themeFill="background1"/>
          </w:tcPr>
          <w:p w14:paraId="15BDAB13" w14:textId="7C992A45" w:rsidR="00512957" w:rsidRDefault="00077FB8" w:rsidP="00A651EF">
            <w:pPr>
              <w:cnfStyle w:val="000000000000" w:firstRow="0" w:lastRow="0" w:firstColumn="0" w:lastColumn="0" w:oddVBand="0" w:evenVBand="0" w:oddHBand="0" w:evenHBand="0" w:firstRowFirstColumn="0" w:firstRowLastColumn="0" w:lastRowFirstColumn="0" w:lastRowLastColumn="0"/>
            </w:pPr>
            <w:r>
              <w:t xml:space="preserve">Given the large number of missing values (i.e., 81%) it is difficult to see how this feature could provide us with information about the dataset, and as such may be dropped. </w:t>
            </w:r>
          </w:p>
        </w:tc>
        <w:tc>
          <w:tcPr>
            <w:tcW w:w="2511" w:type="dxa"/>
            <w:shd w:val="clear" w:color="auto" w:fill="FFFFFF" w:themeFill="background1"/>
          </w:tcPr>
          <w:p w14:paraId="2858AD67" w14:textId="59BA5D16" w:rsidR="00512957" w:rsidRDefault="009D7FE6" w:rsidP="00A651EF">
            <w:pPr>
              <w:cnfStyle w:val="000000000000" w:firstRow="0" w:lastRow="0" w:firstColumn="0" w:lastColumn="0" w:oddVBand="0" w:evenVBand="0" w:oddHBand="0" w:evenHBand="0" w:firstRowFirstColumn="0" w:firstRowLastColumn="0" w:lastRowFirstColumn="0" w:lastRowLastColumn="0"/>
            </w:pPr>
            <w:r>
              <w:t>Loss of data</w:t>
            </w:r>
            <w:r w:rsidR="002F225B">
              <w:t>.</w:t>
            </w:r>
          </w:p>
        </w:tc>
      </w:tr>
      <w:tr w:rsidR="00512957" w14:paraId="784FD8E3" w14:textId="77777777" w:rsidTr="003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shd w:val="clear" w:color="auto" w:fill="FFFFFF" w:themeFill="background1"/>
          </w:tcPr>
          <w:p w14:paraId="5DC5E415" w14:textId="77777777" w:rsidR="00512957" w:rsidRDefault="00512957" w:rsidP="00A651EF"/>
        </w:tc>
        <w:tc>
          <w:tcPr>
            <w:tcW w:w="2410" w:type="dxa"/>
            <w:shd w:val="clear" w:color="auto" w:fill="FFFFFF" w:themeFill="background1"/>
          </w:tcPr>
          <w:p w14:paraId="0BCBD1F9" w14:textId="6CA42EA5" w:rsidR="00512957" w:rsidRDefault="004A1355" w:rsidP="00A651EF">
            <w:pPr>
              <w:cnfStyle w:val="000000100000" w:firstRow="0" w:lastRow="0" w:firstColumn="0" w:lastColumn="0" w:oddVBand="0" w:evenVBand="0" w:oddHBand="1" w:evenHBand="0" w:firstRowFirstColumn="0" w:firstRowLastColumn="0" w:lastRowFirstColumn="0" w:lastRowLastColumn="0"/>
            </w:pPr>
            <w:r>
              <w:t>Change the title of feature to “Postal Code (Dublin)”</w:t>
            </w:r>
          </w:p>
        </w:tc>
        <w:tc>
          <w:tcPr>
            <w:tcW w:w="2268" w:type="dxa"/>
            <w:shd w:val="clear" w:color="auto" w:fill="FFFFFF" w:themeFill="background1"/>
          </w:tcPr>
          <w:p w14:paraId="2542F6DB" w14:textId="1DCEB852" w:rsidR="00512957" w:rsidRDefault="009D7FE6" w:rsidP="00A651EF">
            <w:pPr>
              <w:cnfStyle w:val="000000100000" w:firstRow="0" w:lastRow="0" w:firstColumn="0" w:lastColumn="0" w:oddVBand="0" w:evenVBand="0" w:oddHBand="1" w:evenHBand="0" w:firstRowFirstColumn="0" w:firstRowLastColumn="0" w:lastRowFirstColumn="0" w:lastRowLastColumn="0"/>
            </w:pPr>
            <w:r>
              <w:t xml:space="preserve">By keeping the </w:t>
            </w:r>
            <w:r w:rsidR="00052DCD">
              <w:t xml:space="preserve">postal codes, we may be able to </w:t>
            </w:r>
            <w:r w:rsidR="001C7AF2">
              <w:t>see a correlation between certain areas of Dublin and the property prices in Dublin.</w:t>
            </w:r>
            <w:r w:rsidR="004A1355">
              <w:t xml:space="preserve"> The change in feature name will make it a more accurate descriptor of the data contained therein.</w:t>
            </w:r>
          </w:p>
        </w:tc>
        <w:tc>
          <w:tcPr>
            <w:tcW w:w="2511" w:type="dxa"/>
            <w:shd w:val="clear" w:color="auto" w:fill="FFFFFF" w:themeFill="background1"/>
          </w:tcPr>
          <w:p w14:paraId="1504E848" w14:textId="26823831" w:rsidR="00512957" w:rsidRDefault="002C464D" w:rsidP="00A651EF">
            <w:pPr>
              <w:cnfStyle w:val="000000100000" w:firstRow="0" w:lastRow="0" w:firstColumn="0" w:lastColumn="0" w:oddVBand="0" w:evenVBand="0" w:oddHBand="1" w:evenHBand="0" w:firstRowFirstColumn="0" w:firstRowLastColumn="0" w:lastRowFirstColumn="0" w:lastRowLastColumn="0"/>
            </w:pPr>
            <w:r>
              <w:t>Missing values not useful for gleaning any new information about the other features.</w:t>
            </w:r>
          </w:p>
        </w:tc>
      </w:tr>
      <w:tr w:rsidR="00032945" w14:paraId="2D655987" w14:textId="77777777" w:rsidTr="003561BB">
        <w:tc>
          <w:tcPr>
            <w:cnfStyle w:val="001000000000" w:firstRow="0" w:lastRow="0" w:firstColumn="1" w:lastColumn="0" w:oddVBand="0" w:evenVBand="0" w:oddHBand="0" w:evenHBand="0" w:firstRowFirstColumn="0" w:firstRowLastColumn="0" w:lastRowFirstColumn="0" w:lastRowLastColumn="0"/>
            <w:tcW w:w="2547" w:type="dxa"/>
            <w:shd w:val="clear" w:color="auto" w:fill="FFFFFF" w:themeFill="background1"/>
          </w:tcPr>
          <w:p w14:paraId="52589F1C" w14:textId="3679E17F" w:rsidR="00032945" w:rsidRDefault="00032945" w:rsidP="00A651EF">
            <w:r>
              <w:t>Not Full Market Price is framed as a negative</w:t>
            </w:r>
            <w:r w:rsidR="002F45EC">
              <w:t xml:space="preserve"> and does not contain Boolean values</w:t>
            </w:r>
          </w:p>
        </w:tc>
        <w:tc>
          <w:tcPr>
            <w:tcW w:w="2410" w:type="dxa"/>
            <w:shd w:val="clear" w:color="auto" w:fill="FFFFFF" w:themeFill="background1"/>
          </w:tcPr>
          <w:p w14:paraId="2CDCE02C" w14:textId="2BE72CE7" w:rsidR="00032945" w:rsidRDefault="002F45EC" w:rsidP="00A651EF">
            <w:pPr>
              <w:cnfStyle w:val="000000000000" w:firstRow="0" w:lastRow="0" w:firstColumn="0" w:lastColumn="0" w:oddVBand="0" w:evenVBand="0" w:oddHBand="0" w:evenHBand="0" w:firstRowFirstColumn="0" w:firstRowLastColumn="0" w:lastRowFirstColumn="0" w:lastRowLastColumn="0"/>
            </w:pPr>
            <w:r>
              <w:t>Transform feature into “Full Market Price”, changing the “Yes” values to “False” and the “No” values to “True”</w:t>
            </w:r>
          </w:p>
        </w:tc>
        <w:tc>
          <w:tcPr>
            <w:tcW w:w="2268" w:type="dxa"/>
            <w:shd w:val="clear" w:color="auto" w:fill="FFFFFF" w:themeFill="background1"/>
          </w:tcPr>
          <w:p w14:paraId="3090D126" w14:textId="1E60D795" w:rsidR="00032945" w:rsidRDefault="002F45EC" w:rsidP="00A651EF">
            <w:pPr>
              <w:cnfStyle w:val="000000000000" w:firstRow="0" w:lastRow="0" w:firstColumn="0" w:lastColumn="0" w:oddVBand="0" w:evenVBand="0" w:oddHBand="0" w:evenHBand="0" w:firstRowFirstColumn="0" w:firstRowLastColumn="0" w:lastRowFirstColumn="0" w:lastRowLastColumn="0"/>
            </w:pPr>
            <w:r>
              <w:t>Data becomes easier to work with.</w:t>
            </w:r>
          </w:p>
        </w:tc>
        <w:tc>
          <w:tcPr>
            <w:tcW w:w="2511" w:type="dxa"/>
            <w:shd w:val="clear" w:color="auto" w:fill="FFFFFF" w:themeFill="background1"/>
          </w:tcPr>
          <w:p w14:paraId="3EB47E7D" w14:textId="37AF66A1" w:rsidR="00032945" w:rsidRDefault="002F45EC" w:rsidP="00A651EF">
            <w:pPr>
              <w:cnfStyle w:val="000000000000" w:firstRow="0" w:lastRow="0" w:firstColumn="0" w:lastColumn="0" w:oddVBand="0" w:evenVBand="0" w:oddHBand="0" w:evenHBand="0" w:firstRowFirstColumn="0" w:firstRowLastColumn="0" w:lastRowFirstColumn="0" w:lastRowLastColumn="0"/>
            </w:pPr>
            <w:r>
              <w:t>None.</w:t>
            </w:r>
          </w:p>
        </w:tc>
      </w:tr>
      <w:tr w:rsidR="00DA171A" w14:paraId="57E2C627" w14:textId="77777777" w:rsidTr="003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FFFFFF" w:themeFill="background1"/>
          </w:tcPr>
          <w:p w14:paraId="73E343B1" w14:textId="685B124C" w:rsidR="00DA171A" w:rsidRDefault="00DA171A" w:rsidP="00A651EF">
            <w:r>
              <w:t>VAT exclusive does not contain Boolean values</w:t>
            </w:r>
          </w:p>
        </w:tc>
        <w:tc>
          <w:tcPr>
            <w:tcW w:w="2410" w:type="dxa"/>
            <w:shd w:val="clear" w:color="auto" w:fill="FFFFFF" w:themeFill="background1"/>
          </w:tcPr>
          <w:p w14:paraId="70A8DF73" w14:textId="37183D86" w:rsidR="00DA171A" w:rsidRDefault="0081237F" w:rsidP="00A651EF">
            <w:pPr>
              <w:cnfStyle w:val="000000100000" w:firstRow="0" w:lastRow="0" w:firstColumn="0" w:lastColumn="0" w:oddVBand="0" w:evenVBand="0" w:oddHBand="1" w:evenHBand="0" w:firstRowFirstColumn="0" w:firstRowLastColumn="0" w:lastRowFirstColumn="0" w:lastRowLastColumn="0"/>
            </w:pPr>
            <w:r>
              <w:t>Change the “Yes” values to “True” and the “No” values to “False”</w:t>
            </w:r>
          </w:p>
        </w:tc>
        <w:tc>
          <w:tcPr>
            <w:tcW w:w="2268" w:type="dxa"/>
            <w:shd w:val="clear" w:color="auto" w:fill="FFFFFF" w:themeFill="background1"/>
          </w:tcPr>
          <w:p w14:paraId="19912C40" w14:textId="06CEB853" w:rsidR="00DA171A" w:rsidRDefault="0081237F" w:rsidP="00A651EF">
            <w:pPr>
              <w:cnfStyle w:val="000000100000" w:firstRow="0" w:lastRow="0" w:firstColumn="0" w:lastColumn="0" w:oddVBand="0" w:evenVBand="0" w:oddHBand="1" w:evenHBand="0" w:firstRowFirstColumn="0" w:firstRowLastColumn="0" w:lastRowFirstColumn="0" w:lastRowLastColumn="0"/>
            </w:pPr>
            <w:r>
              <w:t>Data becomes easier to work with.</w:t>
            </w:r>
          </w:p>
        </w:tc>
        <w:tc>
          <w:tcPr>
            <w:tcW w:w="2511" w:type="dxa"/>
            <w:shd w:val="clear" w:color="auto" w:fill="FFFFFF" w:themeFill="background1"/>
          </w:tcPr>
          <w:p w14:paraId="715B5542" w14:textId="47AFFE8E" w:rsidR="00DA171A" w:rsidRDefault="0081237F" w:rsidP="00A651EF">
            <w:pPr>
              <w:cnfStyle w:val="000000100000" w:firstRow="0" w:lastRow="0" w:firstColumn="0" w:lastColumn="0" w:oddVBand="0" w:evenVBand="0" w:oddHBand="1" w:evenHBand="0" w:firstRowFirstColumn="0" w:firstRowLastColumn="0" w:lastRowFirstColumn="0" w:lastRowLastColumn="0"/>
            </w:pPr>
            <w:r>
              <w:t>None.</w:t>
            </w:r>
          </w:p>
        </w:tc>
      </w:tr>
      <w:tr w:rsidR="004A1355" w14:paraId="5B0A5EF0" w14:textId="77777777" w:rsidTr="003561BB">
        <w:tc>
          <w:tcPr>
            <w:cnfStyle w:val="001000000000" w:firstRow="0" w:lastRow="0" w:firstColumn="1" w:lastColumn="0" w:oddVBand="0" w:evenVBand="0" w:oddHBand="0" w:evenHBand="0" w:firstRowFirstColumn="0" w:firstRowLastColumn="0" w:lastRowFirstColumn="0" w:lastRowLastColumn="0"/>
            <w:tcW w:w="2547" w:type="dxa"/>
            <w:shd w:val="clear" w:color="auto" w:fill="FFFFFF" w:themeFill="background1"/>
          </w:tcPr>
          <w:p w14:paraId="14E838CA" w14:textId="77A58B0D" w:rsidR="004A1355" w:rsidRDefault="004A1355" w:rsidP="00A651EF">
            <w:r>
              <w:lastRenderedPageBreak/>
              <w:t>VAT Exclusive and Description of Property could potentially be referencing the same facet of the data</w:t>
            </w:r>
          </w:p>
        </w:tc>
        <w:tc>
          <w:tcPr>
            <w:tcW w:w="2410" w:type="dxa"/>
            <w:shd w:val="clear" w:color="auto" w:fill="FFFFFF" w:themeFill="background1"/>
          </w:tcPr>
          <w:p w14:paraId="2BD7623E" w14:textId="12E019C3" w:rsidR="004A1355" w:rsidRDefault="004A1355" w:rsidP="00A651EF">
            <w:pPr>
              <w:cnfStyle w:val="000000000000" w:firstRow="0" w:lastRow="0" w:firstColumn="0" w:lastColumn="0" w:oddVBand="0" w:evenVBand="0" w:oddHBand="0" w:evenHBand="0" w:firstRowFirstColumn="0" w:firstRowLastColumn="0" w:lastRowFirstColumn="0" w:lastRowLastColumn="0"/>
            </w:pPr>
            <w:r>
              <w:t xml:space="preserve">Drop </w:t>
            </w:r>
            <w:r w:rsidR="00D21031">
              <w:t>D</w:t>
            </w:r>
            <w:r>
              <w:t xml:space="preserve">escription of </w:t>
            </w:r>
            <w:r w:rsidR="00D21031">
              <w:t>P</w:t>
            </w:r>
            <w:r>
              <w:t>roperty.</w:t>
            </w:r>
          </w:p>
        </w:tc>
        <w:tc>
          <w:tcPr>
            <w:tcW w:w="2268" w:type="dxa"/>
            <w:shd w:val="clear" w:color="auto" w:fill="FFFFFF" w:themeFill="background1"/>
          </w:tcPr>
          <w:p w14:paraId="00E0BB98" w14:textId="06C8C39C" w:rsidR="004A1355" w:rsidRDefault="00D21031" w:rsidP="00A651EF">
            <w:pPr>
              <w:cnfStyle w:val="000000000000" w:firstRow="0" w:lastRow="0" w:firstColumn="0" w:lastColumn="0" w:oddVBand="0" w:evenVBand="0" w:oddHBand="0" w:evenHBand="0" w:firstRowFirstColumn="0" w:firstRowLastColumn="0" w:lastRowFirstColumn="0" w:lastRowLastColumn="0"/>
            </w:pPr>
            <w:r>
              <w:t>Less redundancy of data, as we will be able to infer from VAT Exclusive whether the property is second hand.</w:t>
            </w:r>
          </w:p>
        </w:tc>
        <w:tc>
          <w:tcPr>
            <w:tcW w:w="2511" w:type="dxa"/>
            <w:shd w:val="clear" w:color="auto" w:fill="FFFFFF" w:themeFill="background1"/>
          </w:tcPr>
          <w:p w14:paraId="48896C3E" w14:textId="162A026D" w:rsidR="004A1355" w:rsidRDefault="00D21031" w:rsidP="00A651EF">
            <w:pPr>
              <w:cnfStyle w:val="000000000000" w:firstRow="0" w:lastRow="0" w:firstColumn="0" w:lastColumn="0" w:oddVBand="0" w:evenVBand="0" w:oddHBand="0" w:evenHBand="0" w:firstRowFirstColumn="0" w:firstRowLastColumn="0" w:lastRowFirstColumn="0" w:lastRowLastColumn="0"/>
            </w:pPr>
            <w:r>
              <w:t xml:space="preserve">There could be situations where VAT was payable on a second-hand home, and as such, there may be a loss of data if we drop </w:t>
            </w:r>
            <w:r w:rsidR="00D4009D">
              <w:t>Description of Property</w:t>
            </w:r>
            <w:r w:rsidR="00A27FC2">
              <w:t>.</w:t>
            </w:r>
          </w:p>
        </w:tc>
      </w:tr>
      <w:tr w:rsidR="00946716" w14:paraId="4E3C2DA9" w14:textId="77777777" w:rsidTr="003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FFFFFF" w:themeFill="background1"/>
          </w:tcPr>
          <w:p w14:paraId="36AE5CDC" w14:textId="11D116A4" w:rsidR="00946716" w:rsidRDefault="00946716" w:rsidP="00A651EF">
            <w:r>
              <w:t>Description of Property feature is currently difficult to read</w:t>
            </w:r>
          </w:p>
        </w:tc>
        <w:tc>
          <w:tcPr>
            <w:tcW w:w="2410" w:type="dxa"/>
            <w:shd w:val="clear" w:color="auto" w:fill="FFFFFF" w:themeFill="background1"/>
          </w:tcPr>
          <w:p w14:paraId="5A2D39CA" w14:textId="04169A7C" w:rsidR="00946716" w:rsidRDefault="00946716" w:rsidP="00A651EF">
            <w:pPr>
              <w:cnfStyle w:val="000000100000" w:firstRow="0" w:lastRow="0" w:firstColumn="0" w:lastColumn="0" w:oddVBand="0" w:evenVBand="0" w:oddHBand="1" w:evenHBand="0" w:firstRowFirstColumn="0" w:firstRowLastColumn="0" w:lastRowFirstColumn="0" w:lastRowLastColumn="0"/>
            </w:pPr>
            <w:r>
              <w:t xml:space="preserve">Convert into “Second Hand” feature and map the values accordingly. </w:t>
            </w:r>
          </w:p>
        </w:tc>
        <w:tc>
          <w:tcPr>
            <w:tcW w:w="2268" w:type="dxa"/>
            <w:shd w:val="clear" w:color="auto" w:fill="FFFFFF" w:themeFill="background1"/>
          </w:tcPr>
          <w:p w14:paraId="140EDA5E" w14:textId="1649115B" w:rsidR="00946716" w:rsidRDefault="00946716" w:rsidP="00A651EF">
            <w:pPr>
              <w:cnfStyle w:val="000000100000" w:firstRow="0" w:lastRow="0" w:firstColumn="0" w:lastColumn="0" w:oddVBand="0" w:evenVBand="0" w:oddHBand="1" w:evenHBand="0" w:firstRowFirstColumn="0" w:firstRowLastColumn="0" w:lastRowFirstColumn="0" w:lastRowLastColumn="0"/>
            </w:pPr>
            <w:r>
              <w:t>Data becomes easier to work with.</w:t>
            </w:r>
          </w:p>
        </w:tc>
        <w:tc>
          <w:tcPr>
            <w:tcW w:w="2511" w:type="dxa"/>
            <w:shd w:val="clear" w:color="auto" w:fill="FFFFFF" w:themeFill="background1"/>
          </w:tcPr>
          <w:p w14:paraId="18DC15C7" w14:textId="23AACD8C" w:rsidR="00946716" w:rsidRDefault="00946716" w:rsidP="00A651EF">
            <w:pPr>
              <w:cnfStyle w:val="000000100000" w:firstRow="0" w:lastRow="0" w:firstColumn="0" w:lastColumn="0" w:oddVBand="0" w:evenVBand="0" w:oddHBand="1" w:evenHBand="0" w:firstRowFirstColumn="0" w:firstRowLastColumn="0" w:lastRowFirstColumn="0" w:lastRowLastColumn="0"/>
            </w:pPr>
            <w:r>
              <w:t>None.</w:t>
            </w:r>
          </w:p>
        </w:tc>
      </w:tr>
      <w:tr w:rsidR="007D14A7" w14:paraId="684CB131" w14:textId="77777777" w:rsidTr="003561BB">
        <w:tc>
          <w:tcPr>
            <w:cnfStyle w:val="001000000000" w:firstRow="0" w:lastRow="0" w:firstColumn="1" w:lastColumn="0" w:oddVBand="0" w:evenVBand="0" w:oddHBand="0" w:evenHBand="0" w:firstRowFirstColumn="0" w:firstRowLastColumn="0" w:lastRowFirstColumn="0" w:lastRowLastColumn="0"/>
            <w:tcW w:w="2547" w:type="dxa"/>
            <w:shd w:val="clear" w:color="auto" w:fill="FFFFFF" w:themeFill="background1"/>
          </w:tcPr>
          <w:p w14:paraId="78902804" w14:textId="1519DB8D" w:rsidR="007D14A7" w:rsidRDefault="007D14A7" w:rsidP="00A651EF">
            <w:r>
              <w:t>Property Size Description has large number of missing values</w:t>
            </w:r>
          </w:p>
        </w:tc>
        <w:tc>
          <w:tcPr>
            <w:tcW w:w="2410" w:type="dxa"/>
            <w:shd w:val="clear" w:color="auto" w:fill="FFFFFF" w:themeFill="background1"/>
          </w:tcPr>
          <w:p w14:paraId="4D5C252D" w14:textId="6378109E" w:rsidR="007D14A7" w:rsidRDefault="007D14A7" w:rsidP="00A651EF">
            <w:pPr>
              <w:cnfStyle w:val="000000000000" w:firstRow="0" w:lastRow="0" w:firstColumn="0" w:lastColumn="0" w:oddVBand="0" w:evenVBand="0" w:oddHBand="0" w:evenHBand="0" w:firstRowFirstColumn="0" w:firstRowLastColumn="0" w:lastRowFirstColumn="0" w:lastRowLastColumn="0"/>
            </w:pPr>
            <w:r>
              <w:t>Drop feature</w:t>
            </w:r>
          </w:p>
        </w:tc>
        <w:tc>
          <w:tcPr>
            <w:tcW w:w="2268" w:type="dxa"/>
            <w:shd w:val="clear" w:color="auto" w:fill="FFFFFF" w:themeFill="background1"/>
          </w:tcPr>
          <w:p w14:paraId="630B15C6" w14:textId="454ADA2A" w:rsidR="007D14A7" w:rsidRDefault="007D14A7" w:rsidP="00A651EF">
            <w:pPr>
              <w:cnfStyle w:val="000000000000" w:firstRow="0" w:lastRow="0" w:firstColumn="0" w:lastColumn="0" w:oddVBand="0" w:evenVBand="0" w:oddHBand="0" w:evenHBand="0" w:firstRowFirstColumn="0" w:firstRowLastColumn="0" w:lastRowFirstColumn="0" w:lastRowLastColumn="0"/>
            </w:pPr>
            <w:r>
              <w:t xml:space="preserve">We no longer have a feature that </w:t>
            </w:r>
            <w:r w:rsidR="00D11717">
              <w:t>does not provide us with new information about the Dataset.</w:t>
            </w:r>
          </w:p>
        </w:tc>
        <w:tc>
          <w:tcPr>
            <w:tcW w:w="2511" w:type="dxa"/>
            <w:shd w:val="clear" w:color="auto" w:fill="FFFFFF" w:themeFill="background1"/>
          </w:tcPr>
          <w:p w14:paraId="3B4F3262" w14:textId="0A7F7AC8" w:rsidR="007D14A7" w:rsidRDefault="007D14A7" w:rsidP="00A651EF">
            <w:pPr>
              <w:cnfStyle w:val="000000000000" w:firstRow="0" w:lastRow="0" w:firstColumn="0" w:lastColumn="0" w:oddVBand="0" w:evenVBand="0" w:oddHBand="0" w:evenHBand="0" w:firstRowFirstColumn="0" w:firstRowLastColumn="0" w:lastRowFirstColumn="0" w:lastRowLastColumn="0"/>
            </w:pPr>
            <w:r>
              <w:t>Loss of data.</w:t>
            </w:r>
          </w:p>
        </w:tc>
      </w:tr>
    </w:tbl>
    <w:p w14:paraId="5DB8779E" w14:textId="08D1CBC2" w:rsidR="00F4337E" w:rsidRDefault="00F4337E" w:rsidP="00393C6B"/>
    <w:p w14:paraId="00CDE0D6" w14:textId="004E0478" w:rsidR="004A1355" w:rsidRDefault="009A3BF0" w:rsidP="009A3BF0">
      <w:pPr>
        <w:spacing w:before="0" w:after="160" w:line="259" w:lineRule="auto"/>
        <w:jc w:val="left"/>
      </w:pPr>
      <w:r>
        <w:br w:type="page"/>
      </w:r>
    </w:p>
    <w:p w14:paraId="7910202A" w14:textId="05111A48" w:rsidR="004C17E7" w:rsidRDefault="004C17E7" w:rsidP="00A27FC2">
      <w:pPr>
        <w:jc w:val="center"/>
        <w:rPr>
          <w:rStyle w:val="Strong"/>
        </w:rPr>
      </w:pPr>
      <w:r>
        <w:rPr>
          <w:rStyle w:val="Strong"/>
        </w:rPr>
        <w:lastRenderedPageBreak/>
        <w:t>APPENDIX 1</w:t>
      </w:r>
    </w:p>
    <w:p w14:paraId="7C29DCF9" w14:textId="5FF56250" w:rsidR="004C17E7" w:rsidRDefault="00CD1728" w:rsidP="00A27FC2">
      <w:pPr>
        <w:jc w:val="center"/>
        <w:rPr>
          <w:rStyle w:val="Strong"/>
        </w:rPr>
      </w:pPr>
      <w:r>
        <w:rPr>
          <w:rStyle w:val="Strong"/>
        </w:rPr>
        <w:t>DESCRIPTIVE STATISTICS</w:t>
      </w:r>
      <w:r w:rsidR="00E56633">
        <w:rPr>
          <w:rStyle w:val="Strong"/>
        </w:rPr>
        <w:t xml:space="preserve"> TABLES</w:t>
      </w:r>
    </w:p>
    <w:p w14:paraId="00A3DC43" w14:textId="77777777" w:rsidR="00190C41" w:rsidRDefault="00190C41" w:rsidP="00A27FC2">
      <w:pPr>
        <w:jc w:val="center"/>
        <w:rPr>
          <w:rStyle w:val="Strong"/>
          <w:u w:val="single"/>
        </w:rPr>
      </w:pPr>
    </w:p>
    <w:p w14:paraId="63C989B3" w14:textId="0AFF5671" w:rsidR="00190C41" w:rsidRPr="00190C41" w:rsidRDefault="00190C41" w:rsidP="00A27FC2">
      <w:pPr>
        <w:jc w:val="center"/>
        <w:rPr>
          <w:rStyle w:val="Strong"/>
          <w:u w:val="single"/>
        </w:rPr>
      </w:pPr>
      <w:r w:rsidRPr="00190C41">
        <w:rPr>
          <w:rStyle w:val="Strong"/>
          <w:u w:val="single"/>
        </w:rPr>
        <w:t>CATEGORICAL FEATURES</w:t>
      </w:r>
    </w:p>
    <w:p w14:paraId="202D866A" w14:textId="757CBF77" w:rsidR="004C17E7" w:rsidRDefault="00E56633" w:rsidP="00A27FC2">
      <w:pPr>
        <w:jc w:val="center"/>
        <w:rPr>
          <w:rStyle w:val="Strong"/>
        </w:rPr>
      </w:pPr>
      <w:r>
        <w:rPr>
          <w:noProof/>
        </w:rPr>
        <w:drawing>
          <wp:inline distT="0" distB="0" distL="0" distR="0" wp14:anchorId="053DFCD5" wp14:editId="45F35D1B">
            <wp:extent cx="6188710" cy="2277110"/>
            <wp:effectExtent l="19050" t="19050" r="21590" b="2794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6188710" cy="2277110"/>
                    </a:xfrm>
                    <a:prstGeom prst="rect">
                      <a:avLst/>
                    </a:prstGeom>
                    <a:ln>
                      <a:solidFill>
                        <a:schemeClr val="tx1"/>
                      </a:solidFill>
                    </a:ln>
                  </pic:spPr>
                </pic:pic>
              </a:graphicData>
            </a:graphic>
          </wp:inline>
        </w:drawing>
      </w:r>
    </w:p>
    <w:p w14:paraId="075B478A" w14:textId="77777777" w:rsidR="00190C41" w:rsidRDefault="00190C41" w:rsidP="00190C41">
      <w:pPr>
        <w:jc w:val="center"/>
        <w:rPr>
          <w:rStyle w:val="Strong"/>
          <w:u w:val="single"/>
        </w:rPr>
      </w:pPr>
    </w:p>
    <w:p w14:paraId="0C058243" w14:textId="77777777" w:rsidR="00190C41" w:rsidRDefault="00190C41" w:rsidP="00190C41">
      <w:pPr>
        <w:jc w:val="center"/>
        <w:rPr>
          <w:rStyle w:val="Strong"/>
          <w:u w:val="single"/>
        </w:rPr>
      </w:pPr>
    </w:p>
    <w:p w14:paraId="4DCA2B8B" w14:textId="53D42112" w:rsidR="00190C41" w:rsidRPr="00190C41" w:rsidRDefault="00190C41" w:rsidP="00190C41">
      <w:pPr>
        <w:jc w:val="center"/>
        <w:rPr>
          <w:rStyle w:val="Strong"/>
          <w:u w:val="single"/>
        </w:rPr>
      </w:pPr>
      <w:r>
        <w:rPr>
          <w:rStyle w:val="Strong"/>
          <w:u w:val="single"/>
        </w:rPr>
        <w:t>CONTINUOUS</w:t>
      </w:r>
      <w:r w:rsidRPr="00190C41">
        <w:rPr>
          <w:rStyle w:val="Strong"/>
          <w:u w:val="single"/>
        </w:rPr>
        <w:t xml:space="preserve"> FEATURES</w:t>
      </w:r>
    </w:p>
    <w:p w14:paraId="7B1A5C06" w14:textId="621B71A2" w:rsidR="00190C41" w:rsidRDefault="00190C41" w:rsidP="00A27FC2">
      <w:pPr>
        <w:jc w:val="center"/>
        <w:rPr>
          <w:rStyle w:val="Strong"/>
        </w:rPr>
      </w:pPr>
      <w:r>
        <w:rPr>
          <w:noProof/>
        </w:rPr>
        <w:drawing>
          <wp:inline distT="0" distB="0" distL="0" distR="0" wp14:anchorId="51E34CDC" wp14:editId="04817546">
            <wp:extent cx="6188710" cy="756285"/>
            <wp:effectExtent l="19050" t="19050" r="2159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756285"/>
                    </a:xfrm>
                    <a:prstGeom prst="rect">
                      <a:avLst/>
                    </a:prstGeom>
                    <a:ln>
                      <a:solidFill>
                        <a:schemeClr val="tx1"/>
                      </a:solidFill>
                    </a:ln>
                  </pic:spPr>
                </pic:pic>
              </a:graphicData>
            </a:graphic>
          </wp:inline>
        </w:drawing>
      </w:r>
    </w:p>
    <w:p w14:paraId="0EA951D7" w14:textId="77777777" w:rsidR="004C17E7" w:rsidRDefault="004C17E7" w:rsidP="00A27FC2">
      <w:pPr>
        <w:jc w:val="center"/>
        <w:rPr>
          <w:rStyle w:val="Strong"/>
        </w:rPr>
      </w:pPr>
    </w:p>
    <w:p w14:paraId="385DA44E" w14:textId="42EEE312" w:rsidR="004C17E7" w:rsidRDefault="006C4B0B" w:rsidP="006C4B0B">
      <w:pPr>
        <w:spacing w:before="0" w:after="160" w:line="259" w:lineRule="auto"/>
        <w:jc w:val="left"/>
        <w:rPr>
          <w:rStyle w:val="Strong"/>
        </w:rPr>
      </w:pPr>
      <w:r>
        <w:rPr>
          <w:rStyle w:val="Strong"/>
        </w:rPr>
        <w:br w:type="page"/>
      </w:r>
    </w:p>
    <w:p w14:paraId="5CDB66B3" w14:textId="46DD71A5" w:rsidR="004A1355" w:rsidRPr="00A27FC2" w:rsidRDefault="00A27FC2" w:rsidP="00A27FC2">
      <w:pPr>
        <w:jc w:val="center"/>
        <w:rPr>
          <w:rStyle w:val="Strong"/>
        </w:rPr>
      </w:pPr>
      <w:r w:rsidRPr="00A27FC2">
        <w:rPr>
          <w:rStyle w:val="Strong"/>
        </w:rPr>
        <w:lastRenderedPageBreak/>
        <w:t xml:space="preserve">APPENDIX </w:t>
      </w:r>
      <w:r w:rsidR="004C17E7">
        <w:rPr>
          <w:rStyle w:val="Strong"/>
        </w:rPr>
        <w:t>2</w:t>
      </w:r>
    </w:p>
    <w:p w14:paraId="22A4461A" w14:textId="4C0E1535" w:rsidR="00A27FC2" w:rsidRDefault="00A27FC2" w:rsidP="00A27FC2">
      <w:pPr>
        <w:jc w:val="center"/>
        <w:rPr>
          <w:rStyle w:val="Strong"/>
        </w:rPr>
      </w:pPr>
      <w:r w:rsidRPr="00A27FC2">
        <w:rPr>
          <w:rStyle w:val="Strong"/>
        </w:rPr>
        <w:t>CONTINUOUS FEATURES (HISTOGRAMS)</w:t>
      </w:r>
    </w:p>
    <w:p w14:paraId="542A3B98" w14:textId="3AE9E589" w:rsidR="006C4B0B" w:rsidRDefault="00633E7D" w:rsidP="00303EF6">
      <w:pPr>
        <w:spacing w:before="0" w:after="160" w:line="259" w:lineRule="auto"/>
        <w:jc w:val="center"/>
        <w:rPr>
          <w:rStyle w:val="Strong"/>
        </w:rPr>
      </w:pPr>
      <w:r>
        <w:rPr>
          <w:rStyle w:val="Strong"/>
          <w:noProof/>
        </w:rPr>
        <w:drawing>
          <wp:anchor distT="0" distB="0" distL="114300" distR="114300" simplePos="0" relativeHeight="251658240" behindDoc="0" locked="0" layoutInCell="1" allowOverlap="1" wp14:anchorId="3E6CD6F3" wp14:editId="307D10ED">
            <wp:simplePos x="0" y="0"/>
            <wp:positionH relativeFrom="column">
              <wp:posOffset>400050</wp:posOffset>
            </wp:positionH>
            <wp:positionV relativeFrom="paragraph">
              <wp:posOffset>635</wp:posOffset>
            </wp:positionV>
            <wp:extent cx="5391150" cy="3543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3543300"/>
                    </a:xfrm>
                    <a:prstGeom prst="rect">
                      <a:avLst/>
                    </a:prstGeom>
                    <a:noFill/>
                    <a:ln>
                      <a:noFill/>
                    </a:ln>
                  </pic:spPr>
                </pic:pic>
              </a:graphicData>
            </a:graphic>
          </wp:anchor>
        </w:drawing>
      </w:r>
    </w:p>
    <w:p w14:paraId="337348C5" w14:textId="7BD50B08" w:rsidR="00303EF6" w:rsidRDefault="00633E7D" w:rsidP="00303EF6">
      <w:pPr>
        <w:spacing w:before="0" w:after="160" w:line="259" w:lineRule="auto"/>
        <w:jc w:val="center"/>
        <w:rPr>
          <w:rStyle w:val="Strong"/>
        </w:rPr>
      </w:pPr>
      <w:r>
        <w:rPr>
          <w:rStyle w:val="Strong"/>
          <w:noProof/>
        </w:rPr>
        <w:drawing>
          <wp:inline distT="0" distB="0" distL="0" distR="0" wp14:anchorId="26393696" wp14:editId="5715D68F">
            <wp:extent cx="5372100" cy="3543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2100" cy="3543300"/>
                    </a:xfrm>
                    <a:prstGeom prst="rect">
                      <a:avLst/>
                    </a:prstGeom>
                    <a:noFill/>
                    <a:ln>
                      <a:noFill/>
                    </a:ln>
                  </pic:spPr>
                </pic:pic>
              </a:graphicData>
            </a:graphic>
          </wp:inline>
        </w:drawing>
      </w:r>
    </w:p>
    <w:p w14:paraId="7DFE6A2C" w14:textId="780268CA" w:rsidR="00303EF6" w:rsidRDefault="00303EF6" w:rsidP="00303EF6">
      <w:pPr>
        <w:spacing w:before="0" w:after="160" w:line="259" w:lineRule="auto"/>
        <w:jc w:val="center"/>
        <w:rPr>
          <w:rStyle w:val="Strong"/>
        </w:rPr>
      </w:pPr>
    </w:p>
    <w:p w14:paraId="2A379FC1" w14:textId="4FD98F0C" w:rsidR="00303EF6" w:rsidRDefault="00303EF6">
      <w:pPr>
        <w:spacing w:before="0" w:after="160" w:line="259" w:lineRule="auto"/>
        <w:jc w:val="left"/>
        <w:rPr>
          <w:rStyle w:val="Strong"/>
        </w:rPr>
      </w:pPr>
      <w:r>
        <w:rPr>
          <w:rStyle w:val="Strong"/>
        </w:rPr>
        <w:br w:type="page"/>
      </w:r>
    </w:p>
    <w:p w14:paraId="683F450E" w14:textId="32E29EAF" w:rsidR="00A27FC2" w:rsidRPr="00A27FC2" w:rsidRDefault="00A27FC2" w:rsidP="00303EF6">
      <w:pPr>
        <w:jc w:val="center"/>
        <w:rPr>
          <w:rStyle w:val="Strong"/>
        </w:rPr>
      </w:pPr>
      <w:r w:rsidRPr="00A27FC2">
        <w:rPr>
          <w:rStyle w:val="Strong"/>
        </w:rPr>
        <w:lastRenderedPageBreak/>
        <w:t xml:space="preserve">APPENDIX </w:t>
      </w:r>
      <w:r w:rsidR="00303EF6">
        <w:rPr>
          <w:rStyle w:val="Strong"/>
        </w:rPr>
        <w:t>3</w:t>
      </w:r>
    </w:p>
    <w:p w14:paraId="5E49171B" w14:textId="1DCB0710" w:rsidR="00A27FC2" w:rsidRDefault="00A27FC2" w:rsidP="00A27FC2">
      <w:pPr>
        <w:jc w:val="center"/>
        <w:rPr>
          <w:rStyle w:val="Strong"/>
        </w:rPr>
      </w:pPr>
      <w:r w:rsidRPr="00A27FC2">
        <w:rPr>
          <w:rStyle w:val="Strong"/>
        </w:rPr>
        <w:t>CONTINUOUS FEATURES (</w:t>
      </w:r>
      <w:r>
        <w:rPr>
          <w:rStyle w:val="Strong"/>
        </w:rPr>
        <w:t>BOX PLOTS</w:t>
      </w:r>
      <w:r w:rsidRPr="00A27FC2">
        <w:rPr>
          <w:rStyle w:val="Strong"/>
        </w:rPr>
        <w:t>)</w:t>
      </w:r>
    </w:p>
    <w:p w14:paraId="10DAB96C" w14:textId="5B0E7936" w:rsidR="00303EF6" w:rsidRDefault="00633E7D" w:rsidP="00A27FC2">
      <w:pPr>
        <w:jc w:val="center"/>
        <w:rPr>
          <w:rStyle w:val="Strong"/>
        </w:rPr>
      </w:pPr>
      <w:r>
        <w:rPr>
          <w:rStyle w:val="Strong"/>
          <w:noProof/>
        </w:rPr>
        <w:drawing>
          <wp:anchor distT="0" distB="0" distL="114300" distR="114300" simplePos="0" relativeHeight="251659264" behindDoc="0" locked="0" layoutInCell="1" allowOverlap="1" wp14:anchorId="7714F476" wp14:editId="5520F371">
            <wp:simplePos x="0" y="0"/>
            <wp:positionH relativeFrom="column">
              <wp:posOffset>400050</wp:posOffset>
            </wp:positionH>
            <wp:positionV relativeFrom="paragraph">
              <wp:posOffset>635</wp:posOffset>
            </wp:positionV>
            <wp:extent cx="5381625" cy="35433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1625" cy="3543300"/>
                    </a:xfrm>
                    <a:prstGeom prst="rect">
                      <a:avLst/>
                    </a:prstGeom>
                    <a:noFill/>
                    <a:ln>
                      <a:noFill/>
                    </a:ln>
                  </pic:spPr>
                </pic:pic>
              </a:graphicData>
            </a:graphic>
          </wp:anchor>
        </w:drawing>
      </w:r>
    </w:p>
    <w:p w14:paraId="7B90D224" w14:textId="2E3513E6" w:rsidR="00303EF6" w:rsidRDefault="007F7B40" w:rsidP="00A27FC2">
      <w:pPr>
        <w:jc w:val="center"/>
        <w:rPr>
          <w:rStyle w:val="Strong"/>
        </w:rPr>
      </w:pPr>
      <w:r>
        <w:rPr>
          <w:rStyle w:val="Strong"/>
          <w:noProof/>
        </w:rPr>
        <w:drawing>
          <wp:inline distT="0" distB="0" distL="0" distR="0" wp14:anchorId="2EE8EF0B" wp14:editId="605EC193">
            <wp:extent cx="5013325" cy="33420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3325" cy="3342005"/>
                    </a:xfrm>
                    <a:prstGeom prst="rect">
                      <a:avLst/>
                    </a:prstGeom>
                    <a:noFill/>
                    <a:ln>
                      <a:noFill/>
                    </a:ln>
                  </pic:spPr>
                </pic:pic>
              </a:graphicData>
            </a:graphic>
          </wp:inline>
        </w:drawing>
      </w:r>
    </w:p>
    <w:p w14:paraId="5FE07584" w14:textId="41092005" w:rsidR="00DA614F" w:rsidRDefault="009A3BF0" w:rsidP="00303EF6">
      <w:pPr>
        <w:spacing w:before="0" w:after="160" w:line="259" w:lineRule="auto"/>
        <w:jc w:val="left"/>
        <w:rPr>
          <w:rStyle w:val="Strong"/>
        </w:rPr>
      </w:pPr>
      <w:r>
        <w:rPr>
          <w:rStyle w:val="Strong"/>
        </w:rPr>
        <w:br w:type="page"/>
      </w:r>
    </w:p>
    <w:p w14:paraId="2F7BE0DD" w14:textId="7666D25F" w:rsidR="00633E7D" w:rsidRPr="00A27FC2" w:rsidRDefault="00633E7D" w:rsidP="00633E7D">
      <w:pPr>
        <w:jc w:val="center"/>
        <w:rPr>
          <w:rStyle w:val="Strong"/>
        </w:rPr>
      </w:pPr>
      <w:r w:rsidRPr="00A27FC2">
        <w:rPr>
          <w:rStyle w:val="Strong"/>
        </w:rPr>
        <w:lastRenderedPageBreak/>
        <w:t xml:space="preserve">APPENDIX </w:t>
      </w:r>
      <w:r>
        <w:rPr>
          <w:rStyle w:val="Strong"/>
        </w:rPr>
        <w:t>4</w:t>
      </w:r>
    </w:p>
    <w:p w14:paraId="3E6E5521" w14:textId="66FB6A84" w:rsidR="00633E7D" w:rsidRDefault="00633E7D" w:rsidP="00633E7D">
      <w:pPr>
        <w:jc w:val="center"/>
        <w:rPr>
          <w:rStyle w:val="Strong"/>
        </w:rPr>
      </w:pPr>
      <w:r>
        <w:rPr>
          <w:rStyle w:val="Strong"/>
        </w:rPr>
        <w:t>CATEGORICAL</w:t>
      </w:r>
      <w:r w:rsidRPr="00A27FC2">
        <w:rPr>
          <w:rStyle w:val="Strong"/>
        </w:rPr>
        <w:t xml:space="preserve"> FEATURES (</w:t>
      </w:r>
      <w:r>
        <w:rPr>
          <w:rStyle w:val="Strong"/>
        </w:rPr>
        <w:t>BAR PLOTS</w:t>
      </w:r>
      <w:r w:rsidRPr="00A27FC2">
        <w:rPr>
          <w:rStyle w:val="Strong"/>
        </w:rPr>
        <w:t>)</w:t>
      </w:r>
    </w:p>
    <w:p w14:paraId="08FCF983" w14:textId="5ABC3082" w:rsidR="00303EF6" w:rsidRDefault="005723D0" w:rsidP="005723D0">
      <w:pPr>
        <w:jc w:val="center"/>
      </w:pPr>
      <w:r>
        <w:rPr>
          <w:noProof/>
        </w:rPr>
        <w:drawing>
          <wp:anchor distT="0" distB="0" distL="114300" distR="114300" simplePos="0" relativeHeight="251660288" behindDoc="0" locked="0" layoutInCell="1" allowOverlap="1" wp14:anchorId="237E6894" wp14:editId="4B81AAAA">
            <wp:simplePos x="0" y="0"/>
            <wp:positionH relativeFrom="column">
              <wp:posOffset>600075</wp:posOffset>
            </wp:positionH>
            <wp:positionV relativeFrom="paragraph">
              <wp:posOffset>635</wp:posOffset>
            </wp:positionV>
            <wp:extent cx="4981575" cy="7267575"/>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1575" cy="7267575"/>
                    </a:xfrm>
                    <a:prstGeom prst="rect">
                      <a:avLst/>
                    </a:prstGeom>
                    <a:noFill/>
                    <a:ln>
                      <a:noFill/>
                    </a:ln>
                  </pic:spPr>
                </pic:pic>
              </a:graphicData>
            </a:graphic>
          </wp:anchor>
        </w:drawing>
      </w:r>
    </w:p>
    <w:p w14:paraId="1382D7AE" w14:textId="66E3B6F3" w:rsidR="006614AE" w:rsidRDefault="006614AE" w:rsidP="00303EF6">
      <w:pPr>
        <w:jc w:val="center"/>
      </w:pPr>
    </w:p>
    <w:p w14:paraId="41B29F1B" w14:textId="7C8EB6E1" w:rsidR="00097448" w:rsidRDefault="00097448" w:rsidP="00097448"/>
    <w:p w14:paraId="0267781C" w14:textId="77B7A230" w:rsidR="005723D0" w:rsidRDefault="005723D0" w:rsidP="005723D0">
      <w:pPr>
        <w:jc w:val="center"/>
        <w:rPr>
          <w:b/>
          <w:bCs/>
        </w:rPr>
      </w:pPr>
      <w:r>
        <w:rPr>
          <w:b/>
          <w:bCs/>
          <w:noProof/>
        </w:rPr>
        <w:lastRenderedPageBreak/>
        <w:drawing>
          <wp:inline distT="0" distB="0" distL="0" distR="0" wp14:anchorId="7E2C6B27" wp14:editId="3A8E1490">
            <wp:extent cx="5095875" cy="3600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5875" cy="3600450"/>
                    </a:xfrm>
                    <a:prstGeom prst="rect">
                      <a:avLst/>
                    </a:prstGeom>
                    <a:noFill/>
                    <a:ln>
                      <a:noFill/>
                    </a:ln>
                  </pic:spPr>
                </pic:pic>
              </a:graphicData>
            </a:graphic>
          </wp:inline>
        </w:drawing>
      </w:r>
      <w:r>
        <w:rPr>
          <w:b/>
          <w:bCs/>
          <w:noProof/>
        </w:rPr>
        <w:drawing>
          <wp:anchor distT="0" distB="0" distL="114300" distR="114300" simplePos="0" relativeHeight="251661312" behindDoc="0" locked="0" layoutInCell="1" allowOverlap="1" wp14:anchorId="4984DFD8" wp14:editId="6B6EB9C8">
            <wp:simplePos x="0" y="0"/>
            <wp:positionH relativeFrom="column">
              <wp:posOffset>581025</wp:posOffset>
            </wp:positionH>
            <wp:positionV relativeFrom="paragraph">
              <wp:posOffset>0</wp:posOffset>
            </wp:positionV>
            <wp:extent cx="5019675" cy="4171950"/>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9675" cy="4171950"/>
                    </a:xfrm>
                    <a:prstGeom prst="rect">
                      <a:avLst/>
                    </a:prstGeom>
                    <a:noFill/>
                    <a:ln>
                      <a:noFill/>
                    </a:ln>
                  </pic:spPr>
                </pic:pic>
              </a:graphicData>
            </a:graphic>
          </wp:anchor>
        </w:drawing>
      </w:r>
    </w:p>
    <w:p w14:paraId="4260EC5D" w14:textId="4ED7D754" w:rsidR="005723D0" w:rsidRDefault="005723D0" w:rsidP="005723D0">
      <w:pPr>
        <w:jc w:val="center"/>
        <w:rPr>
          <w:b/>
          <w:bCs/>
        </w:rPr>
      </w:pPr>
      <w:r>
        <w:rPr>
          <w:b/>
          <w:bCs/>
          <w:noProof/>
        </w:rPr>
        <w:lastRenderedPageBreak/>
        <w:drawing>
          <wp:inline distT="0" distB="0" distL="0" distR="0" wp14:anchorId="20AD2A21" wp14:editId="3EF040DF">
            <wp:extent cx="5019675" cy="60102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9675" cy="6010275"/>
                    </a:xfrm>
                    <a:prstGeom prst="rect">
                      <a:avLst/>
                    </a:prstGeom>
                    <a:noFill/>
                    <a:ln>
                      <a:noFill/>
                    </a:ln>
                  </pic:spPr>
                </pic:pic>
              </a:graphicData>
            </a:graphic>
          </wp:inline>
        </w:drawing>
      </w:r>
    </w:p>
    <w:p w14:paraId="30A03F0E" w14:textId="77777777" w:rsidR="005723D0" w:rsidRDefault="005723D0" w:rsidP="00097448">
      <w:pPr>
        <w:rPr>
          <w:b/>
          <w:bCs/>
        </w:rPr>
      </w:pPr>
    </w:p>
    <w:p w14:paraId="20BCE65D" w14:textId="50CD6058" w:rsidR="005723D0" w:rsidRDefault="005723D0" w:rsidP="005723D0">
      <w:pPr>
        <w:jc w:val="center"/>
        <w:rPr>
          <w:b/>
          <w:bCs/>
        </w:rPr>
      </w:pPr>
      <w:r>
        <w:rPr>
          <w:b/>
          <w:bCs/>
          <w:noProof/>
        </w:rPr>
        <w:lastRenderedPageBreak/>
        <w:drawing>
          <wp:inline distT="0" distB="0" distL="0" distR="0" wp14:anchorId="77E25052" wp14:editId="20987308">
            <wp:extent cx="4933950" cy="4029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33950" cy="4029075"/>
                    </a:xfrm>
                    <a:prstGeom prst="rect">
                      <a:avLst/>
                    </a:prstGeom>
                    <a:noFill/>
                    <a:ln>
                      <a:noFill/>
                    </a:ln>
                  </pic:spPr>
                </pic:pic>
              </a:graphicData>
            </a:graphic>
          </wp:inline>
        </w:drawing>
      </w:r>
      <w:r>
        <w:rPr>
          <w:b/>
          <w:bCs/>
          <w:noProof/>
        </w:rPr>
        <w:drawing>
          <wp:inline distT="0" distB="0" distL="0" distR="0" wp14:anchorId="601F2E56" wp14:editId="0826BA7F">
            <wp:extent cx="5013325" cy="36106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13325" cy="3610610"/>
                    </a:xfrm>
                    <a:prstGeom prst="rect">
                      <a:avLst/>
                    </a:prstGeom>
                    <a:noFill/>
                    <a:ln>
                      <a:noFill/>
                    </a:ln>
                  </pic:spPr>
                </pic:pic>
              </a:graphicData>
            </a:graphic>
          </wp:inline>
        </w:drawing>
      </w:r>
    </w:p>
    <w:p w14:paraId="61191DDB" w14:textId="77777777" w:rsidR="005723D0" w:rsidRDefault="005723D0" w:rsidP="00097448">
      <w:pPr>
        <w:rPr>
          <w:b/>
          <w:bCs/>
        </w:rPr>
      </w:pPr>
    </w:p>
    <w:p w14:paraId="30CDA9D5" w14:textId="77777777" w:rsidR="005723D0" w:rsidRDefault="005723D0" w:rsidP="00097448">
      <w:pPr>
        <w:rPr>
          <w:b/>
          <w:bCs/>
        </w:rPr>
      </w:pPr>
    </w:p>
    <w:p w14:paraId="5E231486" w14:textId="77777777" w:rsidR="005723D0" w:rsidRDefault="005723D0" w:rsidP="00097448">
      <w:pPr>
        <w:rPr>
          <w:b/>
          <w:bCs/>
        </w:rPr>
      </w:pPr>
    </w:p>
    <w:p w14:paraId="0339CED0" w14:textId="39C49A91" w:rsidR="005723D0" w:rsidRDefault="005723D0" w:rsidP="005723D0">
      <w:pPr>
        <w:jc w:val="center"/>
        <w:rPr>
          <w:b/>
          <w:bCs/>
        </w:rPr>
      </w:pPr>
      <w:r>
        <w:rPr>
          <w:b/>
          <w:bCs/>
          <w:noProof/>
        </w:rPr>
        <w:lastRenderedPageBreak/>
        <w:drawing>
          <wp:inline distT="0" distB="0" distL="0" distR="0" wp14:anchorId="1792FBF8" wp14:editId="007C408A">
            <wp:extent cx="4934585" cy="76460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34585" cy="7646035"/>
                    </a:xfrm>
                    <a:prstGeom prst="rect">
                      <a:avLst/>
                    </a:prstGeom>
                    <a:noFill/>
                    <a:ln>
                      <a:noFill/>
                    </a:ln>
                  </pic:spPr>
                </pic:pic>
              </a:graphicData>
            </a:graphic>
          </wp:inline>
        </w:drawing>
      </w:r>
    </w:p>
    <w:p w14:paraId="656008FE" w14:textId="77777777" w:rsidR="005723D0" w:rsidRDefault="005723D0" w:rsidP="00097448">
      <w:pPr>
        <w:rPr>
          <w:b/>
          <w:bCs/>
        </w:rPr>
      </w:pPr>
    </w:p>
    <w:p w14:paraId="06829BB2" w14:textId="77777777" w:rsidR="005723D0" w:rsidRDefault="005723D0" w:rsidP="00097448">
      <w:pPr>
        <w:rPr>
          <w:b/>
          <w:bCs/>
        </w:rPr>
      </w:pPr>
    </w:p>
    <w:p w14:paraId="0A0AE169" w14:textId="3045F2DB" w:rsidR="00097448" w:rsidRPr="00097448" w:rsidRDefault="00097448" w:rsidP="00097448">
      <w:pPr>
        <w:rPr>
          <w:b/>
          <w:bCs/>
        </w:rPr>
      </w:pPr>
      <w:r>
        <w:rPr>
          <w:b/>
          <w:bCs/>
        </w:rPr>
        <w:t>END</w:t>
      </w:r>
    </w:p>
    <w:sectPr w:rsidR="00097448" w:rsidRPr="00097448" w:rsidSect="00197D7E">
      <w:headerReference w:type="default" r:id="rId21"/>
      <w:footerReference w:type="default" r:id="rId2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404F7" w14:textId="77777777" w:rsidR="00DA1416" w:rsidRDefault="00DA1416" w:rsidP="00197D7E">
      <w:pPr>
        <w:spacing w:after="0" w:line="240" w:lineRule="auto"/>
      </w:pPr>
      <w:r>
        <w:separator/>
      </w:r>
    </w:p>
  </w:endnote>
  <w:endnote w:type="continuationSeparator" w:id="0">
    <w:p w14:paraId="4E0BC384" w14:textId="77777777" w:rsidR="00DA1416" w:rsidRDefault="00DA1416" w:rsidP="0019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482001"/>
      <w:docPartObj>
        <w:docPartGallery w:val="Page Numbers (Bottom of Page)"/>
        <w:docPartUnique/>
      </w:docPartObj>
    </w:sdtPr>
    <w:sdtEndPr>
      <w:rPr>
        <w:noProof/>
      </w:rPr>
    </w:sdtEndPr>
    <w:sdtContent>
      <w:p w14:paraId="62C4DAD9" w14:textId="40390F96" w:rsidR="00557E51" w:rsidRDefault="00557E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3CD52" w14:textId="77777777" w:rsidR="00557E51" w:rsidRDefault="00557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501C3" w14:textId="77777777" w:rsidR="00DA1416" w:rsidRDefault="00DA1416" w:rsidP="00197D7E">
      <w:pPr>
        <w:spacing w:after="0" w:line="240" w:lineRule="auto"/>
      </w:pPr>
      <w:r>
        <w:separator/>
      </w:r>
    </w:p>
  </w:footnote>
  <w:footnote w:type="continuationSeparator" w:id="0">
    <w:p w14:paraId="0E9486B0" w14:textId="77777777" w:rsidR="00DA1416" w:rsidRDefault="00DA1416" w:rsidP="00197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1BA68" w14:textId="4841BCC9" w:rsidR="00197D7E" w:rsidRPr="0012564C" w:rsidRDefault="00197D7E" w:rsidP="0012564C">
    <w:pPr>
      <w:pStyle w:val="NoSpacing"/>
      <w:rPr>
        <w:b/>
        <w:bCs/>
      </w:rPr>
    </w:pPr>
    <w:r w:rsidRPr="0012564C">
      <w:rPr>
        <w:b/>
        <w:bCs/>
      </w:rPr>
      <w:t>COMP</w:t>
    </w:r>
    <w:r w:rsidR="00485CDF" w:rsidRPr="0012564C">
      <w:rPr>
        <w:b/>
        <w:bCs/>
      </w:rPr>
      <w:t>47350</w:t>
    </w:r>
    <w:r w:rsidRPr="0012564C">
      <w:rPr>
        <w:b/>
        <w:bCs/>
      </w:rPr>
      <w:t xml:space="preserve">: </w:t>
    </w:r>
    <w:r w:rsidR="00485CDF" w:rsidRPr="0012564C">
      <w:rPr>
        <w:b/>
        <w:bCs/>
      </w:rPr>
      <w:t>Homework 1</w:t>
    </w:r>
  </w:p>
  <w:p w14:paraId="278CC7DB" w14:textId="716D4E28" w:rsidR="00197D7E" w:rsidRPr="0012564C" w:rsidRDefault="00197D7E" w:rsidP="0012564C">
    <w:pPr>
      <w:pStyle w:val="NoSpacing"/>
      <w:rPr>
        <w:b/>
        <w:bCs/>
      </w:rPr>
    </w:pPr>
    <w:r w:rsidRPr="0012564C">
      <w:rPr>
        <w:b/>
        <w:bCs/>
      </w:rPr>
      <w:t>Student ID: 21200122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22B"/>
    <w:multiLevelType w:val="hybridMultilevel"/>
    <w:tmpl w:val="5434AA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5F50CF"/>
    <w:multiLevelType w:val="multilevel"/>
    <w:tmpl w:val="A636FF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ED09D4"/>
    <w:multiLevelType w:val="hybridMultilevel"/>
    <w:tmpl w:val="76F655D8"/>
    <w:lvl w:ilvl="0" w:tplc="34529BF4">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4B311D"/>
    <w:multiLevelType w:val="hybridMultilevel"/>
    <w:tmpl w:val="C9DA41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66E1B60"/>
    <w:multiLevelType w:val="hybridMultilevel"/>
    <w:tmpl w:val="B5CCC5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33E35EF"/>
    <w:multiLevelType w:val="multilevel"/>
    <w:tmpl w:val="7D0CCA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rPr>
        <w:rFonts w:ascii="Arial" w:hAnsi="Arial" w:cs="Arial" w:hint="default"/>
        <w:i w:val="0"/>
        <w:iCs w:val="0"/>
        <w:sz w:val="19"/>
        <w:szCs w:val="19"/>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82014EA"/>
    <w:multiLevelType w:val="hybridMultilevel"/>
    <w:tmpl w:val="117E6F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2D6765C"/>
    <w:multiLevelType w:val="hybridMultilevel"/>
    <w:tmpl w:val="E77622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A4D6A8A"/>
    <w:multiLevelType w:val="hybridMultilevel"/>
    <w:tmpl w:val="018259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0B80A28"/>
    <w:multiLevelType w:val="hybridMultilevel"/>
    <w:tmpl w:val="8E06E4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8B33416"/>
    <w:multiLevelType w:val="hybridMultilevel"/>
    <w:tmpl w:val="D54AFE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5"/>
  </w:num>
  <w:num w:numId="5">
    <w:abstractNumId w:val="1"/>
  </w:num>
  <w:num w:numId="6">
    <w:abstractNumId w:val="6"/>
  </w:num>
  <w:num w:numId="7">
    <w:abstractNumId w:val="3"/>
  </w:num>
  <w:num w:numId="8">
    <w:abstractNumId w:val="8"/>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7E"/>
    <w:rsid w:val="00002FE3"/>
    <w:rsid w:val="00007E9A"/>
    <w:rsid w:val="00011376"/>
    <w:rsid w:val="00013E23"/>
    <w:rsid w:val="0002045F"/>
    <w:rsid w:val="00021FF0"/>
    <w:rsid w:val="0002759D"/>
    <w:rsid w:val="00032945"/>
    <w:rsid w:val="00033A08"/>
    <w:rsid w:val="00035E6B"/>
    <w:rsid w:val="00037B8C"/>
    <w:rsid w:val="000419EC"/>
    <w:rsid w:val="000453C4"/>
    <w:rsid w:val="0005104F"/>
    <w:rsid w:val="000514D8"/>
    <w:rsid w:val="00052DCD"/>
    <w:rsid w:val="00060700"/>
    <w:rsid w:val="00060E75"/>
    <w:rsid w:val="00070502"/>
    <w:rsid w:val="00071E8F"/>
    <w:rsid w:val="00073A4A"/>
    <w:rsid w:val="00075079"/>
    <w:rsid w:val="00077FB8"/>
    <w:rsid w:val="0009025E"/>
    <w:rsid w:val="000915F2"/>
    <w:rsid w:val="000927D1"/>
    <w:rsid w:val="00097448"/>
    <w:rsid w:val="000A0507"/>
    <w:rsid w:val="000A0907"/>
    <w:rsid w:val="000A6435"/>
    <w:rsid w:val="000C377D"/>
    <w:rsid w:val="000C65C3"/>
    <w:rsid w:val="000D39D7"/>
    <w:rsid w:val="000D6B40"/>
    <w:rsid w:val="000E0AC7"/>
    <w:rsid w:val="000E204A"/>
    <w:rsid w:val="000E6146"/>
    <w:rsid w:val="0010784F"/>
    <w:rsid w:val="0012227E"/>
    <w:rsid w:val="0012564C"/>
    <w:rsid w:val="001340C9"/>
    <w:rsid w:val="00135F38"/>
    <w:rsid w:val="0013783B"/>
    <w:rsid w:val="001406E3"/>
    <w:rsid w:val="00141A4A"/>
    <w:rsid w:val="00142165"/>
    <w:rsid w:val="00144535"/>
    <w:rsid w:val="00150B34"/>
    <w:rsid w:val="00152EB8"/>
    <w:rsid w:val="0015484C"/>
    <w:rsid w:val="00154D23"/>
    <w:rsid w:val="001601E8"/>
    <w:rsid w:val="001602C6"/>
    <w:rsid w:val="001662D9"/>
    <w:rsid w:val="00176FA3"/>
    <w:rsid w:val="00180A5C"/>
    <w:rsid w:val="00182D63"/>
    <w:rsid w:val="00190C41"/>
    <w:rsid w:val="001928E7"/>
    <w:rsid w:val="00193571"/>
    <w:rsid w:val="00197D7E"/>
    <w:rsid w:val="001A2972"/>
    <w:rsid w:val="001B68AC"/>
    <w:rsid w:val="001C32C6"/>
    <w:rsid w:val="001C54D3"/>
    <w:rsid w:val="001C7AF2"/>
    <w:rsid w:val="001D0F5A"/>
    <w:rsid w:val="001D40B3"/>
    <w:rsid w:val="001D40C3"/>
    <w:rsid w:val="001D4D11"/>
    <w:rsid w:val="001E1411"/>
    <w:rsid w:val="001F6FFB"/>
    <w:rsid w:val="00201263"/>
    <w:rsid w:val="0020285F"/>
    <w:rsid w:val="00203E75"/>
    <w:rsid w:val="00213DA7"/>
    <w:rsid w:val="00214B93"/>
    <w:rsid w:val="002202B2"/>
    <w:rsid w:val="0022290D"/>
    <w:rsid w:val="00233900"/>
    <w:rsid w:val="0023687D"/>
    <w:rsid w:val="0024038E"/>
    <w:rsid w:val="00241103"/>
    <w:rsid w:val="0024129D"/>
    <w:rsid w:val="00245DD8"/>
    <w:rsid w:val="00257337"/>
    <w:rsid w:val="00262296"/>
    <w:rsid w:val="00263A91"/>
    <w:rsid w:val="00264EE6"/>
    <w:rsid w:val="00270293"/>
    <w:rsid w:val="002706B1"/>
    <w:rsid w:val="00272449"/>
    <w:rsid w:val="00272CA3"/>
    <w:rsid w:val="00273033"/>
    <w:rsid w:val="00273DF4"/>
    <w:rsid w:val="0028109D"/>
    <w:rsid w:val="00283F77"/>
    <w:rsid w:val="002871DD"/>
    <w:rsid w:val="002902A0"/>
    <w:rsid w:val="002A0832"/>
    <w:rsid w:val="002B58DF"/>
    <w:rsid w:val="002C2CA2"/>
    <w:rsid w:val="002C3C8D"/>
    <w:rsid w:val="002C464D"/>
    <w:rsid w:val="002D5E0A"/>
    <w:rsid w:val="002D6D10"/>
    <w:rsid w:val="002E58ED"/>
    <w:rsid w:val="002E71F7"/>
    <w:rsid w:val="002E7CCA"/>
    <w:rsid w:val="002F00EE"/>
    <w:rsid w:val="002F0A1F"/>
    <w:rsid w:val="002F10B0"/>
    <w:rsid w:val="002F225B"/>
    <w:rsid w:val="002F374B"/>
    <w:rsid w:val="002F45EC"/>
    <w:rsid w:val="003028C8"/>
    <w:rsid w:val="00303EF6"/>
    <w:rsid w:val="00306208"/>
    <w:rsid w:val="00313309"/>
    <w:rsid w:val="003171D3"/>
    <w:rsid w:val="00317DC7"/>
    <w:rsid w:val="00326645"/>
    <w:rsid w:val="00327D94"/>
    <w:rsid w:val="00335EAC"/>
    <w:rsid w:val="00336680"/>
    <w:rsid w:val="003372EB"/>
    <w:rsid w:val="00346A84"/>
    <w:rsid w:val="00351F31"/>
    <w:rsid w:val="00354DED"/>
    <w:rsid w:val="003561BB"/>
    <w:rsid w:val="00360465"/>
    <w:rsid w:val="0036582D"/>
    <w:rsid w:val="00371920"/>
    <w:rsid w:val="00374C80"/>
    <w:rsid w:val="00376244"/>
    <w:rsid w:val="00376908"/>
    <w:rsid w:val="00381948"/>
    <w:rsid w:val="003867E7"/>
    <w:rsid w:val="00391E94"/>
    <w:rsid w:val="00393C6B"/>
    <w:rsid w:val="003944A4"/>
    <w:rsid w:val="003A2962"/>
    <w:rsid w:val="003A2BEA"/>
    <w:rsid w:val="003B1EAF"/>
    <w:rsid w:val="003B43D5"/>
    <w:rsid w:val="003C3639"/>
    <w:rsid w:val="003D04A1"/>
    <w:rsid w:val="003D089B"/>
    <w:rsid w:val="003D0D3C"/>
    <w:rsid w:val="003D6281"/>
    <w:rsid w:val="003D72BA"/>
    <w:rsid w:val="003D7A0C"/>
    <w:rsid w:val="003E4FD3"/>
    <w:rsid w:val="003F6EDA"/>
    <w:rsid w:val="00402902"/>
    <w:rsid w:val="00411153"/>
    <w:rsid w:val="00411D99"/>
    <w:rsid w:val="00415F6C"/>
    <w:rsid w:val="00422D34"/>
    <w:rsid w:val="00424F03"/>
    <w:rsid w:val="00426553"/>
    <w:rsid w:val="00430346"/>
    <w:rsid w:val="00437FCC"/>
    <w:rsid w:val="0044004C"/>
    <w:rsid w:val="00451101"/>
    <w:rsid w:val="004538B8"/>
    <w:rsid w:val="004546D8"/>
    <w:rsid w:val="00460205"/>
    <w:rsid w:val="00466CE6"/>
    <w:rsid w:val="00484362"/>
    <w:rsid w:val="00485CDF"/>
    <w:rsid w:val="0048712C"/>
    <w:rsid w:val="00493254"/>
    <w:rsid w:val="00493E07"/>
    <w:rsid w:val="004A1355"/>
    <w:rsid w:val="004A605A"/>
    <w:rsid w:val="004A622B"/>
    <w:rsid w:val="004B2CAD"/>
    <w:rsid w:val="004B3CB8"/>
    <w:rsid w:val="004B6847"/>
    <w:rsid w:val="004B6BEB"/>
    <w:rsid w:val="004C17E7"/>
    <w:rsid w:val="004C25DC"/>
    <w:rsid w:val="004C2CC1"/>
    <w:rsid w:val="004C4ED2"/>
    <w:rsid w:val="004C725D"/>
    <w:rsid w:val="004D3255"/>
    <w:rsid w:val="004D3846"/>
    <w:rsid w:val="004D70FD"/>
    <w:rsid w:val="004E1719"/>
    <w:rsid w:val="004E70C7"/>
    <w:rsid w:val="004F1B71"/>
    <w:rsid w:val="004F4B35"/>
    <w:rsid w:val="00503169"/>
    <w:rsid w:val="00503550"/>
    <w:rsid w:val="005115E8"/>
    <w:rsid w:val="00512957"/>
    <w:rsid w:val="00515F14"/>
    <w:rsid w:val="00521BDD"/>
    <w:rsid w:val="00522056"/>
    <w:rsid w:val="00522657"/>
    <w:rsid w:val="005230CE"/>
    <w:rsid w:val="00526F25"/>
    <w:rsid w:val="005307F2"/>
    <w:rsid w:val="00530B12"/>
    <w:rsid w:val="00540512"/>
    <w:rsid w:val="00541A3A"/>
    <w:rsid w:val="005454C7"/>
    <w:rsid w:val="00554E66"/>
    <w:rsid w:val="00556437"/>
    <w:rsid w:val="00557E51"/>
    <w:rsid w:val="00560DEE"/>
    <w:rsid w:val="005613E2"/>
    <w:rsid w:val="005651DB"/>
    <w:rsid w:val="005723D0"/>
    <w:rsid w:val="00572609"/>
    <w:rsid w:val="0057287B"/>
    <w:rsid w:val="00574D06"/>
    <w:rsid w:val="0057554A"/>
    <w:rsid w:val="005808A4"/>
    <w:rsid w:val="00584F69"/>
    <w:rsid w:val="00586255"/>
    <w:rsid w:val="00587033"/>
    <w:rsid w:val="00587FE4"/>
    <w:rsid w:val="00594FCB"/>
    <w:rsid w:val="005A117F"/>
    <w:rsid w:val="005A2959"/>
    <w:rsid w:val="005A77DE"/>
    <w:rsid w:val="005A79BF"/>
    <w:rsid w:val="005B5B0C"/>
    <w:rsid w:val="005C4CDA"/>
    <w:rsid w:val="005D35FC"/>
    <w:rsid w:val="005E1A23"/>
    <w:rsid w:val="005E4AC9"/>
    <w:rsid w:val="005F2FBB"/>
    <w:rsid w:val="005F6230"/>
    <w:rsid w:val="005F696C"/>
    <w:rsid w:val="00603831"/>
    <w:rsid w:val="00604A0E"/>
    <w:rsid w:val="0061034F"/>
    <w:rsid w:val="00612076"/>
    <w:rsid w:val="006129BA"/>
    <w:rsid w:val="00612EAF"/>
    <w:rsid w:val="006166E2"/>
    <w:rsid w:val="00633AA8"/>
    <w:rsid w:val="00633E7D"/>
    <w:rsid w:val="00634331"/>
    <w:rsid w:val="006361F9"/>
    <w:rsid w:val="00643C21"/>
    <w:rsid w:val="0064473E"/>
    <w:rsid w:val="0065355D"/>
    <w:rsid w:val="00660900"/>
    <w:rsid w:val="006614AE"/>
    <w:rsid w:val="00665D55"/>
    <w:rsid w:val="0066601B"/>
    <w:rsid w:val="0068023B"/>
    <w:rsid w:val="00682143"/>
    <w:rsid w:val="00682DFD"/>
    <w:rsid w:val="00687D71"/>
    <w:rsid w:val="006934DE"/>
    <w:rsid w:val="00693A0C"/>
    <w:rsid w:val="00695E3D"/>
    <w:rsid w:val="006A0AD3"/>
    <w:rsid w:val="006A15F5"/>
    <w:rsid w:val="006B1028"/>
    <w:rsid w:val="006B4C85"/>
    <w:rsid w:val="006B5752"/>
    <w:rsid w:val="006B6051"/>
    <w:rsid w:val="006B68B4"/>
    <w:rsid w:val="006C2400"/>
    <w:rsid w:val="006C4B0B"/>
    <w:rsid w:val="006C7456"/>
    <w:rsid w:val="006E2925"/>
    <w:rsid w:val="006E742A"/>
    <w:rsid w:val="006F0B78"/>
    <w:rsid w:val="006F26C3"/>
    <w:rsid w:val="006F2BB3"/>
    <w:rsid w:val="006F32FB"/>
    <w:rsid w:val="007015F6"/>
    <w:rsid w:val="007016EC"/>
    <w:rsid w:val="00703242"/>
    <w:rsid w:val="00715DA5"/>
    <w:rsid w:val="007177DF"/>
    <w:rsid w:val="0072365C"/>
    <w:rsid w:val="00725BAC"/>
    <w:rsid w:val="00733CFF"/>
    <w:rsid w:val="0074074B"/>
    <w:rsid w:val="00741DA3"/>
    <w:rsid w:val="00742290"/>
    <w:rsid w:val="007436A3"/>
    <w:rsid w:val="007454BE"/>
    <w:rsid w:val="0074702F"/>
    <w:rsid w:val="007479E1"/>
    <w:rsid w:val="00764BE7"/>
    <w:rsid w:val="00765B80"/>
    <w:rsid w:val="007702EC"/>
    <w:rsid w:val="00774E26"/>
    <w:rsid w:val="00776FDC"/>
    <w:rsid w:val="00777515"/>
    <w:rsid w:val="007821D0"/>
    <w:rsid w:val="00783CBE"/>
    <w:rsid w:val="0078430E"/>
    <w:rsid w:val="00793042"/>
    <w:rsid w:val="00794801"/>
    <w:rsid w:val="007950D3"/>
    <w:rsid w:val="007971DF"/>
    <w:rsid w:val="00797448"/>
    <w:rsid w:val="007A054B"/>
    <w:rsid w:val="007A19FA"/>
    <w:rsid w:val="007A5F23"/>
    <w:rsid w:val="007B3B20"/>
    <w:rsid w:val="007B78DF"/>
    <w:rsid w:val="007C43A0"/>
    <w:rsid w:val="007D14A7"/>
    <w:rsid w:val="007D46AA"/>
    <w:rsid w:val="007E1EB4"/>
    <w:rsid w:val="007E2BAA"/>
    <w:rsid w:val="007E406D"/>
    <w:rsid w:val="007E6475"/>
    <w:rsid w:val="007E705B"/>
    <w:rsid w:val="007E7203"/>
    <w:rsid w:val="007E74B5"/>
    <w:rsid w:val="007F3042"/>
    <w:rsid w:val="007F7B40"/>
    <w:rsid w:val="00803094"/>
    <w:rsid w:val="008032B3"/>
    <w:rsid w:val="008058F5"/>
    <w:rsid w:val="00807290"/>
    <w:rsid w:val="0081237F"/>
    <w:rsid w:val="00814DB7"/>
    <w:rsid w:val="00822166"/>
    <w:rsid w:val="00825D46"/>
    <w:rsid w:val="0082737F"/>
    <w:rsid w:val="00831966"/>
    <w:rsid w:val="008341B9"/>
    <w:rsid w:val="0083493E"/>
    <w:rsid w:val="0084341A"/>
    <w:rsid w:val="00844497"/>
    <w:rsid w:val="008472F2"/>
    <w:rsid w:val="008479FE"/>
    <w:rsid w:val="00863545"/>
    <w:rsid w:val="00864E15"/>
    <w:rsid w:val="0086614D"/>
    <w:rsid w:val="00866864"/>
    <w:rsid w:val="0087503C"/>
    <w:rsid w:val="00875842"/>
    <w:rsid w:val="008763DB"/>
    <w:rsid w:val="00885937"/>
    <w:rsid w:val="00885F6F"/>
    <w:rsid w:val="00886159"/>
    <w:rsid w:val="008905E2"/>
    <w:rsid w:val="008A0FE2"/>
    <w:rsid w:val="008A1DB4"/>
    <w:rsid w:val="008A5787"/>
    <w:rsid w:val="008B0F0A"/>
    <w:rsid w:val="008C59D9"/>
    <w:rsid w:val="008C7E32"/>
    <w:rsid w:val="008D1F88"/>
    <w:rsid w:val="008D3C80"/>
    <w:rsid w:val="008E078B"/>
    <w:rsid w:val="008E4914"/>
    <w:rsid w:val="009006CC"/>
    <w:rsid w:val="00902DFB"/>
    <w:rsid w:val="00904D58"/>
    <w:rsid w:val="00910733"/>
    <w:rsid w:val="00911D85"/>
    <w:rsid w:val="009123E7"/>
    <w:rsid w:val="0091445D"/>
    <w:rsid w:val="009207EB"/>
    <w:rsid w:val="00924C4A"/>
    <w:rsid w:val="00927EE9"/>
    <w:rsid w:val="00935A41"/>
    <w:rsid w:val="00935FCA"/>
    <w:rsid w:val="00946716"/>
    <w:rsid w:val="00954B62"/>
    <w:rsid w:val="00954DAB"/>
    <w:rsid w:val="00955445"/>
    <w:rsid w:val="009630DC"/>
    <w:rsid w:val="0096310A"/>
    <w:rsid w:val="00965597"/>
    <w:rsid w:val="009818B1"/>
    <w:rsid w:val="0099045F"/>
    <w:rsid w:val="009934BA"/>
    <w:rsid w:val="009956BE"/>
    <w:rsid w:val="00995E01"/>
    <w:rsid w:val="0099675C"/>
    <w:rsid w:val="009A170E"/>
    <w:rsid w:val="009A2B47"/>
    <w:rsid w:val="009A3BF0"/>
    <w:rsid w:val="009B09F4"/>
    <w:rsid w:val="009C55E4"/>
    <w:rsid w:val="009D7FE6"/>
    <w:rsid w:val="009E0FE5"/>
    <w:rsid w:val="009E4C52"/>
    <w:rsid w:val="009E6D76"/>
    <w:rsid w:val="009F310F"/>
    <w:rsid w:val="009F41E2"/>
    <w:rsid w:val="00A00F41"/>
    <w:rsid w:val="00A03899"/>
    <w:rsid w:val="00A060E3"/>
    <w:rsid w:val="00A207EA"/>
    <w:rsid w:val="00A24D9A"/>
    <w:rsid w:val="00A27FC2"/>
    <w:rsid w:val="00A30CFC"/>
    <w:rsid w:val="00A35849"/>
    <w:rsid w:val="00A378C0"/>
    <w:rsid w:val="00A401C5"/>
    <w:rsid w:val="00A4043A"/>
    <w:rsid w:val="00A51C47"/>
    <w:rsid w:val="00A55E73"/>
    <w:rsid w:val="00A65612"/>
    <w:rsid w:val="00A77A58"/>
    <w:rsid w:val="00A815CB"/>
    <w:rsid w:val="00A81DAF"/>
    <w:rsid w:val="00A82CD4"/>
    <w:rsid w:val="00A85BBA"/>
    <w:rsid w:val="00A9016B"/>
    <w:rsid w:val="00A92354"/>
    <w:rsid w:val="00A97EE0"/>
    <w:rsid w:val="00AA372E"/>
    <w:rsid w:val="00AB0ED1"/>
    <w:rsid w:val="00AB45E2"/>
    <w:rsid w:val="00AB4D6A"/>
    <w:rsid w:val="00AC2B0A"/>
    <w:rsid w:val="00AC4628"/>
    <w:rsid w:val="00AC5210"/>
    <w:rsid w:val="00AC637C"/>
    <w:rsid w:val="00AD614C"/>
    <w:rsid w:val="00AE2967"/>
    <w:rsid w:val="00AF21A1"/>
    <w:rsid w:val="00AF474B"/>
    <w:rsid w:val="00B03AA3"/>
    <w:rsid w:val="00B06B81"/>
    <w:rsid w:val="00B10DBF"/>
    <w:rsid w:val="00B11D50"/>
    <w:rsid w:val="00B1214B"/>
    <w:rsid w:val="00B151F6"/>
    <w:rsid w:val="00B2047E"/>
    <w:rsid w:val="00B24BEE"/>
    <w:rsid w:val="00B26F94"/>
    <w:rsid w:val="00B321B6"/>
    <w:rsid w:val="00B3469E"/>
    <w:rsid w:val="00B3579D"/>
    <w:rsid w:val="00B44C3E"/>
    <w:rsid w:val="00B4530E"/>
    <w:rsid w:val="00B517DB"/>
    <w:rsid w:val="00B52E34"/>
    <w:rsid w:val="00B5453F"/>
    <w:rsid w:val="00B6381F"/>
    <w:rsid w:val="00B63F40"/>
    <w:rsid w:val="00B66BAD"/>
    <w:rsid w:val="00B71C87"/>
    <w:rsid w:val="00B758BF"/>
    <w:rsid w:val="00B83E7A"/>
    <w:rsid w:val="00B92D95"/>
    <w:rsid w:val="00B96673"/>
    <w:rsid w:val="00BA3301"/>
    <w:rsid w:val="00BA4AF5"/>
    <w:rsid w:val="00BB113B"/>
    <w:rsid w:val="00BC015F"/>
    <w:rsid w:val="00BC7EAD"/>
    <w:rsid w:val="00BC7FAB"/>
    <w:rsid w:val="00BD409B"/>
    <w:rsid w:val="00BD4389"/>
    <w:rsid w:val="00BD5EB3"/>
    <w:rsid w:val="00BE3E1E"/>
    <w:rsid w:val="00BE660B"/>
    <w:rsid w:val="00BF5779"/>
    <w:rsid w:val="00BF5D3C"/>
    <w:rsid w:val="00BF5F76"/>
    <w:rsid w:val="00C02101"/>
    <w:rsid w:val="00C0484C"/>
    <w:rsid w:val="00C05F10"/>
    <w:rsid w:val="00C11C9A"/>
    <w:rsid w:val="00C13188"/>
    <w:rsid w:val="00C174E9"/>
    <w:rsid w:val="00C20320"/>
    <w:rsid w:val="00C23DEA"/>
    <w:rsid w:val="00C3377B"/>
    <w:rsid w:val="00C33D24"/>
    <w:rsid w:val="00C40528"/>
    <w:rsid w:val="00C41119"/>
    <w:rsid w:val="00C42064"/>
    <w:rsid w:val="00C541BD"/>
    <w:rsid w:val="00C570EC"/>
    <w:rsid w:val="00C64B37"/>
    <w:rsid w:val="00C6572E"/>
    <w:rsid w:val="00C73282"/>
    <w:rsid w:val="00C773FA"/>
    <w:rsid w:val="00C80611"/>
    <w:rsid w:val="00C92AEF"/>
    <w:rsid w:val="00CA2BA2"/>
    <w:rsid w:val="00CA5B4B"/>
    <w:rsid w:val="00CB0C3D"/>
    <w:rsid w:val="00CB19EF"/>
    <w:rsid w:val="00CB3745"/>
    <w:rsid w:val="00CB5027"/>
    <w:rsid w:val="00CC40ED"/>
    <w:rsid w:val="00CC5F7F"/>
    <w:rsid w:val="00CC66DF"/>
    <w:rsid w:val="00CC7866"/>
    <w:rsid w:val="00CC7DC9"/>
    <w:rsid w:val="00CD1728"/>
    <w:rsid w:val="00CE43D0"/>
    <w:rsid w:val="00CE49C7"/>
    <w:rsid w:val="00CE51A9"/>
    <w:rsid w:val="00CF53FA"/>
    <w:rsid w:val="00CF6618"/>
    <w:rsid w:val="00CF7F2F"/>
    <w:rsid w:val="00D00CAB"/>
    <w:rsid w:val="00D01030"/>
    <w:rsid w:val="00D03A75"/>
    <w:rsid w:val="00D03DB7"/>
    <w:rsid w:val="00D0414E"/>
    <w:rsid w:val="00D046B8"/>
    <w:rsid w:val="00D066F9"/>
    <w:rsid w:val="00D06A27"/>
    <w:rsid w:val="00D108EA"/>
    <w:rsid w:val="00D11717"/>
    <w:rsid w:val="00D1293A"/>
    <w:rsid w:val="00D1764E"/>
    <w:rsid w:val="00D17E42"/>
    <w:rsid w:val="00D20F24"/>
    <w:rsid w:val="00D21031"/>
    <w:rsid w:val="00D26D11"/>
    <w:rsid w:val="00D32D3A"/>
    <w:rsid w:val="00D33CCE"/>
    <w:rsid w:val="00D4009D"/>
    <w:rsid w:val="00D407CD"/>
    <w:rsid w:val="00D40F22"/>
    <w:rsid w:val="00D41CB0"/>
    <w:rsid w:val="00D44766"/>
    <w:rsid w:val="00D472FC"/>
    <w:rsid w:val="00D47665"/>
    <w:rsid w:val="00D477ED"/>
    <w:rsid w:val="00D55FC4"/>
    <w:rsid w:val="00D7582F"/>
    <w:rsid w:val="00D865E9"/>
    <w:rsid w:val="00D86C4F"/>
    <w:rsid w:val="00DA1416"/>
    <w:rsid w:val="00DA171A"/>
    <w:rsid w:val="00DA614F"/>
    <w:rsid w:val="00DB6C71"/>
    <w:rsid w:val="00DC1ECF"/>
    <w:rsid w:val="00DC2050"/>
    <w:rsid w:val="00DC7721"/>
    <w:rsid w:val="00DD1F38"/>
    <w:rsid w:val="00DE3E29"/>
    <w:rsid w:val="00DE5039"/>
    <w:rsid w:val="00DE5850"/>
    <w:rsid w:val="00DF0383"/>
    <w:rsid w:val="00DF4B49"/>
    <w:rsid w:val="00E054BB"/>
    <w:rsid w:val="00E06C6E"/>
    <w:rsid w:val="00E10C5D"/>
    <w:rsid w:val="00E10E9A"/>
    <w:rsid w:val="00E12D00"/>
    <w:rsid w:val="00E17A8B"/>
    <w:rsid w:val="00E17EA6"/>
    <w:rsid w:val="00E2536D"/>
    <w:rsid w:val="00E31024"/>
    <w:rsid w:val="00E31321"/>
    <w:rsid w:val="00E31B40"/>
    <w:rsid w:val="00E34BD1"/>
    <w:rsid w:val="00E376A5"/>
    <w:rsid w:val="00E40E8A"/>
    <w:rsid w:val="00E43397"/>
    <w:rsid w:val="00E442CC"/>
    <w:rsid w:val="00E549F3"/>
    <w:rsid w:val="00E56633"/>
    <w:rsid w:val="00E57A09"/>
    <w:rsid w:val="00E721B5"/>
    <w:rsid w:val="00E74805"/>
    <w:rsid w:val="00E7672D"/>
    <w:rsid w:val="00E8361E"/>
    <w:rsid w:val="00E844AE"/>
    <w:rsid w:val="00E94D10"/>
    <w:rsid w:val="00EA37FA"/>
    <w:rsid w:val="00EB21E7"/>
    <w:rsid w:val="00EB55FE"/>
    <w:rsid w:val="00EC06AF"/>
    <w:rsid w:val="00ED0020"/>
    <w:rsid w:val="00ED1681"/>
    <w:rsid w:val="00ED40F3"/>
    <w:rsid w:val="00ED4B73"/>
    <w:rsid w:val="00ED5610"/>
    <w:rsid w:val="00ED62A5"/>
    <w:rsid w:val="00EE19CB"/>
    <w:rsid w:val="00EE487A"/>
    <w:rsid w:val="00EE7B01"/>
    <w:rsid w:val="00EF4074"/>
    <w:rsid w:val="00EF42A7"/>
    <w:rsid w:val="00EF48F9"/>
    <w:rsid w:val="00F03131"/>
    <w:rsid w:val="00F16F62"/>
    <w:rsid w:val="00F17A93"/>
    <w:rsid w:val="00F20D3F"/>
    <w:rsid w:val="00F237B1"/>
    <w:rsid w:val="00F3495F"/>
    <w:rsid w:val="00F4111D"/>
    <w:rsid w:val="00F427A8"/>
    <w:rsid w:val="00F42C11"/>
    <w:rsid w:val="00F4337E"/>
    <w:rsid w:val="00F449B2"/>
    <w:rsid w:val="00F47247"/>
    <w:rsid w:val="00F47BC8"/>
    <w:rsid w:val="00F56428"/>
    <w:rsid w:val="00F6132F"/>
    <w:rsid w:val="00F62188"/>
    <w:rsid w:val="00F63B6C"/>
    <w:rsid w:val="00F7201A"/>
    <w:rsid w:val="00F724E8"/>
    <w:rsid w:val="00F73FCD"/>
    <w:rsid w:val="00F837F1"/>
    <w:rsid w:val="00F8390C"/>
    <w:rsid w:val="00F915C1"/>
    <w:rsid w:val="00F93A52"/>
    <w:rsid w:val="00F97A49"/>
    <w:rsid w:val="00FA179C"/>
    <w:rsid w:val="00FA2269"/>
    <w:rsid w:val="00FA4032"/>
    <w:rsid w:val="00FB72D7"/>
    <w:rsid w:val="00FB74DF"/>
    <w:rsid w:val="00FC1328"/>
    <w:rsid w:val="00FC3DAD"/>
    <w:rsid w:val="00FC5A3D"/>
    <w:rsid w:val="00FD308D"/>
    <w:rsid w:val="00FD3D92"/>
    <w:rsid w:val="00FD412E"/>
    <w:rsid w:val="00FD5180"/>
    <w:rsid w:val="00FD62AA"/>
    <w:rsid w:val="00FE11B7"/>
    <w:rsid w:val="00FE7F3D"/>
    <w:rsid w:val="00FF0F40"/>
    <w:rsid w:val="00FF460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86131"/>
  <w15:chartTrackingRefBased/>
  <w15:docId w15:val="{E90248FE-B4AC-4E31-99C4-3782920D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D1"/>
    <w:pPr>
      <w:spacing w:before="240" w:after="240" w:line="288" w:lineRule="auto"/>
      <w:jc w:val="both"/>
    </w:pPr>
    <w:rPr>
      <w:rFonts w:ascii="Arial" w:hAnsi="Arial"/>
      <w:sz w:val="19"/>
    </w:rPr>
  </w:style>
  <w:style w:type="paragraph" w:styleId="Heading1">
    <w:name w:val="heading 1"/>
    <w:basedOn w:val="Normal"/>
    <w:next w:val="Normal"/>
    <w:link w:val="Heading1Char"/>
    <w:uiPriority w:val="9"/>
    <w:qFormat/>
    <w:rsid w:val="002F374B"/>
    <w:pPr>
      <w:keepNext/>
      <w:keepLines/>
      <w:numPr>
        <w:numId w:val="4"/>
      </w:numPr>
      <w:spacing w:before="120" w:after="0" w:line="360" w:lineRule="auto"/>
      <w:ind w:left="431" w:hanging="431"/>
      <w:outlineLvl w:val="0"/>
    </w:pPr>
    <w:rPr>
      <w:rFonts w:eastAsiaTheme="majorEastAsia" w:cstheme="majorBidi"/>
      <w:b/>
      <w:sz w:val="20"/>
      <w:szCs w:val="32"/>
    </w:rPr>
  </w:style>
  <w:style w:type="paragraph" w:styleId="Heading2">
    <w:name w:val="heading 2"/>
    <w:basedOn w:val="Normal"/>
    <w:next w:val="Normal"/>
    <w:link w:val="Heading2Char"/>
    <w:autoRedefine/>
    <w:uiPriority w:val="9"/>
    <w:unhideWhenUsed/>
    <w:qFormat/>
    <w:rsid w:val="000927D1"/>
    <w:pPr>
      <w:widowControl w:val="0"/>
      <w:numPr>
        <w:ilvl w:val="1"/>
        <w:numId w:val="4"/>
      </w:numPr>
      <w:spacing w:before="120" w:after="0" w:line="360" w:lineRule="auto"/>
      <w:ind w:left="431" w:hanging="431"/>
      <w:outlineLvl w:val="1"/>
    </w:pPr>
    <w:rPr>
      <w:rFonts w:eastAsiaTheme="majorEastAsia" w:cstheme="majorBidi"/>
      <w:szCs w:val="19"/>
      <w:u w:val="single"/>
    </w:rPr>
  </w:style>
  <w:style w:type="paragraph" w:styleId="Heading3">
    <w:name w:val="heading 3"/>
    <w:basedOn w:val="Normal"/>
    <w:next w:val="Normal"/>
    <w:link w:val="Heading3Char"/>
    <w:autoRedefine/>
    <w:uiPriority w:val="9"/>
    <w:unhideWhenUsed/>
    <w:qFormat/>
    <w:rsid w:val="00460205"/>
    <w:pPr>
      <w:widowControl w:val="0"/>
      <w:numPr>
        <w:ilvl w:val="2"/>
        <w:numId w:val="4"/>
      </w:numPr>
      <w:spacing w:before="120" w:after="0" w:line="360" w:lineRule="auto"/>
      <w:ind w:left="1440"/>
      <w:outlineLvl w:val="2"/>
    </w:pPr>
    <w:rPr>
      <w:rFonts w:eastAsiaTheme="majorEastAsia" w:cstheme="majorBidi"/>
      <w:i/>
      <w:iCs/>
      <w:szCs w:val="19"/>
      <w:u w:val="single"/>
    </w:rPr>
  </w:style>
  <w:style w:type="paragraph" w:styleId="Heading4">
    <w:name w:val="heading 4"/>
    <w:basedOn w:val="Normal"/>
    <w:next w:val="Normal"/>
    <w:link w:val="Heading4Char"/>
    <w:uiPriority w:val="9"/>
    <w:unhideWhenUsed/>
    <w:qFormat/>
    <w:rsid w:val="00ED0020"/>
    <w:pPr>
      <w:keepNext/>
      <w:keepLines/>
      <w:numPr>
        <w:ilvl w:val="3"/>
        <w:numId w:val="4"/>
      </w:numPr>
      <w:spacing w:before="120" w:after="0" w:line="360" w:lineRule="auto"/>
      <w:ind w:left="1429" w:hanging="709"/>
      <w:outlineLvl w:val="3"/>
    </w:pPr>
    <w:rPr>
      <w:rFonts w:eastAsiaTheme="majorEastAsia" w:cstheme="majorBidi"/>
      <w:iCs/>
    </w:rPr>
  </w:style>
  <w:style w:type="paragraph" w:styleId="Heading5">
    <w:name w:val="heading 5"/>
    <w:basedOn w:val="Normal"/>
    <w:next w:val="Normal"/>
    <w:link w:val="Heading5Char"/>
    <w:uiPriority w:val="9"/>
    <w:unhideWhenUsed/>
    <w:qFormat/>
    <w:rsid w:val="00B6381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381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381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38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38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D7E"/>
  </w:style>
  <w:style w:type="paragraph" w:styleId="Footer">
    <w:name w:val="footer"/>
    <w:basedOn w:val="Normal"/>
    <w:link w:val="FooterChar"/>
    <w:uiPriority w:val="99"/>
    <w:unhideWhenUsed/>
    <w:rsid w:val="00197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D7E"/>
  </w:style>
  <w:style w:type="paragraph" w:styleId="ListParagraph">
    <w:name w:val="List Paragraph"/>
    <w:basedOn w:val="Normal"/>
    <w:uiPriority w:val="34"/>
    <w:qFormat/>
    <w:rsid w:val="00B6381F"/>
    <w:pPr>
      <w:ind w:left="720"/>
      <w:contextualSpacing/>
    </w:pPr>
  </w:style>
  <w:style w:type="character" w:customStyle="1" w:styleId="Heading1Char">
    <w:name w:val="Heading 1 Char"/>
    <w:basedOn w:val="DefaultParagraphFont"/>
    <w:link w:val="Heading1"/>
    <w:uiPriority w:val="9"/>
    <w:rsid w:val="002F374B"/>
    <w:rPr>
      <w:rFonts w:ascii="Arial" w:eastAsiaTheme="majorEastAsia" w:hAnsi="Arial" w:cstheme="majorBidi"/>
      <w:b/>
      <w:sz w:val="20"/>
      <w:szCs w:val="32"/>
    </w:rPr>
  </w:style>
  <w:style w:type="character" w:customStyle="1" w:styleId="Heading2Char">
    <w:name w:val="Heading 2 Char"/>
    <w:basedOn w:val="DefaultParagraphFont"/>
    <w:link w:val="Heading2"/>
    <w:uiPriority w:val="9"/>
    <w:rsid w:val="000927D1"/>
    <w:rPr>
      <w:rFonts w:ascii="Arial" w:eastAsiaTheme="majorEastAsia" w:hAnsi="Arial" w:cstheme="majorBidi"/>
      <w:sz w:val="19"/>
      <w:szCs w:val="19"/>
      <w:u w:val="single"/>
    </w:rPr>
  </w:style>
  <w:style w:type="character" w:customStyle="1" w:styleId="Heading3Char">
    <w:name w:val="Heading 3 Char"/>
    <w:basedOn w:val="DefaultParagraphFont"/>
    <w:link w:val="Heading3"/>
    <w:uiPriority w:val="9"/>
    <w:rsid w:val="00460205"/>
    <w:rPr>
      <w:rFonts w:ascii="Arial" w:eastAsiaTheme="majorEastAsia" w:hAnsi="Arial" w:cstheme="majorBidi"/>
      <w:i/>
      <w:iCs/>
      <w:sz w:val="19"/>
      <w:szCs w:val="19"/>
      <w:u w:val="single"/>
    </w:rPr>
  </w:style>
  <w:style w:type="character" w:customStyle="1" w:styleId="Heading4Char">
    <w:name w:val="Heading 4 Char"/>
    <w:basedOn w:val="DefaultParagraphFont"/>
    <w:link w:val="Heading4"/>
    <w:uiPriority w:val="9"/>
    <w:rsid w:val="00ED0020"/>
    <w:rPr>
      <w:rFonts w:ascii="Arial" w:eastAsiaTheme="majorEastAsia" w:hAnsi="Arial" w:cstheme="majorBidi"/>
      <w:iCs/>
      <w:sz w:val="19"/>
    </w:rPr>
  </w:style>
  <w:style w:type="character" w:customStyle="1" w:styleId="Heading5Char">
    <w:name w:val="Heading 5 Char"/>
    <w:basedOn w:val="DefaultParagraphFont"/>
    <w:link w:val="Heading5"/>
    <w:uiPriority w:val="9"/>
    <w:rsid w:val="00B6381F"/>
    <w:rPr>
      <w:rFonts w:asciiTheme="majorHAnsi" w:eastAsiaTheme="majorEastAsia" w:hAnsiTheme="majorHAnsi" w:cstheme="majorBidi"/>
      <w:color w:val="2F5496" w:themeColor="accent1" w:themeShade="BF"/>
      <w:sz w:val="19"/>
    </w:rPr>
  </w:style>
  <w:style w:type="character" w:customStyle="1" w:styleId="Heading6Char">
    <w:name w:val="Heading 6 Char"/>
    <w:basedOn w:val="DefaultParagraphFont"/>
    <w:link w:val="Heading6"/>
    <w:uiPriority w:val="9"/>
    <w:semiHidden/>
    <w:rsid w:val="00B6381F"/>
    <w:rPr>
      <w:rFonts w:asciiTheme="majorHAnsi" w:eastAsiaTheme="majorEastAsia" w:hAnsiTheme="majorHAnsi" w:cstheme="majorBidi"/>
      <w:color w:val="1F3763" w:themeColor="accent1" w:themeShade="7F"/>
      <w:sz w:val="19"/>
    </w:rPr>
  </w:style>
  <w:style w:type="character" w:customStyle="1" w:styleId="Heading7Char">
    <w:name w:val="Heading 7 Char"/>
    <w:basedOn w:val="DefaultParagraphFont"/>
    <w:link w:val="Heading7"/>
    <w:uiPriority w:val="9"/>
    <w:semiHidden/>
    <w:rsid w:val="00B6381F"/>
    <w:rPr>
      <w:rFonts w:asciiTheme="majorHAnsi" w:eastAsiaTheme="majorEastAsia" w:hAnsiTheme="majorHAnsi" w:cstheme="majorBidi"/>
      <w:i/>
      <w:iCs/>
      <w:color w:val="1F3763" w:themeColor="accent1" w:themeShade="7F"/>
      <w:sz w:val="19"/>
    </w:rPr>
  </w:style>
  <w:style w:type="character" w:customStyle="1" w:styleId="Heading8Char">
    <w:name w:val="Heading 8 Char"/>
    <w:basedOn w:val="DefaultParagraphFont"/>
    <w:link w:val="Heading8"/>
    <w:uiPriority w:val="9"/>
    <w:semiHidden/>
    <w:rsid w:val="00B638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381F"/>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6381F"/>
    <w:pPr>
      <w:spacing w:after="0" w:line="240" w:lineRule="auto"/>
    </w:pPr>
    <w:rPr>
      <w:rFonts w:ascii="Arial" w:hAnsi="Arial"/>
      <w:sz w:val="19"/>
    </w:rPr>
  </w:style>
  <w:style w:type="table" w:styleId="TableGrid">
    <w:name w:val="Table Grid"/>
    <w:basedOn w:val="TableNormal"/>
    <w:uiPriority w:val="39"/>
    <w:rsid w:val="00AB4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B4D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AB4D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587FE4"/>
    <w:pPr>
      <w:numPr>
        <w:numId w:val="0"/>
      </w:numPr>
      <w:outlineLvl w:val="9"/>
    </w:pPr>
    <w:rPr>
      <w:rFonts w:asciiTheme="majorHAnsi" w:hAnsiTheme="majorHAnsi"/>
      <w:color w:val="2F5496" w:themeColor="accent1" w:themeShade="BF"/>
      <w:sz w:val="32"/>
      <w:lang w:val="en-US" w:eastAsia="en-US"/>
    </w:rPr>
  </w:style>
  <w:style w:type="paragraph" w:styleId="TOC1">
    <w:name w:val="toc 1"/>
    <w:basedOn w:val="Normal"/>
    <w:next w:val="Normal"/>
    <w:autoRedefine/>
    <w:uiPriority w:val="39"/>
    <w:unhideWhenUsed/>
    <w:rsid w:val="00587FE4"/>
    <w:pPr>
      <w:spacing w:after="100"/>
    </w:pPr>
  </w:style>
  <w:style w:type="paragraph" w:styleId="TOC2">
    <w:name w:val="toc 2"/>
    <w:basedOn w:val="Normal"/>
    <w:next w:val="Normal"/>
    <w:autoRedefine/>
    <w:uiPriority w:val="39"/>
    <w:unhideWhenUsed/>
    <w:rsid w:val="00587FE4"/>
    <w:pPr>
      <w:spacing w:after="100"/>
      <w:ind w:left="190"/>
    </w:pPr>
  </w:style>
  <w:style w:type="paragraph" w:styleId="TOC3">
    <w:name w:val="toc 3"/>
    <w:basedOn w:val="Normal"/>
    <w:next w:val="Normal"/>
    <w:autoRedefine/>
    <w:uiPriority w:val="39"/>
    <w:unhideWhenUsed/>
    <w:rsid w:val="00587FE4"/>
    <w:pPr>
      <w:spacing w:after="100"/>
      <w:ind w:left="380"/>
    </w:pPr>
  </w:style>
  <w:style w:type="character" w:styleId="Hyperlink">
    <w:name w:val="Hyperlink"/>
    <w:basedOn w:val="DefaultParagraphFont"/>
    <w:uiPriority w:val="99"/>
    <w:unhideWhenUsed/>
    <w:rsid w:val="00587FE4"/>
    <w:rPr>
      <w:color w:val="0563C1" w:themeColor="hyperlink"/>
      <w:u w:val="single"/>
    </w:rPr>
  </w:style>
  <w:style w:type="paragraph" w:styleId="FootnoteText">
    <w:name w:val="footnote text"/>
    <w:basedOn w:val="Normal"/>
    <w:link w:val="FootnoteTextChar"/>
    <w:uiPriority w:val="99"/>
    <w:semiHidden/>
    <w:unhideWhenUsed/>
    <w:rsid w:val="007A5F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F23"/>
    <w:rPr>
      <w:rFonts w:ascii="Arial" w:hAnsi="Arial"/>
      <w:sz w:val="20"/>
      <w:szCs w:val="20"/>
    </w:rPr>
  </w:style>
  <w:style w:type="character" w:styleId="FootnoteReference">
    <w:name w:val="footnote reference"/>
    <w:basedOn w:val="DefaultParagraphFont"/>
    <w:uiPriority w:val="99"/>
    <w:semiHidden/>
    <w:unhideWhenUsed/>
    <w:rsid w:val="007A5F23"/>
    <w:rPr>
      <w:vertAlign w:val="superscript"/>
    </w:rPr>
  </w:style>
  <w:style w:type="paragraph" w:styleId="NormalWeb">
    <w:name w:val="Normal (Web)"/>
    <w:basedOn w:val="Normal"/>
    <w:uiPriority w:val="99"/>
    <w:semiHidden/>
    <w:unhideWhenUsed/>
    <w:rsid w:val="00391E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391E94"/>
    <w:pPr>
      <w:widowControl w:val="0"/>
      <w:suppressLineNumbers/>
      <w:suppressAutoHyphens/>
      <w:spacing w:after="0" w:line="240" w:lineRule="auto"/>
    </w:pPr>
    <w:rPr>
      <w:rFonts w:ascii="Liberation Serif" w:eastAsia="Droid Sans Fallback" w:hAnsi="Liberation Serif" w:cs="Droid Sans Devanagari"/>
      <w:kern w:val="2"/>
      <w:sz w:val="24"/>
      <w:szCs w:val="24"/>
      <w:lang w:eastAsia="zh-CN" w:bidi="hi-IN"/>
    </w:rPr>
  </w:style>
  <w:style w:type="character" w:styleId="UnresolvedMention">
    <w:name w:val="Unresolved Mention"/>
    <w:basedOn w:val="DefaultParagraphFont"/>
    <w:uiPriority w:val="99"/>
    <w:semiHidden/>
    <w:unhideWhenUsed/>
    <w:rsid w:val="004E1719"/>
    <w:rPr>
      <w:color w:val="605E5C"/>
      <w:shd w:val="clear" w:color="auto" w:fill="E1DFDD"/>
    </w:rPr>
  </w:style>
  <w:style w:type="character" w:styleId="Strong">
    <w:name w:val="Strong"/>
    <w:basedOn w:val="DefaultParagraphFont"/>
    <w:uiPriority w:val="22"/>
    <w:qFormat/>
    <w:rsid w:val="00A27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4178">
      <w:bodyDiv w:val="1"/>
      <w:marLeft w:val="0"/>
      <w:marRight w:val="0"/>
      <w:marTop w:val="0"/>
      <w:marBottom w:val="0"/>
      <w:divBdr>
        <w:top w:val="none" w:sz="0" w:space="0" w:color="auto"/>
        <w:left w:val="none" w:sz="0" w:space="0" w:color="auto"/>
        <w:bottom w:val="none" w:sz="0" w:space="0" w:color="auto"/>
        <w:right w:val="none" w:sz="0" w:space="0" w:color="auto"/>
      </w:divBdr>
    </w:div>
    <w:div w:id="179970076">
      <w:bodyDiv w:val="1"/>
      <w:marLeft w:val="0"/>
      <w:marRight w:val="0"/>
      <w:marTop w:val="0"/>
      <w:marBottom w:val="0"/>
      <w:divBdr>
        <w:top w:val="none" w:sz="0" w:space="0" w:color="auto"/>
        <w:left w:val="none" w:sz="0" w:space="0" w:color="auto"/>
        <w:bottom w:val="none" w:sz="0" w:space="0" w:color="auto"/>
        <w:right w:val="none" w:sz="0" w:space="0" w:color="auto"/>
      </w:divBdr>
    </w:div>
    <w:div w:id="283000686">
      <w:bodyDiv w:val="1"/>
      <w:marLeft w:val="0"/>
      <w:marRight w:val="0"/>
      <w:marTop w:val="0"/>
      <w:marBottom w:val="0"/>
      <w:divBdr>
        <w:top w:val="none" w:sz="0" w:space="0" w:color="auto"/>
        <w:left w:val="none" w:sz="0" w:space="0" w:color="auto"/>
        <w:bottom w:val="none" w:sz="0" w:space="0" w:color="auto"/>
        <w:right w:val="none" w:sz="0" w:space="0" w:color="auto"/>
      </w:divBdr>
    </w:div>
    <w:div w:id="354235604">
      <w:bodyDiv w:val="1"/>
      <w:marLeft w:val="0"/>
      <w:marRight w:val="0"/>
      <w:marTop w:val="0"/>
      <w:marBottom w:val="0"/>
      <w:divBdr>
        <w:top w:val="none" w:sz="0" w:space="0" w:color="auto"/>
        <w:left w:val="none" w:sz="0" w:space="0" w:color="auto"/>
        <w:bottom w:val="none" w:sz="0" w:space="0" w:color="auto"/>
        <w:right w:val="none" w:sz="0" w:space="0" w:color="auto"/>
      </w:divBdr>
    </w:div>
    <w:div w:id="408769727">
      <w:bodyDiv w:val="1"/>
      <w:marLeft w:val="0"/>
      <w:marRight w:val="0"/>
      <w:marTop w:val="0"/>
      <w:marBottom w:val="0"/>
      <w:divBdr>
        <w:top w:val="none" w:sz="0" w:space="0" w:color="auto"/>
        <w:left w:val="none" w:sz="0" w:space="0" w:color="auto"/>
        <w:bottom w:val="none" w:sz="0" w:space="0" w:color="auto"/>
        <w:right w:val="none" w:sz="0" w:space="0" w:color="auto"/>
      </w:divBdr>
    </w:div>
    <w:div w:id="426772264">
      <w:bodyDiv w:val="1"/>
      <w:marLeft w:val="0"/>
      <w:marRight w:val="0"/>
      <w:marTop w:val="0"/>
      <w:marBottom w:val="0"/>
      <w:divBdr>
        <w:top w:val="none" w:sz="0" w:space="0" w:color="auto"/>
        <w:left w:val="none" w:sz="0" w:space="0" w:color="auto"/>
        <w:bottom w:val="none" w:sz="0" w:space="0" w:color="auto"/>
        <w:right w:val="none" w:sz="0" w:space="0" w:color="auto"/>
      </w:divBdr>
    </w:div>
    <w:div w:id="649863938">
      <w:bodyDiv w:val="1"/>
      <w:marLeft w:val="0"/>
      <w:marRight w:val="0"/>
      <w:marTop w:val="0"/>
      <w:marBottom w:val="0"/>
      <w:divBdr>
        <w:top w:val="none" w:sz="0" w:space="0" w:color="auto"/>
        <w:left w:val="none" w:sz="0" w:space="0" w:color="auto"/>
        <w:bottom w:val="none" w:sz="0" w:space="0" w:color="auto"/>
        <w:right w:val="none" w:sz="0" w:space="0" w:color="auto"/>
      </w:divBdr>
    </w:div>
    <w:div w:id="658850690">
      <w:bodyDiv w:val="1"/>
      <w:marLeft w:val="0"/>
      <w:marRight w:val="0"/>
      <w:marTop w:val="0"/>
      <w:marBottom w:val="0"/>
      <w:divBdr>
        <w:top w:val="none" w:sz="0" w:space="0" w:color="auto"/>
        <w:left w:val="none" w:sz="0" w:space="0" w:color="auto"/>
        <w:bottom w:val="none" w:sz="0" w:space="0" w:color="auto"/>
        <w:right w:val="none" w:sz="0" w:space="0" w:color="auto"/>
      </w:divBdr>
    </w:div>
    <w:div w:id="789594327">
      <w:bodyDiv w:val="1"/>
      <w:marLeft w:val="0"/>
      <w:marRight w:val="0"/>
      <w:marTop w:val="0"/>
      <w:marBottom w:val="0"/>
      <w:divBdr>
        <w:top w:val="none" w:sz="0" w:space="0" w:color="auto"/>
        <w:left w:val="none" w:sz="0" w:space="0" w:color="auto"/>
        <w:bottom w:val="none" w:sz="0" w:space="0" w:color="auto"/>
        <w:right w:val="none" w:sz="0" w:space="0" w:color="auto"/>
      </w:divBdr>
    </w:div>
    <w:div w:id="790784433">
      <w:bodyDiv w:val="1"/>
      <w:marLeft w:val="0"/>
      <w:marRight w:val="0"/>
      <w:marTop w:val="0"/>
      <w:marBottom w:val="0"/>
      <w:divBdr>
        <w:top w:val="none" w:sz="0" w:space="0" w:color="auto"/>
        <w:left w:val="none" w:sz="0" w:space="0" w:color="auto"/>
        <w:bottom w:val="none" w:sz="0" w:space="0" w:color="auto"/>
        <w:right w:val="none" w:sz="0" w:space="0" w:color="auto"/>
      </w:divBdr>
    </w:div>
    <w:div w:id="807553505">
      <w:bodyDiv w:val="1"/>
      <w:marLeft w:val="0"/>
      <w:marRight w:val="0"/>
      <w:marTop w:val="0"/>
      <w:marBottom w:val="0"/>
      <w:divBdr>
        <w:top w:val="none" w:sz="0" w:space="0" w:color="auto"/>
        <w:left w:val="none" w:sz="0" w:space="0" w:color="auto"/>
        <w:bottom w:val="none" w:sz="0" w:space="0" w:color="auto"/>
        <w:right w:val="none" w:sz="0" w:space="0" w:color="auto"/>
      </w:divBdr>
    </w:div>
    <w:div w:id="1060179597">
      <w:bodyDiv w:val="1"/>
      <w:marLeft w:val="0"/>
      <w:marRight w:val="0"/>
      <w:marTop w:val="0"/>
      <w:marBottom w:val="0"/>
      <w:divBdr>
        <w:top w:val="none" w:sz="0" w:space="0" w:color="auto"/>
        <w:left w:val="none" w:sz="0" w:space="0" w:color="auto"/>
        <w:bottom w:val="none" w:sz="0" w:space="0" w:color="auto"/>
        <w:right w:val="none" w:sz="0" w:space="0" w:color="auto"/>
      </w:divBdr>
    </w:div>
    <w:div w:id="1243375817">
      <w:bodyDiv w:val="1"/>
      <w:marLeft w:val="0"/>
      <w:marRight w:val="0"/>
      <w:marTop w:val="0"/>
      <w:marBottom w:val="0"/>
      <w:divBdr>
        <w:top w:val="none" w:sz="0" w:space="0" w:color="auto"/>
        <w:left w:val="none" w:sz="0" w:space="0" w:color="auto"/>
        <w:bottom w:val="none" w:sz="0" w:space="0" w:color="auto"/>
        <w:right w:val="none" w:sz="0" w:space="0" w:color="auto"/>
      </w:divBdr>
    </w:div>
    <w:div w:id="1536385704">
      <w:bodyDiv w:val="1"/>
      <w:marLeft w:val="0"/>
      <w:marRight w:val="0"/>
      <w:marTop w:val="0"/>
      <w:marBottom w:val="0"/>
      <w:divBdr>
        <w:top w:val="none" w:sz="0" w:space="0" w:color="auto"/>
        <w:left w:val="none" w:sz="0" w:space="0" w:color="auto"/>
        <w:bottom w:val="none" w:sz="0" w:space="0" w:color="auto"/>
        <w:right w:val="none" w:sz="0" w:space="0" w:color="auto"/>
      </w:divBdr>
    </w:div>
    <w:div w:id="1576359466">
      <w:bodyDiv w:val="1"/>
      <w:marLeft w:val="0"/>
      <w:marRight w:val="0"/>
      <w:marTop w:val="0"/>
      <w:marBottom w:val="0"/>
      <w:divBdr>
        <w:top w:val="none" w:sz="0" w:space="0" w:color="auto"/>
        <w:left w:val="none" w:sz="0" w:space="0" w:color="auto"/>
        <w:bottom w:val="none" w:sz="0" w:space="0" w:color="auto"/>
        <w:right w:val="none" w:sz="0" w:space="0" w:color="auto"/>
      </w:divBdr>
    </w:div>
    <w:div w:id="1814521281">
      <w:bodyDiv w:val="1"/>
      <w:marLeft w:val="0"/>
      <w:marRight w:val="0"/>
      <w:marTop w:val="0"/>
      <w:marBottom w:val="0"/>
      <w:divBdr>
        <w:top w:val="none" w:sz="0" w:space="0" w:color="auto"/>
        <w:left w:val="none" w:sz="0" w:space="0" w:color="auto"/>
        <w:bottom w:val="none" w:sz="0" w:space="0" w:color="auto"/>
        <w:right w:val="none" w:sz="0" w:space="0" w:color="auto"/>
      </w:divBdr>
    </w:div>
    <w:div w:id="1849632249">
      <w:bodyDiv w:val="1"/>
      <w:marLeft w:val="0"/>
      <w:marRight w:val="0"/>
      <w:marTop w:val="0"/>
      <w:marBottom w:val="0"/>
      <w:divBdr>
        <w:top w:val="none" w:sz="0" w:space="0" w:color="auto"/>
        <w:left w:val="none" w:sz="0" w:space="0" w:color="auto"/>
        <w:bottom w:val="none" w:sz="0" w:space="0" w:color="auto"/>
        <w:right w:val="none" w:sz="0" w:space="0" w:color="auto"/>
      </w:divBdr>
    </w:div>
    <w:div w:id="1952468875">
      <w:bodyDiv w:val="1"/>
      <w:marLeft w:val="0"/>
      <w:marRight w:val="0"/>
      <w:marTop w:val="0"/>
      <w:marBottom w:val="0"/>
      <w:divBdr>
        <w:top w:val="none" w:sz="0" w:space="0" w:color="auto"/>
        <w:left w:val="none" w:sz="0" w:space="0" w:color="auto"/>
        <w:bottom w:val="none" w:sz="0" w:space="0" w:color="auto"/>
        <w:right w:val="none" w:sz="0" w:space="0" w:color="auto"/>
      </w:divBdr>
    </w:div>
    <w:div w:id="20504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435E1-63F7-49DA-AEA7-42846CED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4578</TotalTime>
  <Pages>16</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Vladimir Rakhmanin</cp:lastModifiedBy>
  <cp:revision>559</cp:revision>
  <cp:lastPrinted>2021-12-16T10:42:00Z</cp:lastPrinted>
  <dcterms:created xsi:type="dcterms:W3CDTF">2021-11-13T17:21:00Z</dcterms:created>
  <dcterms:modified xsi:type="dcterms:W3CDTF">2022-03-10T08:26:00Z</dcterms:modified>
</cp:coreProperties>
</file>