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Enamine Recipe, Feature, LSH, and Query Pipeline</w:t>
      </w:r>
    </w:p>
    <w:p>
      <w:pPr>
        <w:jc w:val="center"/>
      </w:pPr>
      <w:r>
        <w:rPr>
          <w:i/>
          <w:sz w:val="23"/>
        </w:rPr>
        <w:t>Production Extraction, Human-Readable Debugging, and SMILES Query Usage Guide — v3</w:t>
      </w:r>
    </w:p>
    <w:p>
      <w:r>
        <w:t>Updated for enamine_recipe_feature_pipeline_with_query.py. This guide explains the compact production outputs, how to run the pipeline across sections of the 64.9B ligand library, how to create human-readable debug features, and how to query a completed batch with a SMILES string to identify matching fragments, linkers, motifs, and approximate LSH neighbors.</w:t>
      </w:r>
    </w:p>
    <w:p>
      <w:pPr>
        <w:pStyle w:val="Heading1"/>
      </w:pPr>
      <w:r>
        <w:t>1. Purpose and recommended use</w:t>
      </w:r>
    </w:p>
    <w:p>
      <w:r>
        <w:t>The pipeline decomposes each valid ligand into fragments, terminal groups, linkers, and composite motif features. It writes compact hash/binary files for production storage and optional human-readable files for validation. The query-enabled script adds a query mode that decomposes a user-provided SMILES string in the same way, hashes its features, and scans completed batch outputs for matching features or LSH buckets.</w:t>
      </w:r>
    </w:p>
    <w:p>
      <w:pPr>
        <w:pStyle w:val="ListBullet"/>
      </w:pPr>
      <w:r>
        <w:t>Production extraction: compact binary/hash outputs suitable for large-scale storage and model training.</w:t>
      </w:r>
    </w:p>
    <w:p>
      <w:pPr>
        <w:pStyle w:val="ListBullet"/>
      </w:pPr>
      <w:r>
        <w:t>Debug extraction: readable recipes, feature tokens, LSH buckets, and token maps for selected batches or subsets.</w:t>
      </w:r>
    </w:p>
    <w:p>
      <w:pPr>
        <w:pStyle w:val="ListBullet"/>
      </w:pPr>
      <w:r>
        <w:t>Query mode: use a SMILES string to check whether its fragments, linkers, terminal groups, and motifs exist in a completed batch.</w:t>
      </w:r>
    </w:p>
    <w:p>
      <w:pPr>
        <w:pStyle w:val="ListBullet"/>
      </w:pPr>
      <w:r>
        <w:t>No full-library all-vs-all comparison is performed. LSH gives candidate neighborhoods; feature hashes give sparse recipe-derived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Concept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Meaning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Fragment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 retained non-linker rigid component after rotatable-bond cutting.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Core chemical unit for model features and query matching.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Terminal group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 small degree-0 or degree-1 component kept separately from core fragments.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Preserved for chemistry completeness; useful but often less central.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Linker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 small internal component/group connecting two or more non-linker components.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Key feature for fragment assembly and synthesis-oriented learning.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Motif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 fragment:linker:fragment or fragment:[direct]:fragment relationship.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Composite feature that captures how pieces are connected.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LSH bucket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Approximate similarity bucket derived from recipe feature tokens.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Candidate-neighborhood lookup, sampling, or coarse similarity.</w:t>
            </w:r>
          </w:p>
        </w:tc>
      </w:tr>
    </w:tbl>
    <w:p/>
    <w:p>
      <w:pPr>
        <w:pStyle w:val="Heading1"/>
      </w:pPr>
      <w:r>
        <w:t>2. Production batch outputs</w:t>
      </w:r>
    </w:p>
    <w:p>
      <w:r>
        <w:t>A worker task writes one batch directory, for example batch_000046/. The compact files are the recommended model-facing outputs. Human-readable files are off by default because they are much larger.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File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Default?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Contents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Primary use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batch_XXXXXX.ligand_map.tsv.bz2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Maps local_ligand_id to source_file and source_data_row. Ligand names and SMILES are optional.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Metadata/backreference; do not use as a model feature.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batch_XXXXXX.feature_hashes.bin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Variable-length records: local_ligand_id, number of features, then uint64 feature hashes.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Sparse recipe-derived training features and exact feature-overlap matching.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batch_XXXXXX.lsh_packed.bin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Fixed records: local_ligand_id followed by uint64 LSH bucket hashes, one per band.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Approximate candidate-neighbor lookup.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batch_XXXXXX.binary_schema.json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Field layout, endianness, LSH settings, and hash assumptions.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Required for parsing binary files correctly.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batch_XXXXXX.stats.json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Molecule counts, average feature counts, LSH settings, and output paths.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QC and size extrapolation.</w:t>
            </w:r>
          </w:p>
        </w:tc>
      </w:tr>
    </w:tbl>
    <w:p/>
    <w:p>
      <w:pPr>
        <w:pStyle w:val="Heading1"/>
      </w:pPr>
      <w:r>
        <w:t>3. Optional human-readable/debug outputs</w:t>
      </w:r>
    </w:p>
    <w:p>
      <w:r>
        <w:t>These should be generated for representative subsets, selected batches, or debugging. They are not recommended for full 64.9B-ligand production storage unless specifically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Flag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Output file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What it provides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--write-recipes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batch_XXXXXX.recipes.tsv.bz2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Full recipe JSON per ligand: fragments, linkers, edges, topology, and cut-bond structure.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--write-readable-features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batch_XXXXXX.features.tsv.bz2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One readable feature token per ligand per row. Best file for inspecting composite features.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--write-readable-lsh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batch_XXXXXX.lsh_buckets.tsv.bz2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Readable LSH band and bucket rows. Useful for debugging bucket behavior.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--write-feature-token-map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batch_XXXXXX.feature_token_map.tsv.bz2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Maps per-batch feature_hash_u64 values back to readable tokens.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--write-summary-csvs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fragments.csv, linkers.csv, linker_connections.csv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Aggregate fragment/linker/motif connection counts. Useful for QC summaries.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--map-include-ligand-name / --map-include-smiles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extra ligand_map columns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Makes outputs easier to inspect but increases file size.</w:t>
            </w:r>
          </w:p>
        </w:tc>
      </w:tr>
    </w:tbl>
    <w:p/>
    <w:p>
      <w:pPr>
        <w:pStyle w:val="Heading1"/>
      </w:pPr>
      <w:r>
        <w:t>4. Recommended chunked production workflow</w:t>
      </w:r>
    </w:p>
    <w:p>
      <w:r>
        <w:t>For production-server overhead, the best workflow is to process the library in sections or pre-sharded chunks, QC each section, push completed outputs to storage, then stage compact model-facing files to a secondary training server.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Stage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Where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Action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Result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1. Optional pre-sharding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Production/file server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Split very large bz2 files into ~3M-ligand shards if consistent task size is important.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Even LSF jobs without repeated bz2 row skipping.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2. Extraction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Production cluster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Run submit/worker pipeline for one section or shard set.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 directories with compact outputs and stats.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3. QC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Production or storage server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Inspect stats.json and optional readable debug outputs.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Confirms valid molecule counts, feature counts, and output sizes.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4. Transfer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Production to storage server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Move completed batch directories with rsync or your storage transfer tool.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Persistent archive of compact outputs.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5. Training staging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Storage to training server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Copy feature_hashes.bin, lsh_packed.bin, schema, stats, and optional ligand maps.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Training-ready compact dataset.</w:t>
            </w:r>
          </w:p>
        </w:tc>
      </w:tr>
    </w:tbl>
    <w:p/>
    <w:p>
      <w:pPr>
        <w:pStyle w:val="Heading1"/>
      </w:pPr>
      <w:r>
        <w:t>5. Extraction commands</w:t>
      </w:r>
    </w:p>
    <w:p>
      <w:pPr>
        <w:pStyle w:val="Heading2"/>
      </w:pPr>
      <w:r>
        <w:t>5.1 Production extraction on a section</w:t>
      </w:r>
    </w:p>
    <w:p>
      <w:pPr>
        <w:pStyle w:val="CodeBlock"/>
      </w:pPr>
      <w:r>
        <w:t>python enamine_recipe_feature_pipeline_with_query.py submit \</w:t>
      </w:r>
    </w:p>
    <w:p>
      <w:pPr>
        <w:pStyle w:val="CodeBlock"/>
      </w:pPr>
      <w:r>
        <w:t xml:space="preserve">  /path/to/library_section_A \</w:t>
      </w:r>
    </w:p>
    <w:p>
      <w:pPr>
        <w:pStyle w:val="CodeBlock"/>
      </w:pPr>
      <w:r>
        <w:t xml:space="preserve">  --output-root /path/to/output_section_A \</w:t>
      </w:r>
    </w:p>
    <w:p>
      <w:pPr>
        <w:pStyle w:val="CodeBlock"/>
      </w:pPr>
      <w:r>
        <w:t xml:space="preserve">  --pattern "*.bz2" \</w:t>
      </w:r>
    </w:p>
    <w:p>
      <w:pPr>
        <w:pStyle w:val="CodeBlock"/>
      </w:pPr>
      <w:r>
        <w:t xml:space="preserve">  --batch-size 3000000 \</w:t>
      </w:r>
    </w:p>
    <w:p>
      <w:pPr>
        <w:pStyle w:val="CodeBlock"/>
      </w:pPr>
      <w:r>
        <w:t xml:space="preserve">  --queue long \</w:t>
      </w:r>
    </w:p>
    <w:p>
      <w:pPr>
        <w:pStyle w:val="CodeBlock"/>
      </w:pPr>
      <w:r>
        <w:t xml:space="preserve">  --walltime 12:00 \</w:t>
      </w:r>
    </w:p>
    <w:p>
      <w:pPr>
        <w:pStyle w:val="CodeBlock"/>
      </w:pPr>
      <w:r>
        <w:t xml:space="preserve">  --memory-mb 8000 \</w:t>
      </w:r>
    </w:p>
    <w:p>
      <w:pPr>
        <w:pStyle w:val="CodeBlock"/>
      </w:pPr>
      <w:r>
        <w:t xml:space="preserve">  --submit</w:t>
      </w:r>
    </w:p>
    <w:p>
      <w:pPr>
        <w:pStyle w:val="Heading2"/>
      </w:pPr>
      <w:r>
        <w:t>5.2 Production extraction on pre-sharded inputs</w:t>
      </w:r>
    </w:p>
    <w:p>
      <w:r>
        <w:t>If files have already been split to approximately 3M ligands each, use --whole-files. This avoids expensive bz2 row skipping and keeps jobs approximately uniform if shards are uniform.</w:t>
      </w:r>
    </w:p>
    <w:p>
      <w:pPr>
        <w:pStyle w:val="CodeBlock"/>
      </w:pPr>
      <w:r>
        <w:t>python enamine_recipe_feature_pipeline_with_query.py submit \</w:t>
      </w:r>
    </w:p>
    <w:p>
      <w:pPr>
        <w:pStyle w:val="CodeBlock"/>
      </w:pPr>
      <w:r>
        <w:t xml:space="preserve">  /path/to/sharded_library_section_A \</w:t>
      </w:r>
    </w:p>
    <w:p>
      <w:pPr>
        <w:pStyle w:val="CodeBlock"/>
      </w:pPr>
      <w:r>
        <w:t xml:space="preserve">  --output-root /path/to/output_section_A \</w:t>
      </w:r>
    </w:p>
    <w:p>
      <w:pPr>
        <w:pStyle w:val="CodeBlock"/>
      </w:pPr>
      <w:r>
        <w:t xml:space="preserve">  --pattern "*.cxsmiles.bz2" \</w:t>
      </w:r>
    </w:p>
    <w:p>
      <w:pPr>
        <w:pStyle w:val="CodeBlock"/>
      </w:pPr>
      <w:r>
        <w:t xml:space="preserve">  --batch-size 3000000 \</w:t>
      </w:r>
    </w:p>
    <w:p>
      <w:pPr>
        <w:pStyle w:val="CodeBlock"/>
      </w:pPr>
      <w:r>
        <w:t xml:space="preserve">  --whole-files \</w:t>
      </w:r>
    </w:p>
    <w:p>
      <w:pPr>
        <w:pStyle w:val="CodeBlock"/>
      </w:pPr>
      <w:r>
        <w:t xml:space="preserve">  --queue long \</w:t>
      </w:r>
    </w:p>
    <w:p>
      <w:pPr>
        <w:pStyle w:val="CodeBlock"/>
      </w:pPr>
      <w:r>
        <w:t xml:space="preserve">  --walltime 12:00 \</w:t>
      </w:r>
    </w:p>
    <w:p>
      <w:pPr>
        <w:pStyle w:val="CodeBlock"/>
      </w:pPr>
      <w:r>
        <w:t xml:space="preserve">  --memory-mb 8000 \</w:t>
      </w:r>
    </w:p>
    <w:p>
      <w:pPr>
        <w:pStyle w:val="CodeBlock"/>
      </w:pPr>
      <w:r>
        <w:t xml:space="preserve">  --submit</w:t>
      </w:r>
    </w:p>
    <w:p>
      <w:pPr>
        <w:pStyle w:val="Heading2"/>
      </w:pPr>
      <w:r>
        <w:t>5.3 Debug extraction with readable features</w:t>
      </w:r>
    </w:p>
    <w:p>
      <w:pPr>
        <w:pStyle w:val="CodeBlock"/>
      </w:pPr>
      <w:r>
        <w:t>python enamine_recipe_feature_pipeline_with_query.py submit \</w:t>
      </w:r>
    </w:p>
    <w:p>
      <w:pPr>
        <w:pStyle w:val="CodeBlock"/>
      </w:pPr>
      <w:r>
        <w:t xml:space="preserve">  /path/to/debug_subset \</w:t>
      </w:r>
    </w:p>
    <w:p>
      <w:pPr>
        <w:pStyle w:val="CodeBlock"/>
      </w:pPr>
      <w:r>
        <w:t xml:space="preserve">  --output-root /path/to/debug_output \</w:t>
      </w:r>
    </w:p>
    <w:p>
      <w:pPr>
        <w:pStyle w:val="CodeBlock"/>
      </w:pPr>
      <w:r>
        <w:t xml:space="preserve">  --pattern "*.bz2" \</w:t>
      </w:r>
    </w:p>
    <w:p>
      <w:pPr>
        <w:pStyle w:val="CodeBlock"/>
      </w:pPr>
      <w:r>
        <w:t xml:space="preserve">  --batch-size 3000000 \</w:t>
      </w:r>
    </w:p>
    <w:p>
      <w:pPr>
        <w:pStyle w:val="CodeBlock"/>
      </w:pPr>
      <w:r>
        <w:t xml:space="preserve">  --whole-files \</w:t>
      </w:r>
    </w:p>
    <w:p>
      <w:pPr>
        <w:pStyle w:val="CodeBlock"/>
      </w:pPr>
      <w:r>
        <w:t xml:space="preserve">  --queue long \</w:t>
      </w:r>
    </w:p>
    <w:p>
      <w:pPr>
        <w:pStyle w:val="CodeBlock"/>
      </w:pPr>
      <w:r>
        <w:t xml:space="preserve">  --walltime 12:00 \</w:t>
      </w:r>
    </w:p>
    <w:p>
      <w:pPr>
        <w:pStyle w:val="CodeBlock"/>
      </w:pPr>
      <w:r>
        <w:t xml:space="preserve">  --memory-mb 8000 \</w:t>
      </w:r>
    </w:p>
    <w:p>
      <w:pPr>
        <w:pStyle w:val="CodeBlock"/>
      </w:pPr>
      <w:r>
        <w:t xml:space="preserve">  --write-readable-features \</w:t>
      </w:r>
    </w:p>
    <w:p>
      <w:pPr>
        <w:pStyle w:val="CodeBlock"/>
      </w:pPr>
      <w:r>
        <w:t xml:space="preserve">  --write-readable-lsh \</w:t>
      </w:r>
    </w:p>
    <w:p>
      <w:pPr>
        <w:pStyle w:val="CodeBlock"/>
      </w:pPr>
      <w:r>
        <w:t xml:space="preserve">  --write-feature-token-map \</w:t>
      </w:r>
    </w:p>
    <w:p>
      <w:pPr>
        <w:pStyle w:val="CodeBlock"/>
      </w:pPr>
      <w:r>
        <w:t xml:space="preserve">  --write-recipes \</w:t>
      </w:r>
    </w:p>
    <w:p>
      <w:pPr>
        <w:pStyle w:val="CodeBlock"/>
      </w:pPr>
      <w:r>
        <w:t xml:space="preserve">  --map-include-ligand-name \</w:t>
      </w:r>
    </w:p>
    <w:p>
      <w:pPr>
        <w:pStyle w:val="CodeBlock"/>
      </w:pPr>
      <w:r>
        <w:t xml:space="preserve">  --map-include-smiles \</w:t>
      </w:r>
    </w:p>
    <w:p>
      <w:pPr>
        <w:pStyle w:val="CodeBlock"/>
      </w:pPr>
      <w:r>
        <w:t xml:space="preserve">  --submit</w:t>
      </w:r>
    </w:p>
    <w:p>
      <w:pPr>
        <w:pStyle w:val="Heading1"/>
      </w:pPr>
      <w:r>
        <w:t>6. Query mode: extract matching fragments/linkers from a completed batch</w:t>
      </w:r>
    </w:p>
    <w:p>
      <w:r>
        <w:t>The query mode answers: given a query SMILES string, which of its extracted fragments, terminal groups, linkers, and motif features occur in a completed library batch? It also reports candidate-similar ligands by LSH bucket overlap.</w:t>
      </w:r>
    </w:p>
    <w:p>
      <w:pPr>
        <w:pStyle w:val="ListBullet"/>
      </w:pPr>
      <w:r>
        <w:t>The query SMILES is decomposed using the same rotatable-bond cutting, terminal-group handling, linker definition, and feature-token generation as the production worker.</w:t>
      </w:r>
    </w:p>
    <w:p>
      <w:pPr>
        <w:pStyle w:val="ListBullet"/>
      </w:pPr>
      <w:r>
        <w:t>The query feature tokens are hashed and compared against feature_hashes.bin from the selected batch.</w:t>
      </w:r>
    </w:p>
    <w:p>
      <w:pPr>
        <w:pStyle w:val="ListBullet"/>
      </w:pPr>
      <w:r>
        <w:t>The query LSH bucket hashes are compared against lsh_packed.bin to find approximate LSH neighbors.</w:t>
      </w:r>
    </w:p>
    <w:p>
      <w:pPr>
        <w:pStyle w:val="ListBullet"/>
      </w:pPr>
      <w:r>
        <w:t>Because production binary files store hashes, arbitrary batch hashes cannot be reversed to SMILES unless readable/token-map outputs were generated. However, query-derived features remain readable because they are generated from the input query SMILES.</w:t>
      </w:r>
    </w:p>
    <w:p>
      <w:pPr>
        <w:pStyle w:val="Heading2"/>
      </w:pPr>
      <w:r>
        <w:t>6.1 Required files for query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File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Required?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batch_000046.feature_hashes.bin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Scanned to count which query feature hashes occur in the batch and which ligands share query features.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batch_000046.lsh_packed.bin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Yes for LSH matches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Scanned to find ligands sharing query LSH band/bucket hashes.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batch_000046.binary_schema.json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Provides LSH band count and binary parsing details.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batch_000046.ligand_map.tsv.bz2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Recommended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Maps local_ligand_id values back to source_file and source_data_row, and optionally ligand names/SMILES.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batch_000046.feature_token_map.tsv.bz2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Optional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Useful if you want to interpret arbitrary batch feature hashes, but not required to interpret query-derived features.</w:t>
            </w:r>
          </w:p>
        </w:tc>
      </w:tr>
    </w:tbl>
    <w:p/>
    <w:p>
      <w:pPr>
        <w:pStyle w:val="Heading2"/>
      </w:pPr>
      <w:r>
        <w:t>6.2 Example: query batch 46</w:t>
      </w:r>
    </w:p>
    <w:p>
      <w:pPr>
        <w:pStyle w:val="CodeBlock"/>
      </w:pPr>
      <w:r>
        <w:t>python enamine_recipe_feature_pipeline_with_query.py query \</w:t>
      </w:r>
    </w:p>
    <w:p>
      <w:pPr>
        <w:pStyle w:val="CodeBlock"/>
      </w:pPr>
      <w:r>
        <w:t xml:space="preserve">  --smiles 'CN1N=NN=C1C=CCCN' \</w:t>
      </w:r>
    </w:p>
    <w:p>
      <w:pPr>
        <w:pStyle w:val="CodeBlock"/>
      </w:pPr>
      <w:r>
        <w:t xml:space="preserve">  --batch-dir /path/to/output/batch_000046 \</w:t>
      </w:r>
    </w:p>
    <w:p>
      <w:pPr>
        <w:pStyle w:val="CodeBlock"/>
      </w:pPr>
      <w:r>
        <w:t xml:space="preserve">  --output-prefix /path/to/query_results/batch46_query \</w:t>
      </w:r>
    </w:p>
    <w:p>
      <w:pPr>
        <w:pStyle w:val="CodeBlock"/>
      </w:pPr>
      <w:r>
        <w:t xml:space="preserve">  --top-n 100</w:t>
      </w:r>
    </w:p>
    <w:p>
      <w:r>
        <w:t>Equivalent explicit-prefix form:</w:t>
      </w:r>
    </w:p>
    <w:p>
      <w:pPr>
        <w:pStyle w:val="CodeBlock"/>
      </w:pPr>
      <w:r>
        <w:t>python enamine_recipe_feature_pipeline_with_query.py query \</w:t>
      </w:r>
    </w:p>
    <w:p>
      <w:pPr>
        <w:pStyle w:val="CodeBlock"/>
      </w:pPr>
      <w:r>
        <w:t xml:space="preserve">  --smiles 'CN1N=NN=C1C=CCCN' \</w:t>
      </w:r>
    </w:p>
    <w:p>
      <w:pPr>
        <w:pStyle w:val="CodeBlock"/>
      </w:pPr>
      <w:r>
        <w:t xml:space="preserve">  --batch-prefix /path/to/output/batch_000046/batch_000046 \</w:t>
      </w:r>
    </w:p>
    <w:p>
      <w:pPr>
        <w:pStyle w:val="CodeBlock"/>
      </w:pPr>
      <w:r>
        <w:t xml:space="preserve">  --output-prefix /path/to/query_results/batch46_query \</w:t>
      </w:r>
    </w:p>
    <w:p>
      <w:pPr>
        <w:pStyle w:val="CodeBlock"/>
      </w:pPr>
      <w:r>
        <w:t xml:space="preserve">  --top-n 100</w:t>
      </w:r>
    </w:p>
    <w:p>
      <w:pPr>
        <w:pStyle w:val="Heading2"/>
      </w:pPr>
      <w:r>
        <w:t>6.3 Restrict query matching to chemistry-relevant feature types</w:t>
      </w:r>
    </w:p>
    <w:p>
      <w:r>
        <w:t>This is often preferable when you care about fragments/linkers/motifs rather than broad topology or raw component tokens.</w:t>
      </w:r>
    </w:p>
    <w:p>
      <w:pPr>
        <w:pStyle w:val="CodeBlock"/>
      </w:pPr>
      <w:r>
        <w:t>python enamine_recipe_feature_pipeline_with_query.py query \</w:t>
      </w:r>
    </w:p>
    <w:p>
      <w:pPr>
        <w:pStyle w:val="CodeBlock"/>
      </w:pPr>
      <w:r>
        <w:t xml:space="preserve">  --smiles 'CN1N=NN=C1C=CCCN' \</w:t>
      </w:r>
    </w:p>
    <w:p>
      <w:pPr>
        <w:pStyle w:val="CodeBlock"/>
      </w:pPr>
      <w:r>
        <w:t xml:space="preserve">  --batch-dir /path/to/output/batch_000046 \</w:t>
      </w:r>
    </w:p>
    <w:p>
      <w:pPr>
        <w:pStyle w:val="CodeBlock"/>
      </w:pPr>
      <w:r>
        <w:t xml:space="preserve">  --output-prefix /path/to/query_results/batch46_fraglink_query \</w:t>
      </w:r>
    </w:p>
    <w:p>
      <w:pPr>
        <w:pStyle w:val="CodeBlock"/>
      </w:pPr>
      <w:r>
        <w:t xml:space="preserve">  --match-feature-types FRAG,LINKER,TERM,MOTIF,DIRECT,PAIR,FRAG_LINKER \</w:t>
      </w:r>
    </w:p>
    <w:p>
      <w:pPr>
        <w:pStyle w:val="CodeBlock"/>
      </w:pPr>
      <w:r>
        <w:t xml:space="preserve">  --top-n 100</w:t>
      </w:r>
    </w:p>
    <w:p>
      <w:pPr>
        <w:pStyle w:val="Heading2"/>
      </w:pPr>
      <w:r>
        <w:t>6.4 Query output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File</w:t>
            </w:r>
          </w:p>
        </w:tc>
        <w:tc>
          <w:tcPr>
            <w:tcW w:type="dxa" w:w="5112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Meaning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batch46_query.query_recipe.json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Full recipe decomposition of the query molecule. Source of truth for the query topology.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batch46_query.query_components.tsv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Readable list of query fragments, terminal groups, and linkers with local IDs, roles, SMILES, and heavy atom counts.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batch46_query.query_feature_presence.tsv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For each query feature token, reports its hash and how many batch ligands contain that feature.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batch46_query.top_feature_matches.tsv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Ranks batch ligands by shared query feature count. These are exact matches over query-derived feature hashes.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batch46_query.top_lsh_matches.tsv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Ranks batch ligands by shared LSH bands with the query. These are approximate candidate neighbors.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batch46_query.query_summary.json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Summary of query feature counts, match counts, LSH settings, and output paths.</w:t>
            </w:r>
          </w:p>
        </w:tc>
      </w:tr>
    </w:tbl>
    <w:p/>
    <w:p>
      <w:pPr>
        <w:pStyle w:val="Heading2"/>
      </w:pPr>
      <w:r>
        <w:t>6.5 How to interpret query matches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Output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Interpretation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Caution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query_feature_presence.tsv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Tells whether each query fragment/linker/motif exists somewhere in the batch.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Common small features may appear in many ligands; use counts to assess specificity.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top_feature_matches.tsv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Ligands sharing the most query-derived features. Best for interpretable fragment/motif overlap.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 match on a generic feature, such as a common terminal group, may not imply close chemical similarity.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top_lsh_matches.tsv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Ligands sharing one or more LSH buckets with the query. Useful candidate-neighbor list.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LSH is approximate and lossy; use feature overlap or downstream exact scoring inside candidate sets.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query_components.tsv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Readable query pieces: fragments, linkers, terminals.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These are query-local components, not global fragment IDs.</w:t>
            </w:r>
          </w:p>
        </w:tc>
      </w:tr>
    </w:tbl>
    <w:p/>
    <w:p>
      <w:r>
        <w:t>Recommended interpretation flow: first inspect query_components.tsv to verify the query decomposition, then inspect query_feature_presence.tsv to see which query features are represented in the batch, then use top_feature_matches.tsv for interpretable matches and top_lsh_matches.tsv for approximate-neighborhood candidates.</w:t>
      </w:r>
    </w:p>
    <w:p>
      <w:pPr>
        <w:pStyle w:val="Heading1"/>
      </w:pPr>
      <w:r>
        <w:t>7. What the feature tokens mean</w:t>
      </w:r>
    </w:p>
    <w:p>
      <w:r>
        <w:t>Readable feature tokens are the conceptual source of both feature_hashes.bin and LSH buckets. In production, tokens are hashed, but the token definitions explain what the hashes represent.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Feature type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Example token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Interpretation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FRAG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FRAG:c1ccccc1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 normal retained fragment, here benzene.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TERM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TERM:CN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 terminal small group.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LINKER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LINKER:CC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 linker component, here ethyl.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MOTIF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MOTIF:c1ccccc1:CC:c1ncccc1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Fragment-linker-fragment relationship.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DIRECT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DIRECT:CN:[direct]:c1ncon1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Two retained components directly connected with no linker component.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PAIR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PAIR:c1ccccc1|c1ncccc1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Fragment pair ignoring linker identity.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FRAG_LINKER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FRAG_LINKER:c1ccccc1:CC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Partial fragment-linker relationship.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TOPO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TOPO:nfrag=2:nlink=1:ndirect=0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Coarse topology.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COMP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COMP:terminal_group:CN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Raw component role plus SMILES.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SINGLETON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SINGLETON:c1ccccc1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Molecule represented by one retained component.</w:t>
            </w:r>
          </w:p>
        </w:tc>
      </w:tr>
    </w:tbl>
    <w:p/>
    <w:p>
      <w:pPr>
        <w:pStyle w:val="Heading1"/>
      </w:pPr>
      <w:r>
        <w:t>8. Comparing ligands and reading compact files</w:t>
      </w:r>
    </w:p>
    <w:p>
      <w:r>
        <w:t>Feature hashes and LSH hashes are complementary. Feature hashes can be compared as sparse sets; LSH hashes are best used to retrieve candidate neighborhoods before more detailed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Comparison layer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Uses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How it works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Exact feature-set comparison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Interpretable similarity and model features.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Compare sets of feature hashes using overlap or Jaccard/Tanimoto over sparse feature sets.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LSH bucket overlap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Fast candidate retrieval and approximate neighborhoods.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Ligands sharing the same band index and bucket hash are candidate-similar.</w:t>
            </w:r>
          </w:p>
        </w:tc>
      </w:tr>
    </w:tbl>
    <w:p/>
    <w:p>
      <w:pPr>
        <w:pStyle w:val="CodeBlock"/>
      </w:pPr>
      <w:r>
        <w:t># Read lsh_packed.bin as a NumPy memmap.</w:t>
      </w:r>
    </w:p>
    <w:p>
      <w:pPr>
        <w:pStyle w:val="CodeBlock"/>
      </w:pPr>
      <w:r>
        <w:t>import json</w:t>
      </w:r>
    </w:p>
    <w:p>
      <w:pPr>
        <w:pStyle w:val="CodeBlock"/>
      </w:pPr>
      <w:r>
        <w:t>import numpy as np</w:t>
      </w:r>
    </w:p>
    <w:p>
      <w:pPr>
        <w:pStyle w:val="CodeBlock"/>
      </w:pPr>
      <w:r>
        <w:t>from pathlib import Path</w:t>
      </w:r>
    </w:p>
    <w:p>
      <w:pPr>
        <w:pStyle w:val="CodeBlock"/>
      </w:pPr>
      <w:r/>
    </w:p>
    <w:p>
      <w:pPr>
        <w:pStyle w:val="CodeBlock"/>
      </w:pPr>
      <w:r>
        <w:t>batch_dir = Path("batch_000046")</w:t>
      </w:r>
    </w:p>
    <w:p>
      <w:pPr>
        <w:pStyle w:val="CodeBlock"/>
      </w:pPr>
      <w:r>
        <w:t>with open(batch_dir / "batch_000046.binary_schema.json") as f:</w:t>
      </w:r>
    </w:p>
    <w:p>
      <w:pPr>
        <w:pStyle w:val="CodeBlock"/>
      </w:pPr>
      <w:r>
        <w:t xml:space="preserve">    schema = json.load(f)</w:t>
      </w:r>
    </w:p>
    <w:p>
      <w:pPr>
        <w:pStyle w:val="CodeBlock"/>
      </w:pPr>
      <w:r/>
    </w:p>
    <w:p>
      <w:pPr>
        <w:pStyle w:val="CodeBlock"/>
      </w:pPr>
      <w:r>
        <w:t>band_count = schema["lsh_packed_bin"]["band_count"]</w:t>
      </w:r>
    </w:p>
    <w:p>
      <w:pPr>
        <w:pStyle w:val="CodeBlock"/>
      </w:pPr>
      <w:r>
        <w:t>dtype = np.dtype([</w:t>
      </w:r>
    </w:p>
    <w:p>
      <w:pPr>
        <w:pStyle w:val="CodeBlock"/>
      </w:pPr>
      <w:r>
        <w:t xml:space="preserve">    ("local_ligand_id", "&lt;u4"),</w:t>
      </w:r>
    </w:p>
    <w:p>
      <w:pPr>
        <w:pStyle w:val="CodeBlock"/>
      </w:pPr>
      <w:r>
        <w:t xml:space="preserve">    ("bucket_hashes", "&lt;u8", (band_count,)),</w:t>
      </w:r>
    </w:p>
    <w:p>
      <w:pPr>
        <w:pStyle w:val="CodeBlock"/>
      </w:pPr>
      <w:r>
        <w:t>])</w:t>
      </w:r>
    </w:p>
    <w:p>
      <w:pPr>
        <w:pStyle w:val="CodeBlock"/>
      </w:pPr>
      <w:r/>
    </w:p>
    <w:p>
      <w:pPr>
        <w:pStyle w:val="CodeBlock"/>
      </w:pPr>
      <w:r>
        <w:t>lsh = np.memmap(batch_dir / "batch_000046.lsh_packed.bin", dtype=dtype, mode="r")</w:t>
      </w:r>
    </w:p>
    <w:p>
      <w:pPr>
        <w:pStyle w:val="CodeBlock"/>
      </w:pPr>
      <w:r>
        <w:t>print(lsh[0]["local_ligand_id"])</w:t>
      </w:r>
    </w:p>
    <w:p>
      <w:pPr>
        <w:pStyle w:val="CodeBlock"/>
      </w:pPr>
      <w:r>
        <w:t>print(lsh[0]["bucket_hashes"])</w:t>
      </w:r>
    </w:p>
    <w:p>
      <w:pPr>
        <w:pStyle w:val="CodeBlock"/>
      </w:pPr>
      <w:r>
        <w:t># Read variable-length feature_hashes.bin.</w:t>
      </w:r>
    </w:p>
    <w:p>
      <w:pPr>
        <w:pStyle w:val="CodeBlock"/>
      </w:pPr>
      <w:r>
        <w:t>import struct</w:t>
      </w:r>
    </w:p>
    <w:p>
      <w:pPr>
        <w:pStyle w:val="CodeBlock"/>
      </w:pPr>
      <w:r/>
    </w:p>
    <w:p>
      <w:pPr>
        <w:pStyle w:val="CodeBlock"/>
      </w:pPr>
      <w:r>
        <w:t>def iter_feature_hash_records(path):</w:t>
      </w:r>
    </w:p>
    <w:p>
      <w:pPr>
        <w:pStyle w:val="CodeBlock"/>
      </w:pPr>
      <w:r>
        <w:t xml:space="preserve">    with open(path, "rb") as f:</w:t>
      </w:r>
    </w:p>
    <w:p>
      <w:pPr>
        <w:pStyle w:val="CodeBlock"/>
      </w:pPr>
      <w:r>
        <w:t xml:space="preserve">        while True:</w:t>
      </w:r>
    </w:p>
    <w:p>
      <w:pPr>
        <w:pStyle w:val="CodeBlock"/>
      </w:pPr>
      <w:r>
        <w:t xml:space="preserve">            header = f.read(6)  # uint32 local_ligand_id + uint16 n_features</w:t>
      </w:r>
    </w:p>
    <w:p>
      <w:pPr>
        <w:pStyle w:val="CodeBlock"/>
      </w:pPr>
      <w:r>
        <w:t xml:space="preserve">            if not header:</w:t>
      </w:r>
    </w:p>
    <w:p>
      <w:pPr>
        <w:pStyle w:val="CodeBlock"/>
      </w:pPr>
      <w:r>
        <w:t xml:space="preserve">                break</w:t>
      </w:r>
    </w:p>
    <w:p>
      <w:pPr>
        <w:pStyle w:val="CodeBlock"/>
      </w:pPr>
      <w:r>
        <w:t xml:space="preserve">            local_ligand_id, n_features = struct.unpack("&lt;IH", header)</w:t>
      </w:r>
    </w:p>
    <w:p>
      <w:pPr>
        <w:pStyle w:val="CodeBlock"/>
      </w:pPr>
      <w:r>
        <w:t xml:space="preserve">            raw = f.read(8 * n_features)</w:t>
      </w:r>
    </w:p>
    <w:p>
      <w:pPr>
        <w:pStyle w:val="CodeBlock"/>
      </w:pPr>
      <w:r>
        <w:t xml:space="preserve">            hashes = struct.unpack("&lt;" + "Q" * n_features, raw) if n_features else ()</w:t>
      </w:r>
    </w:p>
    <w:p>
      <w:pPr>
        <w:pStyle w:val="CodeBlock"/>
      </w:pPr>
      <w:r>
        <w:t xml:space="preserve">            yield local_ligand_id, hashes</w:t>
      </w:r>
    </w:p>
    <w:p>
      <w:pPr>
        <w:pStyle w:val="CodeBlock"/>
      </w:pPr>
      <w:r/>
    </w:p>
    <w:p>
      <w:pPr>
        <w:pStyle w:val="CodeBlock"/>
      </w:pPr>
      <w:r>
        <w:t>for local_id, hashes in iter_feature_hash_records("batch_000046.feature_hashes.bin"):</w:t>
      </w:r>
    </w:p>
    <w:p>
      <w:pPr>
        <w:pStyle w:val="CodeBlock"/>
      </w:pPr>
      <w:r>
        <w:t xml:space="preserve">    print(local_id, hashes[:5])</w:t>
      </w:r>
    </w:p>
    <w:p>
      <w:pPr>
        <w:pStyle w:val="CodeBlock"/>
      </w:pPr>
      <w:r>
        <w:t xml:space="preserve">    break</w:t>
      </w:r>
    </w:p>
    <w:p>
      <w:pPr>
        <w:pStyle w:val="Heading1"/>
      </w:pPr>
      <w:r>
        <w:t>9. Binary files versus human-readable files for ML training</w:t>
      </w:r>
    </w:p>
    <w:p>
      <w:r>
        <w:t>For model training, it is usually better to train from the compact binary/hash outputs rather than human-readable TSVs. Human-readable files are better for debugging and explanation. The binary files are smaller, faster to transfer, faster to memory-map, and can be converted into sparse tensors, embedding indices, or bit vectors during data loading.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Format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Best use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Advantages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Limitations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feature_hashes.bin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Production model features.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Compact, sparse, stable if settings are unchanged.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Not directly interpretable without readable token maps.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lsh_packed.bin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Approximate neighborhoods, sampling, candidate grouping.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Compact and fixed-width.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Lossy; not a complete chemistry representation.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Readable features/recipes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Debugging, validation, reports.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Easy to inspect and explain.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Too bulky for full-library training.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ligand_map.tsv.bz2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Metadata/backreference.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Lets you recover source rows and optional names/SMILES.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Should not be fed to the model as a feature.</w:t>
            </w:r>
          </w:p>
        </w:tc>
      </w:tr>
    </w:tbl>
    <w:p/>
    <w:p>
      <w:r>
        <w:t>Recommendation: use feature_hashes.bin as the primary model input, optionally use lsh_packed.bin for sampling or candidate neighborhoods, and keep ligand identifiers/source rows only as metadata. Local ligand IDs are bookkeeping keys, not chemical features.</w:t>
      </w:r>
    </w:p>
    <w:p>
      <w:pPr>
        <w:pStyle w:val="Heading1"/>
      </w:pPr>
      <w:r>
        <w:t>10. Compatibility across separate chunks and runs</w:t>
      </w:r>
    </w:p>
    <w:p>
      <w:r>
        <w:t>The chemical hash space is comparable across runs if extraction settings are unchanged. Local ligand IDs are not globally meaningful.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Data item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Comparable across runs?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Condition / caveat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Feature hashes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Same feature-token definitions, feature_hash_seed, linker_max_heavy_atoms, and RDKit behavior.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LSH bucket hashes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Same feature extraction plus same minhash_perm and lsh_rows_per_band. Compare by band index + bucket hash.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local_ligand_id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No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Only meaningful inside one batch. Use ligand_map only for metadata/backreference.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source_file + source_data_row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Partly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Stable only if original source files are unchanged and not renamed/re-sharded.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Readable feature tokens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Yes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Aptos" w:hAnsi="Aptos" w:eastAsia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If generated with the same script/settings.</w:t>
            </w:r>
          </w:p>
        </w:tc>
      </w:tr>
    </w:tbl>
    <w:p/>
    <w:p>
      <w:pPr>
        <w:pStyle w:val="Heading1"/>
      </w:pPr>
      <w:r>
        <w:t>11. QC and transfer after each section</w:t>
      </w:r>
    </w:p>
    <w:p>
      <w:pPr>
        <w:pStyle w:val="CodeBlock"/>
      </w:pPr>
      <w:r>
        <w:t># Summarize stats across completed batches.</w:t>
      </w:r>
    </w:p>
    <w:p>
      <w:pPr>
        <w:pStyle w:val="CodeBlock"/>
      </w:pPr>
      <w:r>
        <w:t>for f in batch_*/batch_*.stats.json; do</w:t>
      </w:r>
    </w:p>
    <w:p>
      <w:pPr>
        <w:pStyle w:val="CodeBlock"/>
      </w:pPr>
      <w:r>
        <w:t xml:space="preserve">  python -c 'import json,sys; d=json.load(open(sys.argv[1])); print(sys.argv[1], d["valid_molecules"], d["invalid_molecules"], d["failed_molecules"], d["avg_feature_hashes_per_valid_ligand"])' "$f"</w:t>
      </w:r>
    </w:p>
    <w:p>
      <w:pPr>
        <w:pStyle w:val="CodeBlock"/>
      </w:pPr>
      <w:r>
        <w:t>done | head</w:t>
      </w:r>
    </w:p>
    <w:p>
      <w:pPr>
        <w:pStyle w:val="CodeBlock"/>
      </w:pPr>
      <w:r>
        <w:t># Check lsh_packed.bin size for the default 8-band setting.</w:t>
      </w:r>
    </w:p>
    <w:p>
      <w:pPr>
        <w:pStyle w:val="CodeBlock"/>
      </w:pPr>
      <w:r>
        <w:t># Expected size = valid_molecules * 68 bytes.</w:t>
      </w:r>
    </w:p>
    <w:p>
      <w:pPr>
        <w:pStyle w:val="CodeBlock"/>
      </w:pPr>
      <w:r>
        <w:t>for f in batch_*/batch_*.stats.json; do</w:t>
      </w:r>
    </w:p>
    <w:p>
      <w:pPr>
        <w:pStyle w:val="CodeBlock"/>
      </w:pPr>
      <w:r>
        <w:t xml:space="preserve">  b=${f%.stats.json}</w:t>
      </w:r>
    </w:p>
    <w:p>
      <w:pPr>
        <w:pStyle w:val="CodeBlock"/>
      </w:pPr>
      <w:r>
        <w:t xml:space="preserve">  valid=$(python -c 'import json,sys; print(json.load(open(sys.argv[1]))["valid_molecules"])' "$f")</w:t>
      </w:r>
    </w:p>
    <w:p>
      <w:pPr>
        <w:pStyle w:val="CodeBlock"/>
      </w:pPr>
      <w:r>
        <w:t xml:space="preserve">  size=$(stat -c%s "${b}.lsh_packed.bin")</w:t>
      </w:r>
    </w:p>
    <w:p>
      <w:pPr>
        <w:pStyle w:val="CodeBlock"/>
      </w:pPr>
      <w:r>
        <w:t xml:space="preserve">  expected=$((valid * 68))</w:t>
      </w:r>
    </w:p>
    <w:p>
      <w:pPr>
        <w:pStyle w:val="CodeBlock"/>
      </w:pPr>
      <w:r>
        <w:t xml:space="preserve">  echo "$b valid=$valid size=$size expected=$expected"</w:t>
      </w:r>
    </w:p>
    <w:p>
      <w:pPr>
        <w:pStyle w:val="CodeBlock"/>
      </w:pPr>
      <w:r>
        <w:t>done | head</w:t>
      </w:r>
    </w:p>
    <w:p>
      <w:pPr>
        <w:pStyle w:val="CodeBlock"/>
      </w:pPr>
      <w:r>
        <w:t># Transfer a completed section to storage.</w:t>
      </w:r>
    </w:p>
    <w:p>
      <w:pPr>
        <w:pStyle w:val="CodeBlock"/>
      </w:pPr>
      <w:r>
        <w:t>rsync -avh --progress \</w:t>
      </w:r>
    </w:p>
    <w:p>
      <w:pPr>
        <w:pStyle w:val="CodeBlock"/>
      </w:pPr>
      <w:r>
        <w:t xml:space="preserve">  /path/to/output_section_A/ \</w:t>
      </w:r>
    </w:p>
    <w:p>
      <w:pPr>
        <w:pStyle w:val="CodeBlock"/>
      </w:pPr>
      <w:r>
        <w:t xml:space="preserve">  user@storage-server:/path/to/enamine_outputs/section_A/</w:t>
      </w:r>
    </w:p>
    <w:p>
      <w:pPr>
        <w:pStyle w:val="Heading1"/>
      </w:pPr>
      <w:r>
        <w:t>12. Practical recommendations</w:t>
      </w:r>
    </w:p>
    <w:p>
      <w:pPr>
        <w:pStyle w:val="ListBullet"/>
      </w:pPr>
      <w:r>
        <w:t>Use compact binary outputs for full-library production and model training.</w:t>
      </w:r>
    </w:p>
    <w:p>
      <w:pPr>
        <w:pStyle w:val="ListBullet"/>
      </w:pPr>
      <w:r>
        <w:t>Use human-readable outputs for selected debug batches and for interpreting model-facing hashes.</w:t>
      </w:r>
    </w:p>
    <w:p>
      <w:pPr>
        <w:pStyle w:val="ListBullet"/>
      </w:pPr>
      <w:r>
        <w:t>Use query mode to inspect whether a query SMILES decomposition is represented in a completed batch, and to retrieve feature/LSH candidate matches.</w:t>
      </w:r>
    </w:p>
    <w:p>
      <w:pPr>
        <w:pStyle w:val="ListBullet"/>
      </w:pPr>
      <w:r>
        <w:t>Do not train on local_ligand_id, source_file, source_data_row, ligand_name, or SMILES as identity shortcuts unless the model task explicitly requires raw SMILES input.</w:t>
      </w:r>
    </w:p>
    <w:p>
      <w:pPr>
        <w:pStyle w:val="ListBullet"/>
      </w:pPr>
      <w:r>
        <w:t>Pre-shard large bz2 files to ~3M ligands if you need consistent job sizes, then run with --whole-files.</w:t>
      </w:r>
    </w:p>
    <w:p>
      <w:pPr>
        <w:pStyle w:val="ListBullet"/>
      </w:pPr>
      <w:r>
        <w:t>Keep feature/LSH parameters fixed across sections so hashes remain comparable after data are transferred to storage or a training server.</w:t>
      </w:r>
    </w:p>
    <w:p>
      <w:r>
        <w:t>Summary: production extraction creates compact model-facing data; readable debug outputs explain what the hashes mean; query mode lets you test a new SMILES against completed binary batch outputs without rebuilding the whole library.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Enamine recipe/feature/LSH/query pipeline usage guide v3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16"/>
    </w:pPr>
    <w:rPr>
      <w:rFonts w:ascii="Courier New" w:hAnsi="Courier New" w:eastAsia="Courier New"/>
      <w:sz w:val="16"/>
    </w:rPr>
  </w:style>
  <w:style w:type="paragraph" w:customStyle="1" w:styleId="SmallNote">
    <w:name w:val="Small Note"/>
    <w:pPr>
      <w:spacing w:before="60" w:after="60"/>
    </w:pPr>
    <w:rPr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