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051E3B"/>
          <w:sz w:val="64"/>
        </w:rPr>
        <w:t>ARES &amp; CO</w:t>
      </w:r>
    </w:p>
    <w:p>
      <w:pPr>
        <w:jc w:val="center"/>
      </w:pPr>
      <w:r>
        <w:rPr>
          <w:rFonts w:ascii="Arial" w:hAnsi="Arial"/>
          <w:i/>
          <w:color w:val="718096"/>
          <w:sz w:val="22"/>
        </w:rPr>
        <w:t>Cabinet de conseil de Direction Generale</w:t>
      </w:r>
    </w:p>
    <w:p>
      <w:pPr>
        <w:spacing w:before="1000"/>
        <w:jc w:val="center"/>
      </w:pPr>
    </w:p>
    <w:p>
      <w:pPr>
        <w:spacing w:before="600"/>
        <w:jc w:val="center"/>
      </w:pPr>
      <w:r>
        <w:rPr>
          <w:rFonts w:ascii="Arial" w:hAnsi="Arial"/>
          <w:b/>
          <w:color w:val="57AEE0"/>
          <w:sz w:val="28"/>
        </w:rPr>
        <w:t>FICHE DE FORMATION</w:t>
      </w:r>
    </w:p>
    <w:p>
      <w:pPr>
        <w:spacing w:before="200"/>
        <w:jc w:val="center"/>
      </w:pPr>
      <w:r>
        <w:rPr>
          <w:rFonts w:ascii="Arial" w:hAnsi="Arial"/>
          <w:b/>
          <w:color w:val="051E3B"/>
          <w:sz w:val="44"/>
        </w:rPr>
        <w:t>Production de la Newsletter Banking</w:t>
      </w:r>
    </w:p>
    <w:p>
      <w:pPr>
        <w:spacing w:before="160"/>
        <w:jc w:val="center"/>
      </w:pPr>
      <w:r>
        <w:rPr>
          <w:rFonts w:ascii="Arial" w:hAnsi="Arial"/>
          <w:color w:val="051E5B"/>
          <w:sz w:val="26"/>
        </w:rPr>
        <w:t>Workflow GitHub &amp; Automatisation IA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Public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20"/>
              </w:rPr>
              <w:t>Membres CODEV + contributeurs terrain</w:t>
            </w:r>
          </w:p>
        </w:tc>
      </w:tr>
      <w:tr>
        <w:tc>
          <w:tcPr>
            <w:tcW w:type="dxa" w:w="1701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Duree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20"/>
              </w:rPr>
              <w:t>1h30 (45 min presentation + 45 min pratique)</w:t>
            </w:r>
          </w:p>
        </w:tc>
      </w:tr>
      <w:tr>
        <w:tc>
          <w:tcPr>
            <w:tcW w:type="dxa" w:w="1701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Prerequis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20"/>
              </w:rPr>
              <w:t>Compte GitHub avec acces au repo genesis</w:t>
            </w:r>
          </w:p>
        </w:tc>
      </w:tr>
      <w:tr>
        <w:tc>
          <w:tcPr>
            <w:tcW w:type="dxa" w:w="1701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Support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20"/>
              </w:rPr>
              <w:t>Demo live + ce document</w:t>
            </w:r>
          </w:p>
        </w:tc>
      </w:tr>
    </w:tbl>
    <w:p>
      <w:r>
        <w:br w:type="page"/>
      </w:r>
    </w:p>
    <w:p>
      <w:pPr>
        <w:pStyle w:val="Heading1"/>
      </w:pPr>
      <w:r>
        <w:t>Module 1 - Vue d'ensemble du dispositif</w:t>
      </w:r>
    </w:p>
    <w:p>
      <w:r>
        <w:rPr>
          <w:rFonts w:ascii="Arial" w:hAnsi="Arial"/>
          <w:b/>
          <w:color w:val="57AEE0"/>
        </w:rPr>
        <w:t xml:space="preserve">Objectif : </w:t>
      </w:r>
      <w:r>
        <w:rPr>
          <w:rFonts w:ascii="Arial" w:hAnsi="Arial"/>
          <w:color w:val="2D3748"/>
        </w:rPr>
        <w:t>Comprendre l'architecture et le flux de production de la newsletter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Le pipeline de production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La newsletter Banking est produite via un pipeline automatise en 4 etapes :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Collecte : </w:t>
      </w:r>
      <w:r>
        <w:rPr>
          <w:rFonts w:ascii="Arial" w:hAnsi="Arial"/>
          <w:color w:val="2D3748"/>
          <w:sz w:val="20"/>
        </w:rPr>
        <w:t>17 flux RSS sont interroges automatiquement (regulateurs, presse FR, internationale, fintech)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Curation IA : </w:t>
      </w:r>
      <w:r>
        <w:rPr>
          <w:rFonts w:ascii="Arial" w:hAnsi="Arial"/>
          <w:color w:val="2D3748"/>
          <w:sz w:val="20"/>
        </w:rPr>
        <w:t>Les articles sont analyses, scores et filtres par pertinence thematique. Priorite a l'actualite francaise.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Redaction IA : </w:t>
      </w:r>
      <w:r>
        <w:rPr>
          <w:rFonts w:ascii="Arial" w:hAnsi="Arial"/>
          <w:color w:val="2D3748"/>
          <w:sz w:val="20"/>
        </w:rPr>
        <w:t>Claude genere un editorial de type McKinsey (450-550 mots), structure et argumente.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Mise en page : </w:t>
      </w:r>
      <w:r>
        <w:rPr>
          <w:rFonts w:ascii="Arial" w:hAnsi="Arial"/>
          <w:color w:val="2D3748"/>
          <w:sz w:val="20"/>
        </w:rPr>
        <w:t>Le HTML final est genere selon le gabarit Ares &amp; Co avec charte graphique integree.</w:t>
      </w:r>
    </w:p>
    <w:p>
      <w:pPr>
        <w:pStyle w:val="Heading2"/>
      </w:pPr>
      <w:r>
        <w:t>Calendrier editorial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6 territoires thematiques en rotation mensuelle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Territoire</w:t>
            </w:r>
          </w:p>
        </w:tc>
        <w:tc>
          <w:tcPr>
            <w:tcW w:type="dxa" w:w="2835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Couleur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Croissance &amp; Distribution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Bleu (#2563eb)</w:t>
            </w:r>
          </w:p>
        </w:tc>
      </w:tr>
      <w:tr>
        <w:tc>
          <w:tcPr>
            <w:tcW w:type="dxa" w:w="850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2</w:t>
            </w:r>
          </w:p>
        </w:tc>
        <w:tc>
          <w:tcPr>
            <w:tcW w:type="dxa" w:w="3969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Experience Client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Vert (#059669)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Performance Operationnelle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Rouge (#dc2626)</w:t>
            </w:r>
          </w:p>
        </w:tc>
      </w:tr>
      <w:tr>
        <w:tc>
          <w:tcPr>
            <w:tcW w:type="dxa" w:w="850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4</w:t>
            </w:r>
          </w:p>
        </w:tc>
        <w:tc>
          <w:tcPr>
            <w:tcW w:type="dxa" w:w="3969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Transition Demographique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Violet (#7c3aed)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Epargne &amp; Retraite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Orange (#ea580c)</w:t>
            </w:r>
          </w:p>
        </w:tc>
      </w:tr>
      <w:tr>
        <w:tc>
          <w:tcPr>
            <w:tcW w:type="dxa" w:w="850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6</w:t>
            </w:r>
          </w:p>
        </w:tc>
        <w:tc>
          <w:tcPr>
            <w:tcW w:type="dxa" w:w="3969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Risque &amp; Finance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Gris (#475569)</w:t>
            </w:r>
          </w:p>
        </w:tc>
      </w:tr>
    </w:tbl>
    <w:p>
      <w:pPr>
        <w:pStyle w:val="Heading2"/>
      </w:pPr>
      <w:r>
        <w:t>Les 17 sources de veille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Categorie</w:t>
            </w:r>
          </w:p>
        </w:tc>
        <w:tc>
          <w:tcPr>
            <w:tcW w:type="dxa" w:w="6236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Sources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Regulateurs (3)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BCE, EBA, AMF</w:t>
            </w:r>
          </w:p>
        </w:tc>
      </w:tr>
      <w:tr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Superviseurs FR (2)</w:t>
            </w:r>
          </w:p>
        </w:tc>
        <w:tc>
          <w:tcPr>
            <w:tcW w:type="dxa" w:w="6236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ACPR, Banque de France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Presse specialisee FR (5)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Les Echos, L'Agefi, La Tribune, Option Finance, Revue Banque</w:t>
            </w:r>
          </w:p>
        </w:tc>
      </w:tr>
      <w:tr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Medias innovation (4)</w:t>
            </w:r>
          </w:p>
        </w:tc>
        <w:tc>
          <w:tcPr>
            <w:tcW w:type="dxa" w:w="6236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Finextra, Mind Fintech, C'est pas mon idee, France FinTech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Presse internationale (3)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Financial Times, Wall Street Journal, Fintech Futures</w:t>
            </w:r>
          </w:p>
        </w:tc>
      </w:tr>
    </w:tbl>
    <w:p>
      <w:r>
        <w:br w:type="page"/>
      </w:r>
    </w:p>
    <w:p>
      <w:pPr>
        <w:pStyle w:val="Heading1"/>
      </w:pPr>
      <w:r>
        <w:t>Module 2 - Naviguer dans le projet GitHub</w:t>
      </w:r>
    </w:p>
    <w:p>
      <w:r>
        <w:rPr>
          <w:rFonts w:ascii="Arial" w:hAnsi="Arial"/>
          <w:b/>
          <w:color w:val="57AEE0"/>
        </w:rPr>
        <w:t xml:space="preserve">Objectif : </w:t>
      </w:r>
      <w:r>
        <w:rPr>
          <w:rFonts w:ascii="Arial" w:hAnsi="Arial"/>
          <w:color w:val="2D3748"/>
        </w:rPr>
        <w:t>Etre a l'aise dans le repo sans etre developpeur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Structure du 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Dossier / Fichier</w:t>
            </w:r>
          </w:p>
        </w:tc>
        <w:tc>
          <w:tcPr>
            <w:tcW w:type="dxa" w:w="5669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config/sources.yaml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Liste des 17 flux RSS (modifiable)</w:t>
            </w:r>
          </w:p>
        </w:tc>
      </w:tr>
      <w:tr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config/themes.yaml</w:t>
            </w:r>
          </w:p>
        </w:tc>
        <w:tc>
          <w:tcPr>
            <w:tcW w:type="dxa" w:w="5669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Les 6 territoires editoriaux (modifiable)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src/agent.py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Moteur principal du pipeline</w:t>
            </w:r>
          </w:p>
        </w:tc>
      </w:tr>
      <w:tr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src/collector.py</w:t>
            </w:r>
          </w:p>
        </w:tc>
        <w:tc>
          <w:tcPr>
            <w:tcW w:type="dxa" w:w="5669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Collecte automatique des articles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src/curator.py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Selection et scoring IA des articles</w:t>
            </w:r>
          </w:p>
        </w:tc>
      </w:tr>
      <w:tr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src/writer.py</w:t>
            </w:r>
          </w:p>
        </w:tc>
        <w:tc>
          <w:tcPr>
            <w:tcW w:type="dxa" w:w="5669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Redaction editoriale IA (prompt McKinsey)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src/templates/newsletter_v2.html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Gabarit HTML de la newsletter</w:t>
            </w:r>
          </w:p>
        </w:tc>
      </w:tr>
      <w:tr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examples/</w:t>
            </w:r>
          </w:p>
        </w:tc>
        <w:tc>
          <w:tcPr>
            <w:tcW w:type="dxa" w:w="5669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Editions generees et consultables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CHARTE_GRAPHIQUE_ARES.md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Reference charte graphique</w:t>
            </w:r>
          </w:p>
        </w:tc>
      </w:tr>
    </w:tbl>
    <w:p>
      <w:pPr>
        <w:pStyle w:val="Heading2"/>
      </w:pPr>
      <w:r>
        <w:t>Actions cles pour un non-developpeur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Consulter une edition : </w:t>
      </w:r>
      <w:r>
        <w:rPr>
          <w:rFonts w:ascii="Arial" w:hAnsi="Arial"/>
          <w:color w:val="2D3748"/>
          <w:sz w:val="20"/>
        </w:rPr>
        <w:t>ouvrir le fichier HTML dans examples/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Ajouter une source RSS : </w:t>
      </w:r>
      <w:r>
        <w:rPr>
          <w:rFonts w:ascii="Arial" w:hAnsi="Arial"/>
          <w:color w:val="2D3748"/>
          <w:sz w:val="20"/>
        </w:rPr>
        <w:t>modifier config/sources.yaml via l'interface web GitHub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Modifier un theme : </w:t>
      </w:r>
      <w:r>
        <w:rPr>
          <w:rFonts w:ascii="Arial" w:hAnsi="Arial"/>
          <w:color w:val="2D3748"/>
          <w:sz w:val="20"/>
        </w:rPr>
        <w:t>ajuster les mots-cles dans config/themes.yaml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Suivre les modifications : </w:t>
      </w:r>
      <w:r>
        <w:rPr>
          <w:rFonts w:ascii="Arial" w:hAnsi="Arial"/>
          <w:color w:val="2D3748"/>
          <w:sz w:val="20"/>
        </w:rPr>
        <w:t>consulter l'historique des commits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Signaler un ajustement : </w:t>
      </w:r>
      <w:r>
        <w:rPr>
          <w:rFonts w:ascii="Arial" w:hAnsi="Arial"/>
          <w:color w:val="2D3748"/>
          <w:sz w:val="20"/>
        </w:rPr>
        <w:t>ouvrir une Issue sur le repo</w:t>
      </w:r>
    </w:p>
    <w:p>
      <w:pPr>
        <w:pStyle w:val="Heading3"/>
      </w:pPr>
      <w:r>
        <w:t>Exercice pratique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Ajouter une source RSS dans sources.yaml via l'interface web GitHub, creer un commit, et verifier la modification dans l'historique.</w:t>
      </w:r>
    </w:p>
    <w:p>
      <w:r>
        <w:br w:type="page"/>
      </w:r>
    </w:p>
    <w:p>
      <w:pPr>
        <w:pStyle w:val="Heading1"/>
      </w:pPr>
      <w:r>
        <w:t>Module 3 - Piloter la production via GitHub</w:t>
      </w:r>
    </w:p>
    <w:p>
      <w:r>
        <w:rPr>
          <w:rFonts w:ascii="Arial" w:hAnsi="Arial"/>
          <w:b/>
          <w:color w:val="57AEE0"/>
        </w:rPr>
        <w:t xml:space="preserve">Objectif : </w:t>
      </w:r>
      <w:r>
        <w:rPr>
          <w:rFonts w:ascii="Arial" w:hAnsi="Arial"/>
          <w:color w:val="2D3748"/>
        </w:rPr>
        <w:t>Utiliser GitHub comme outil de pilotage editorial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Fonctionnalites GitHub pour la newsletter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Fonctionnalite</w:t>
            </w:r>
          </w:p>
        </w:tc>
        <w:tc>
          <w:tcPr>
            <w:tcW w:type="dxa" w:w="6803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Usage newsletter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Issues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Demandes d'ajustement, suggestions de sources, retours lecteurs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Labels</w:t>
            </w:r>
          </w:p>
        </w:tc>
        <w:tc>
          <w:tcPr>
            <w:tcW w:type="dxa" w:w="6803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edition-mars, source, editorial, bug, terrain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Milestones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Une milestone par edition mensuelle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Discussions</w:t>
            </w:r>
          </w:p>
        </w:tc>
        <w:tc>
          <w:tcPr>
            <w:tcW w:type="dxa" w:w="6803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Echanges CODEV sur les orientations editoriales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Pull Requests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Revue des modifications avant integration</w:t>
            </w:r>
          </w:p>
        </w:tc>
      </w:tr>
    </w:tbl>
    <w:p>
      <w:pPr>
        <w:pStyle w:val="Heading2"/>
      </w:pPr>
      <w:r>
        <w:t>Workflow d'une edition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1. Milestone : </w:t>
      </w:r>
      <w:r>
        <w:rPr>
          <w:rFonts w:ascii="Arial" w:hAnsi="Arial"/>
          <w:color w:val="2D3748"/>
          <w:sz w:val="20"/>
        </w:rPr>
        <w:t>Creer la milestone "Edition Mars 2026 - Theme X"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2. Issues : </w:t>
      </w:r>
      <w:r>
        <w:rPr>
          <w:rFonts w:ascii="Arial" w:hAnsi="Arial"/>
          <w:color w:val="2D3748"/>
          <w:sz w:val="20"/>
        </w:rPr>
        <w:t>Ouvrir les issues : collecte terrain, validation sources, choix theme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3. Generation : </w:t>
      </w:r>
      <w:r>
        <w:rPr>
          <w:rFonts w:ascii="Arial" w:hAnsi="Arial"/>
          <w:color w:val="2D3748"/>
          <w:sz w:val="20"/>
        </w:rPr>
        <w:t>Lancer python agent.py --theme &lt;theme_du_mois&gt;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4. Commit : </w:t>
      </w:r>
      <w:r>
        <w:rPr>
          <w:rFonts w:ascii="Arial" w:hAnsi="Arial"/>
          <w:color w:val="2D3748"/>
          <w:sz w:val="20"/>
        </w:rPr>
        <w:t>Le HTML genere est pousse dans examples/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5. Pull Request : </w:t>
      </w:r>
      <w:r>
        <w:rPr>
          <w:rFonts w:ascii="Arial" w:hAnsi="Arial"/>
          <w:color w:val="2D3748"/>
          <w:sz w:val="20"/>
        </w:rPr>
        <w:t>L'equipe relit l'edition, commente, suggere des ajustements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6. Merge : </w:t>
      </w:r>
      <w:r>
        <w:rPr>
          <w:rFonts w:ascii="Arial" w:hAnsi="Arial"/>
          <w:color w:val="2D3748"/>
          <w:sz w:val="20"/>
        </w:rPr>
        <w:t>Validation finale, merge dans la branche principale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7. Envoi : </w:t>
      </w:r>
      <w:r>
        <w:rPr>
          <w:rFonts w:ascii="Arial" w:hAnsi="Arial"/>
          <w:color w:val="2D3748"/>
          <w:sz w:val="20"/>
        </w:rPr>
        <w:t>Partage par email via le bouton "Partager" integre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8. Feedback : </w:t>
      </w:r>
      <w:r>
        <w:rPr>
          <w:rFonts w:ascii="Arial" w:hAnsi="Arial"/>
          <w:color w:val="2D3748"/>
          <w:sz w:val="20"/>
        </w:rPr>
        <w:t>Collecter les retours en Issue "Feedback edition Mars"</w:t>
      </w:r>
    </w:p>
    <w:p>
      <w:pPr>
        <w:pStyle w:val="Heading3"/>
      </w:pPr>
      <w:r>
        <w:t>Exercice pratique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Creer une milestone pour l'edition du mois prochain, ouvrir une Issue de collecte terrain, et commenter une Pull Request existante.</w:t>
      </w:r>
    </w:p>
    <w:p>
      <w:r>
        <w:br w:type="page"/>
      </w:r>
    </w:p>
    <w:p>
      <w:pPr>
        <w:pStyle w:val="Heading1"/>
      </w:pPr>
      <w:r>
        <w:t>Module 4 - Lancer une edition</w:t>
      </w:r>
    </w:p>
    <w:p>
      <w:r>
        <w:rPr>
          <w:rFonts w:ascii="Arial" w:hAnsi="Arial"/>
          <w:b/>
          <w:color w:val="57AEE0"/>
        </w:rPr>
        <w:t xml:space="preserve">Objectif : </w:t>
      </w:r>
      <w:r>
        <w:rPr>
          <w:rFonts w:ascii="Arial" w:hAnsi="Arial"/>
          <w:color w:val="2D3748"/>
        </w:rPr>
        <w:t>Produire une newsletter de bout en bout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Commandes</w:t>
      </w:r>
    </w:p>
    <w:p>
      <w:pPr>
        <w:spacing w:before="20" w:after="20"/>
        <w:ind w:left="567"/>
      </w:pPr>
      <w:r>
        <w:rPr>
          <w:rFonts w:ascii="Courier New" w:hAnsi="Courier New"/>
          <w:color w:val="051E5B"/>
          <w:sz w:val="18"/>
        </w:rPr>
        <w:t># Voir les themes disponibles</w:t>
      </w:r>
    </w:p>
    <w:p>
      <w:pPr>
        <w:spacing w:before="20" w:after="20"/>
        <w:ind w:left="567"/>
      </w:pPr>
      <w:r>
        <w:rPr>
          <w:rFonts w:ascii="Courier New" w:hAnsi="Courier New"/>
          <w:color w:val="051E5B"/>
          <w:sz w:val="18"/>
        </w:rPr>
        <w:t>python agent.py --list-themes</w:t>
      </w:r>
    </w:p>
    <w:p>
      <w:pPr>
        <w:spacing w:before="20" w:after="20"/>
        <w:ind w:left="567"/>
      </w:pPr>
      <w:r>
        <w:rPr>
          <w:rFonts w:ascii="Courier New" w:hAnsi="Courier New"/>
          <w:color w:val="051E5B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051E5B"/>
          <w:sz w:val="18"/>
        </w:rPr>
        <w:t># Lancer avec un theme specifique</w:t>
      </w:r>
    </w:p>
    <w:p>
      <w:pPr>
        <w:spacing w:before="20" w:after="20"/>
        <w:ind w:left="567"/>
      </w:pPr>
      <w:r>
        <w:rPr>
          <w:rFonts w:ascii="Courier New" w:hAnsi="Courier New"/>
          <w:color w:val="051E5B"/>
          <w:sz w:val="18"/>
        </w:rPr>
        <w:t>python agent.py --theme growth_distribution</w:t>
      </w:r>
    </w:p>
    <w:p>
      <w:pPr>
        <w:spacing w:before="20" w:after="20"/>
        <w:ind w:left="567"/>
      </w:pPr>
      <w:r>
        <w:rPr>
          <w:rFonts w:ascii="Courier New" w:hAnsi="Courier New"/>
          <w:color w:val="051E5B"/>
          <w:sz w:val="18"/>
        </w:rPr>
      </w:r>
    </w:p>
    <w:p>
      <w:pPr>
        <w:spacing w:before="20" w:after="20"/>
        <w:ind w:left="567"/>
      </w:pPr>
      <w:r>
        <w:rPr>
          <w:rFonts w:ascii="Courier New" w:hAnsi="Courier New"/>
          <w:color w:val="051E5B"/>
          <w:sz w:val="18"/>
        </w:rPr>
        <w:t># Le HTML est genere dans output/</w:t>
      </w:r>
    </w:p>
    <w:p>
      <w:pPr>
        <w:pStyle w:val="Heading2"/>
      </w:pPr>
      <w:r>
        <w:t>Points de controle avant envoi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Editorial : </w:t>
      </w:r>
      <w:r>
        <w:rPr>
          <w:rFonts w:ascii="Arial" w:hAnsi="Arial"/>
          <w:color w:val="2D3748"/>
          <w:sz w:val="20"/>
        </w:rPr>
        <w:t>ton, longueur (~500 mots), coherence avec le theme du mois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Articles : </w:t>
      </w:r>
      <w:r>
        <w:rPr>
          <w:rFonts w:ascii="Arial" w:hAnsi="Arial"/>
          <w:color w:val="2D3748"/>
          <w:sz w:val="20"/>
        </w:rPr>
        <w:t>pertinence, equilibre France / international, pas de doublons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Terrain : </w:t>
      </w:r>
      <w:r>
        <w:rPr>
          <w:rFonts w:ascii="Arial" w:hAnsi="Arial"/>
          <w:color w:val="2D3748"/>
          <w:sz w:val="20"/>
        </w:rPr>
        <w:t>cas anonymise, realiste, structure Probleme / Approche / Resultats</w:t>
      </w:r>
    </w:p>
    <w:p>
      <w:pPr>
        <w:pStyle w:val="ListBullet"/>
        <w:spacing w:before="40" w:after="40"/>
        <w:ind w:left="850"/>
      </w:pPr>
      <w:r>
        <w:rPr>
          <w:rFonts w:ascii="Arial" w:hAnsi="Arial"/>
          <w:b/>
          <w:color w:val="2D3748"/>
          <w:sz w:val="20"/>
        </w:rPr>
        <w:t xml:space="preserve">Technique : </w:t>
      </w:r>
      <w:r>
        <w:rPr>
          <w:rFonts w:ascii="Arial" w:hAnsi="Arial"/>
          <w:color w:val="2D3748"/>
          <w:sz w:val="20"/>
        </w:rPr>
        <w:t>liens fonctionnels, bouton "Partager" operationnel, rendu mobile</w:t>
      </w:r>
    </w:p>
    <w:p>
      <w:pPr>
        <w:pStyle w:val="Heading3"/>
      </w:pPr>
      <w:r>
        <w:t>Exercice pratique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Simulation complete avec donnees de test : lancer une generation, relire le HTML produit, identifier un point d'amelioration et le documenter en Issue.</w:t>
      </w:r>
    </w:p>
    <w:p>
      <w:r>
        <w:br w:type="page"/>
      </w:r>
    </w:p>
    <w:p>
      <w:pPr>
        <w:pStyle w:val="Heading1"/>
      </w:pPr>
      <w:r>
        <w:t>Module 5 - Personnalisation et autonomie</w:t>
      </w:r>
    </w:p>
    <w:p>
      <w:r>
        <w:rPr>
          <w:rFonts w:ascii="Arial" w:hAnsi="Arial"/>
          <w:b/>
          <w:color w:val="57AEE0"/>
        </w:rPr>
        <w:t xml:space="preserve">Objectif : </w:t>
      </w:r>
      <w:r>
        <w:rPr>
          <w:rFonts w:ascii="Arial" w:hAnsi="Arial"/>
          <w:color w:val="2D3748"/>
        </w:rPr>
        <w:t>Savoir ce que chacun peut modifier en autonomie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Matrice d'autonomie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18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2835"/>
            <w:shd w:fill="051E3B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Difficulte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Changer le theme du mois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config/themes.yaml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Facile</w:t>
            </w:r>
          </w:p>
        </w:tc>
      </w:tr>
      <w:tr>
        <w:tc>
          <w:tcPr>
            <w:tcW w:type="dxa" w:w="311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Ajouter / supprimer une source RSS</w:t>
            </w:r>
          </w:p>
        </w:tc>
        <w:tc>
          <w:tcPr>
            <w:tcW w:type="dxa" w:w="311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config/sources.yaml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Facile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Modifier les mots-cles d'un theme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config/themes.yaml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Facile</w:t>
            </w:r>
          </w:p>
        </w:tc>
      </w:tr>
      <w:tr>
        <w:tc>
          <w:tcPr>
            <w:tcW w:type="dxa" w:w="311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Ajuster le ton de l'editorial</w:t>
            </w:r>
          </w:p>
        </w:tc>
        <w:tc>
          <w:tcPr>
            <w:tcW w:type="dxa" w:w="311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src/writer.py (prompt)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Moyen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Modifier le template HTML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src/templates/newsletter_v2.html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Moyen</w:t>
            </w:r>
          </w:p>
        </w:tc>
      </w:tr>
      <w:tr>
        <w:tc>
          <w:tcPr>
            <w:tcW w:type="dxa" w:w="311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Ajouter une nouvelle section</w:t>
            </w:r>
          </w:p>
        </w:tc>
        <w:tc>
          <w:tcPr>
            <w:tcW w:type="dxa" w:w="3118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Code + template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2D3748"/>
                <w:sz w:val="18"/>
              </w:rPr>
              <w:t>Avance (Claude Code)</w:t>
            </w:r>
          </w:p>
        </w:tc>
      </w:tr>
    </w:tbl>
    <w:p>
      <w:pPr>
        <w:pStyle w:val="Heading3"/>
      </w:pPr>
      <w:r>
        <w:t>Exercice pratique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Modifier les mots-cles d'un theme dans themes.yaml, commiter la modification, et relancer une generation pour observer l'impact sur la selection d'articles.</w:t>
      </w:r>
    </w:p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Suivi post-formation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La premiere edition suivant la formation sera pilotee collectivement pour ancrer les reflexes. Un referent newsletter sera designe au sein du CODEV pour assurer la continuite.</w:t>
      </w:r>
    </w:p>
    <w:p/>
    <w:p>
      <w:pPr>
        <w:jc w:val="center"/>
      </w:pPr>
      <w:r>
        <w:rPr>
          <w:rFonts w:ascii="Arial" w:hAnsi="Arial"/>
          <w:color w:val="718096"/>
          <w:sz w:val="16"/>
        </w:rPr>
        <w:t>Ares &amp; Co - 15 Av. de la Grande Armee, 75116 Paris</w:t>
      </w:r>
    </w:p>
    <w:p>
      <w:pPr>
        <w:jc w:val="center"/>
      </w:pPr>
      <w:r>
        <w:rPr>
          <w:rFonts w:ascii="Arial" w:hAnsi="Arial"/>
          <w:color w:val="718096"/>
          <w:sz w:val="16"/>
        </w:rPr>
        <w:t>contact@aresandco.com | www.aresandco.com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51E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51E3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51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