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BEA68" w14:textId="77777777" w:rsidR="00DD5813" w:rsidRPr="00171012" w:rsidRDefault="00AA7D02" w:rsidP="00171012">
      <w:pPr>
        <w:spacing w:after="0" w:line="276" w:lineRule="auto"/>
        <w:rPr>
          <w:rFonts w:hAnsi="Georgia"/>
          <w:b/>
          <w:bCs/>
          <w:sz w:val="24"/>
          <w:szCs w:val="24"/>
        </w:rPr>
      </w:pPr>
      <w:bookmarkStart w:id="0" w:name="technical_appendix"/>
      <w:r w:rsidRPr="00171012">
        <w:rPr>
          <w:rFonts w:eastAsia="source serif 4" w:hAnsi="Georgia" w:cs="source serif 4"/>
          <w:b/>
          <w:bCs/>
          <w:color w:val="000000"/>
          <w:sz w:val="24"/>
          <w:szCs w:val="24"/>
        </w:rPr>
        <w:t>A</w:t>
      </w:r>
      <w:r w:rsidR="00324D88" w:rsidRPr="00171012">
        <w:rPr>
          <w:rFonts w:eastAsia="source serif 4" w:hAnsi="Georgia" w:cs="source serif 4"/>
          <w:b/>
          <w:bCs/>
          <w:color w:val="000000"/>
          <w:sz w:val="24"/>
          <w:szCs w:val="24"/>
        </w:rPr>
        <w:t>ppendix</w:t>
      </w:r>
      <w:bookmarkStart w:id="1" w:name="research_program_v6_0_hierarchica_1fa778"/>
      <w:bookmarkEnd w:id="0"/>
    </w:p>
    <w:p w14:paraId="76EE5615" w14:textId="550719F7" w:rsidR="00BD027B" w:rsidRPr="00171012" w:rsidRDefault="00AA7D02" w:rsidP="00AA7D02">
      <w:pPr>
        <w:spacing w:after="0" w:line="276" w:lineRule="auto"/>
        <w:jc w:val="both"/>
        <w:rPr>
          <w:rFonts w:hAnsi="Georgia"/>
          <w:b/>
          <w:bCs/>
          <w:sz w:val="24"/>
          <w:szCs w:val="24"/>
        </w:rPr>
      </w:pPr>
      <w:r w:rsidRPr="00171012">
        <w:rPr>
          <w:rFonts w:eastAsia="source serif 4" w:hAnsi="Georgia" w:cs="source serif 4"/>
          <w:b/>
          <w:bCs/>
          <w:color w:val="000000"/>
          <w:sz w:val="24"/>
          <w:szCs w:val="24"/>
        </w:rPr>
        <w:t>Hierarchical Attractor Reduction Principle (HARP) in Disorders of Consciousness</w:t>
      </w:r>
      <w:bookmarkEnd w:id="1"/>
    </w:p>
    <w:p w14:paraId="4055106A" w14:textId="77777777" w:rsidR="00171012" w:rsidRDefault="00171012" w:rsidP="005D49B8">
      <w:pPr>
        <w:spacing w:after="0" w:line="276" w:lineRule="auto"/>
        <w:ind w:left="-30"/>
        <w:jc w:val="both"/>
        <w:rPr>
          <w:rFonts w:eastAsia="source serif 4" w:hAnsi="Georgia" w:cs="source serif 4"/>
          <w:b/>
          <w:color w:val="000000"/>
          <w:sz w:val="24"/>
        </w:rPr>
      </w:pPr>
    </w:p>
    <w:p w14:paraId="526D7AA6" w14:textId="20E65B9B" w:rsidR="00E970DE" w:rsidRPr="00A23252" w:rsidRDefault="006D7E85" w:rsidP="005D49B8">
      <w:pPr>
        <w:spacing w:after="0" w:line="276" w:lineRule="auto"/>
        <w:ind w:left="-30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  <w:sz w:val="24"/>
        </w:rPr>
        <w:t>Technical Appendix</w:t>
      </w:r>
    </w:p>
    <w:p w14:paraId="54CBE3B3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2" w:name="a1_structural_capacity_index_β"/>
      <w:r w:rsidRPr="00A23252">
        <w:rPr>
          <w:rFonts w:eastAsia="source serif 4" w:hAnsi="Georgia" w:cs="source serif 4"/>
          <w:b/>
          <w:color w:val="000000"/>
          <w:sz w:val="24"/>
        </w:rPr>
        <w:t>A1. Structural Capacity Index (β*)</w:t>
      </w:r>
      <w:bookmarkEnd w:id="2"/>
    </w:p>
    <w:p w14:paraId="2CEB2358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max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1/2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SC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1/2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  <w:color w:val="000000"/>
                </w:rPr>
                <m:t>N</m:t>
              </m:r>
            </m:den>
          </m:f>
        </m:oMath>
      </m:oMathPara>
    </w:p>
    <w:p w14:paraId="53B7AE3A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SC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structural connectivity matrix (N×N) from DWI tractography, Schaefer-100 parcellation, spectrally normalized so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SC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)=1</m:t>
        </m:r>
      </m:oMath>
      <w:r w:rsidRPr="00A23252">
        <w:rPr>
          <w:rFonts w:eastAsia="source serif 4" w:hAnsi="Georgia" w:cs="source serif 4"/>
          <w:color w:val="000000"/>
        </w:rPr>
        <w:t xml:space="preserve">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D</m:t>
            </m:r>
          </m:e>
          <m:sub>
            <m:r>
              <w:rPr>
                <w:rFonts w:ascii="Cambria Math" w:hAnsi="Cambria Math"/>
                <w:color w:val="000000"/>
              </w:rPr>
              <m:t>m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diagonal gain matrix (identity at baseline);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(⋅)</m:t>
        </m:r>
      </m:oMath>
      <w:r w:rsidRPr="00A23252">
        <w:rPr>
          <w:rFonts w:eastAsia="source serif 4" w:hAnsi="Georgia" w:cs="source serif 4"/>
          <w:color w:val="000000"/>
        </w:rPr>
        <w:t xml:space="preserve"> — largest eigenvalue of the similarity-transformed matrix; </w:t>
      </w:r>
      <m:oMath>
        <m:r>
          <w:rPr>
            <w:rFonts w:ascii="Cambria Math" w:hAnsi="Cambria Math"/>
            <w:color w:val="000000"/>
          </w:rPr>
          <m:t>N</m:t>
        </m:r>
      </m:oMath>
      <w:r w:rsidRPr="00A23252">
        <w:rPr>
          <w:rFonts w:eastAsia="source serif 4" w:hAnsi="Georgia" w:cs="source serif 4"/>
          <w:color w:val="000000"/>
        </w:rPr>
        <w:t xml:space="preserve"> — number of parcellated ROIs (N=100).</w:t>
      </w:r>
    </w:p>
    <w:p w14:paraId="4BAE2D84" w14:textId="062EB56E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quantifies structural capacity of the </w:t>
      </w:r>
      <w:proofErr w:type="spellStart"/>
      <w:r w:rsidRPr="00A23252">
        <w:rPr>
          <w:rFonts w:eastAsia="source serif 4" w:hAnsi="Georgia" w:cs="source serif 4"/>
          <w:color w:val="000000"/>
        </w:rPr>
        <w:t>connectome's</w:t>
      </w:r>
      <w:proofErr w:type="spellEnd"/>
      <w:r w:rsidRPr="00A23252">
        <w:rPr>
          <w:rFonts w:eastAsia="source serif 4" w:hAnsi="Georgia" w:cs="source serif 4"/>
          <w:color w:val="000000"/>
        </w:rPr>
        <w:t xml:space="preserve"> attractor landscape to support a diverse, stable repertoire of functional states. Corrected from an earlier Hadamard-diagonal formulation that collapsed to zero for zero-diagonal </w:t>
      </w:r>
      <w:proofErr w:type="spellStart"/>
      <w:r w:rsidRPr="00A23252">
        <w:rPr>
          <w:rFonts w:eastAsia="source serif 4" w:hAnsi="Georgia" w:cs="source serif 4"/>
          <w:color w:val="000000"/>
        </w:rPr>
        <w:t>connectomes</w:t>
      </w:r>
      <w:proofErr w:type="spellEnd"/>
      <w:r w:rsidRPr="00A23252">
        <w:rPr>
          <w:rFonts w:eastAsia="source serif 4" w:hAnsi="Georgia" w:cs="source serif 4"/>
          <w:color w:val="000000"/>
        </w:rPr>
        <w:t>.</w:t>
      </w:r>
    </w:p>
    <w:p w14:paraId="7415055B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3" w:name="a2_effective_network_dimensionali_4f9ca7"/>
      <w:r w:rsidRPr="00A23252">
        <w:rPr>
          <w:rFonts w:eastAsia="source serif 4" w:hAnsi="Georgia" w:cs="source serif 4"/>
          <w:b/>
          <w:color w:val="000000"/>
          <w:sz w:val="24"/>
        </w:rPr>
        <w:t>A2. Effective Network Dimensionality (</w:t>
      </w:r>
      <w:proofErr w:type="spellStart"/>
      <w:r w:rsidRPr="00A23252">
        <w:rPr>
          <w:rFonts w:eastAsia="source serif 4" w:hAnsi="Georgia" w:cs="source serif 4"/>
          <w:b/>
          <w:color w:val="000000"/>
          <w:sz w:val="24"/>
        </w:rPr>
        <w:t>n_eff</w:t>
      </w:r>
      <w:proofErr w:type="spellEnd"/>
      <w:r w:rsidRPr="00A23252">
        <w:rPr>
          <w:rFonts w:eastAsia="source serif 4" w:hAnsi="Georgia" w:cs="source serif 4"/>
          <w:b/>
          <w:color w:val="000000"/>
          <w:sz w:val="24"/>
        </w:rPr>
        <w:t>)</w:t>
      </w:r>
      <w:bookmarkEnd w:id="3"/>
    </w:p>
    <w:p w14:paraId="657B5D2E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 </m:t>
                          </m:r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 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</m:den>
          </m:f>
        </m:oMath>
      </m:oMathPara>
    </w:p>
    <w:p w14:paraId="48B2A7EB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i-th eigenvalue of the relevant covariance matrix (BOLD covariance for empirical data; simulated-activity covariance for digital-twin output).</w:t>
      </w:r>
    </w:p>
    <w:p w14:paraId="3219C459" w14:textId="28E262AD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participation-ratio estimator of effective dimensionality, bounded in </w:t>
      </w:r>
      <m:oMath>
        <m:r>
          <m:rPr>
            <m:sty m:val="p"/>
          </m:rPr>
          <w:rPr>
            <w:rFonts w:ascii="Cambria Math" w:hAnsi="Cambria Math"/>
            <w:color w:val="000000"/>
          </w:rPr>
          <m:t>[1,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]</m:t>
        </m:r>
      </m:oMath>
      <w:r w:rsidRPr="00A23252">
        <w:rPr>
          <w:rFonts w:eastAsia="source serif 4" w:hAnsi="Georgia" w:cs="source serif 4"/>
          <w:color w:val="000000"/>
        </w:rPr>
        <w:t>. Replaces an earlier histogram-entropy estimator artificially bounded at 5 bits.</w:t>
      </w:r>
    </w:p>
    <w:p w14:paraId="218E60F4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4" w:name="a3_overlap_topology_index_p_q"/>
      <w:r w:rsidRPr="00A23252">
        <w:rPr>
          <w:rFonts w:eastAsia="source serif 4" w:hAnsi="Georgia" w:cs="source serif 4"/>
          <w:b/>
          <w:color w:val="000000"/>
          <w:sz w:val="24"/>
        </w:rPr>
        <w:t>A3. Overlap-Topology Index (P(q))</w:t>
      </w:r>
      <w:bookmarkEnd w:id="4"/>
    </w:p>
    <w:p w14:paraId="6E2A2337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w:rPr>
              <w:rFonts w:ascii="Cambria Math" w:hAnsi="Cambria Math"/>
              <w:color w:val="000000"/>
            </w:rPr>
            <m:t>q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=1</m:t>
              </m:r>
            </m:sub>
            <m:sup>
              <m:r>
                <w:rPr>
                  <w:rFonts w:ascii="Cambria Math" w:hAnsi="Cambria Math"/>
                  <w:color w:val="000000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</m:e>
          </m:nary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(1)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(2)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‖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(1)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‖ ‖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(2)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‖</m:t>
              </m:r>
            </m:den>
          </m:f>
        </m:oMath>
      </m:oMathPara>
    </w:p>
    <w:p w14:paraId="6195E61F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(1)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(2)</m:t>
            </m:r>
          </m:sup>
        </m:sSup>
      </m:oMath>
      <w:r w:rsidRPr="00A23252">
        <w:rPr>
          <w:rFonts w:eastAsia="source serif 4" w:hAnsi="Georgia" w:cs="source serif 4"/>
          <w:color w:val="000000"/>
        </w:rPr>
        <w:t xml:space="preserve"> — L2-normalized activation/BOLD vectors from two distinct sliding time windows (W=60 TR, step=30 TR; robustness checked at W=30, W=90 TR); </w:t>
      </w:r>
      <m:oMath>
        <m:r>
          <w:rPr>
            <w:rFonts w:ascii="Cambria Math" w:hAnsi="Cambria Math"/>
            <w:color w:val="000000"/>
          </w:rPr>
          <m:t>q</m:t>
        </m:r>
      </m:oMath>
      <w:r w:rsidRPr="00A23252">
        <w:rPr>
          <w:rFonts w:eastAsia="source serif 4" w:hAnsi="Georgia" w:cs="source serif 4"/>
          <w:color w:val="000000"/>
        </w:rPr>
        <w:t xml:space="preserve"> — cosine similarity, range </w:t>
      </w:r>
      <m:oMath>
        <m:r>
          <m:rPr>
            <m:sty m:val="p"/>
          </m:rPr>
          <w:rPr>
            <w:rFonts w:ascii="Cambria Math" w:hAnsi="Cambria Math"/>
            <w:color w:val="000000"/>
          </w:rPr>
          <m:t>[-1,+1]</m:t>
        </m:r>
      </m:oMath>
      <w:r w:rsidRPr="00A23252">
        <w:rPr>
          <w:rFonts w:eastAsia="source serif 4" w:hAnsi="Georgia" w:cs="source serif 4"/>
          <w:color w:val="000000"/>
        </w:rPr>
        <w:t xml:space="preserve">; </w:t>
      </w:r>
      <m:oMath>
        <m:r>
          <w:rPr>
            <w:rFonts w:ascii="Cambria Math" w:hAnsi="Cambria Math"/>
            <w:color w:val="000000"/>
          </w:rPr>
          <m:t>P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q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 xml:space="preserve"> — empirical distribution of </w:t>
      </w:r>
      <m:oMath>
        <m:r>
          <w:rPr>
            <w:rFonts w:ascii="Cambria Math" w:hAnsi="Cambria Math"/>
            <w:color w:val="000000"/>
          </w:rPr>
          <m:t>q</m:t>
        </m:r>
      </m:oMath>
      <w:r w:rsidRPr="00A23252">
        <w:rPr>
          <w:rFonts w:eastAsia="source serif 4" w:hAnsi="Georgia" w:cs="source serif 4"/>
          <w:color w:val="000000"/>
        </w:rPr>
        <w:t xml:space="preserve"> across all window pairs.</w:t>
      </w:r>
    </w:p>
    <w:p w14:paraId="6E5D9DC0" w14:textId="0F0887AC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Parisi-type overlap distribution of the attractor landscape topology. Unimodal, near-zero-kurtosis </w:t>
      </w:r>
      <m:oMath>
        <m:r>
          <w:rPr>
            <w:rFonts w:ascii="Cambria Math" w:hAnsi="Cambria Math"/>
            <w:color w:val="000000"/>
          </w:rPr>
          <m:t>P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q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 xml:space="preserve"> indicates a flexible repertoire; increasingly leptokurtic or bimodal </w:t>
      </w:r>
      <m:oMath>
        <m:r>
          <w:rPr>
            <w:rFonts w:ascii="Cambria Math" w:hAnsi="Cambria Math"/>
            <w:color w:val="000000"/>
          </w:rPr>
          <m:t>P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q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 xml:space="preserve"> indicates entrapment in a low-complexity regime. Corrected from an earlier version with an extraneous </w:t>
      </w:r>
      <m:oMath>
        <m:r>
          <m:rPr>
            <m:sty m:val="p"/>
          </m:rPr>
          <w:rPr>
            <w:rFonts w:ascii="Cambria Math" w:hAnsi="Cambria Math"/>
            <w:color w:val="000000"/>
          </w:rPr>
          <m:t>1/</m:t>
        </m:r>
        <m:r>
          <w:rPr>
            <w:rFonts w:ascii="Cambria Math" w:hAnsi="Cambria Math"/>
            <w:color w:val="000000"/>
          </w:rPr>
          <m:t>N</m:t>
        </m:r>
      </m:oMath>
      <w:r w:rsidRPr="00A23252">
        <w:rPr>
          <w:rFonts w:eastAsia="source serif 4" w:hAnsi="Georgia" w:cs="source serif 4"/>
          <w:color w:val="000000"/>
        </w:rPr>
        <w:t xml:space="preserve"> division that compressed the support to roughly </w:t>
      </w:r>
      <m:oMath>
        <m:r>
          <m:rPr>
            <m:sty m:val="p"/>
          </m:rPr>
          <w:rPr>
            <w:rFonts w:ascii="Cambria Math" w:hAnsi="Cambria Math"/>
            <w:color w:val="000000"/>
          </w:rPr>
          <m:t>[-0.01,+0.01]</m:t>
        </m:r>
      </m:oMath>
      <w:r w:rsidRPr="00A23252">
        <w:rPr>
          <w:rFonts w:eastAsia="source serif 4" w:hAnsi="Georgia" w:cs="source serif 4"/>
          <w:color w:val="000000"/>
        </w:rPr>
        <w:t xml:space="preserve"> for N=100.</w:t>
      </w:r>
    </w:p>
    <w:p w14:paraId="1879C4C4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5" w:name="a4_harp_core_model_hierarchical_s_6d9a0f"/>
      <w:r w:rsidRPr="00A23252">
        <w:rPr>
          <w:rFonts w:eastAsia="source serif 4" w:hAnsi="Georgia" w:cs="source serif 4"/>
          <w:b/>
          <w:color w:val="000000"/>
          <w:sz w:val="24"/>
        </w:rPr>
        <w:t>A4. HARP Core Model — Hierarchical Sigmoidal Transition</w:t>
      </w:r>
      <w:bookmarkEnd w:id="5"/>
    </w:p>
    <w:p w14:paraId="127E49FB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Ansi="Georgia"/>
                          <w:color w:val="000000"/>
                        </w:rPr>
                        <m:t>net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</m:t>
                  </m:r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p>
              </m:sSup>
            </m:den>
          </m:f>
        </m:oMath>
      </m:oMathPara>
    </w:p>
    <w:p w14:paraId="11E8CD32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m:rPr>
                  <m:nor/>
                </m:rPr>
                <w:rPr>
                  <w:rFonts w:hAnsi="Georgia"/>
                  <w:color w:val="000000"/>
                </w:rPr>
                <m:t>global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h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  <m:r>
                <w:rPr>
                  <w:rFonts w:ascii="Cambria Math" w:hAnsi="Cambria Math"/>
                  <w:color w:val="000000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hub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</m:d>
        </m:oMath>
      </m:oMathPara>
    </w:p>
    <w:p w14:paraId="2B14B4AF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net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network-load parameter (simulated lesion attenuation or sedation dose);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min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asymptotic dimensionality bounds;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critical transition point; </w:t>
      </w:r>
      <m:oMath>
        <m:r>
          <m:rPr>
            <m:sty m:val="p"/>
          </m:rPr>
          <w:rPr>
            <w:rFonts w:ascii="Cambria Math" w:hAnsi="Cambria Math"/>
            <w:color w:val="000000"/>
          </w:rPr>
          <m:t>Δ</m:t>
        </m:r>
        <m:r>
          <w:rPr>
            <w:rFonts w:ascii="Cambria Math" w:hAnsi="Cambria Math"/>
            <w:color w:val="000000"/>
          </w:rPr>
          <m:t>T</m:t>
        </m:r>
      </m:oMath>
      <w:r w:rsidRPr="00A23252">
        <w:rPr>
          <w:rFonts w:eastAsia="source serif 4" w:hAnsi="Georgia" w:cs="source serif 4"/>
          <w:color w:val="000000"/>
        </w:rPr>
        <w:t xml:space="preserve"> — transition-width (steepness) parameter; </w:t>
      </w:r>
      <m:oMath>
        <m:r>
          <w:rPr>
            <w:rFonts w:ascii="Cambria Math" w:hAnsi="Cambria Math"/>
            <w:color w:val="000000"/>
          </w:rPr>
          <m:t>δ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hub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h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 xml:space="preserve"> — hub-specific coupling-gain deviation weighted by degree centrality.</w:t>
      </w:r>
    </w:p>
    <w:p w14:paraId="284108FD" w14:textId="40B2215F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network-dimensionality collapse follows a hierarchically modulated sigmoidal phase transition, not a linear/polynomial trajectory. </w:t>
      </w:r>
    </w:p>
    <w:p w14:paraId="6202ABF9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6" w:name="a5_resilience_index_ri_held_out_n_393f31"/>
      <w:r w:rsidRPr="00A23252">
        <w:rPr>
          <w:rFonts w:eastAsia="source serif 4" w:hAnsi="Georgia" w:cs="source serif 4"/>
          <w:b/>
          <w:color w:val="000000"/>
          <w:sz w:val="24"/>
        </w:rPr>
        <w:t>A5. Resilience Index (RI) — Held-Out Normalized</w:t>
      </w:r>
      <w:bookmarkEnd w:id="6"/>
    </w:p>
    <w:p w14:paraId="1B8C5609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m:rPr>
              <m:nor/>
            </m:rPr>
            <w:rPr>
              <w:rFonts w:hAnsi="Georgia"/>
              <w:color w:val="000000"/>
            </w:rPr>
            <w:lastRenderedPageBreak/>
            <m:t>RI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sim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m:rPr>
                  <m:nor/>
                </m:rPr>
                <w:rPr>
                  <w:rFonts w:hAnsi="Georgia"/>
                  <w:color w:val="000000"/>
                </w:rPr>
                <m:t>lesion condition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sim,reference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m:rPr>
                  <m:nor/>
                </m:rPr>
                <w:rPr>
                  <w:rFonts w:hAnsi="Georgia"/>
                  <w:color w:val="000000"/>
                </w:rPr>
                <m:t>held-out cohort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den>
          </m:f>
        </m:oMath>
      </m:oMathPara>
    </w:p>
    <w:p w14:paraId="71CD644B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F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C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sim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(⋅)</m:t>
        </m:r>
      </m:oMath>
      <w:r w:rsidRPr="00A23252">
        <w:rPr>
          <w:rFonts w:eastAsia="source serif 4" w:hAnsi="Georgia" w:cs="source serif 4"/>
          <w:color w:val="000000"/>
        </w:rPr>
        <w:t xml:space="preserve"> — Pearson correlation between simulated and empirical (or lesioned vs. intact) functional-connectivity matrices; </w:t>
      </w:r>
      <m:oMath>
        <m:r>
          <w:rPr>
            <w:rFonts w:ascii="Cambria Math" w:hAnsi="Cambria Math"/>
            <w:color w:val="000000"/>
          </w:rPr>
          <m:t>F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C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sim,reference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(⋅)</m:t>
        </m:r>
      </m:oMath>
      <w:r w:rsidRPr="00A23252">
        <w:rPr>
          <w:rFonts w:eastAsia="source serif 4" w:hAnsi="Georgia" w:cs="source serif 4"/>
          <w:color w:val="000000"/>
        </w:rPr>
        <w:t xml:space="preserve"> — denominator from an externally referenced, held-out normative cohort excluded from calibration/hypothesis testing.</w:t>
      </w:r>
    </w:p>
    <w:p w14:paraId="237F4CA2" w14:textId="6574209E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individual's proportional resistance to FC degradation under simulated hub disconnection, normalized against an independent reference to avoid denominator circularity identified in earlier versions.</w:t>
      </w:r>
    </w:p>
    <w:p w14:paraId="65AB9E6B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7" w:name="a6_hierarchical_hub_weighted_resi_74ce11"/>
      <w:r w:rsidRPr="00A23252">
        <w:rPr>
          <w:rFonts w:eastAsia="source serif 4" w:hAnsi="Georgia" w:cs="source serif 4"/>
          <w:b/>
          <w:color w:val="000000"/>
          <w:sz w:val="24"/>
        </w:rPr>
        <w:t>A6. Hierarchical Hub-Weighted Resilience Index</w:t>
      </w:r>
      <w:bookmarkEnd w:id="7"/>
    </w:p>
    <w:p w14:paraId="03E95839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rFonts w:hAnsi="Georgia"/>
                  <w:color w:val="000000"/>
                </w:rPr>
                <m:t>RI</m:t>
              </m:r>
            </m:e>
            <m:sub>
              <w:proofErr w:type="spellStart"/>
              <m:r>
                <m:rPr>
                  <m:nor/>
                </m:rPr>
                <w:rPr>
                  <w:rFonts w:hAnsi="Georgia"/>
                  <w:color w:val="000000"/>
                </w:rPr>
                <m:t>hier</m:t>
              </m:r>
              <w:proofErr w:type="spellEnd"/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v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color w:val="000000"/>
            </w:rPr>
            <m:t>Δ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(1-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)⋅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rFonts w:hAnsi="Georgia"/>
                  <w:color w:val="000000"/>
                </w:rPr>
                <m:t>RI</m:t>
              </m:r>
            </m:e>
            <m:sub>
              <m:r>
                <w:rPr>
                  <w:rFonts w:ascii="Cambria Math" w:hAnsi="Cambria Math"/>
                  <w:color w:val="000000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inter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v</m:t>
              </m:r>
            </m:sub>
          </m:sSub>
        </m:oMath>
      </m:oMathPara>
    </w:p>
    <w:p w14:paraId="29EA4505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</w:rPr>
          <m:t>Δ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v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change in hub connectivity at region </w:t>
      </w:r>
      <m:oMath>
        <m:r>
          <w:rPr>
            <w:rFonts w:ascii="Cambria Math" w:hAnsi="Cambria Math"/>
            <w:color w:val="000000"/>
          </w:rPr>
          <m:t>v</m:t>
        </m:r>
      </m:oMath>
      <w:r w:rsidRPr="00A23252">
        <w:rPr>
          <w:rFonts w:eastAsia="source serif 4" w:hAnsi="Georgia" w:cs="source serif 4"/>
          <w:color w:val="000000"/>
        </w:rPr>
        <w:t xml:space="preserve"> post-intervention;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δ</m:t>
            </m:r>
          </m:e>
          <m:sub>
            <m:r>
              <w:rPr>
                <w:rFonts w:ascii="Cambria Math" w:hAnsi="Cambria Math"/>
                <w:color w:val="000000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=|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-</m:t>
        </m:r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</w:rPr>
          <m:t>|/</m:t>
        </m:r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*</m:t>
            </m:r>
          </m:sup>
        </m:sSubSup>
      </m:oMath>
      <w:r w:rsidRPr="00A23252">
        <w:rPr>
          <w:rFonts w:eastAsia="source serif 4" w:hAnsi="Georgia" w:cs="source serif 4"/>
          <w:color w:val="000000"/>
        </w:rPr>
        <w:t xml:space="preserve"> — normalized distance from critical operating point;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*</m:t>
            </m:r>
          </m:sup>
        </m:sSup>
      </m:oMath>
      <w:r w:rsidRPr="00A23252">
        <w:rPr>
          <w:rFonts w:eastAsia="source serif 4" w:hAnsi="Georgia" w:cs="source serif 4"/>
          <w:color w:val="000000"/>
        </w:rPr>
        <w:t xml:space="preserve"> — global structural capacity (A1);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rFonts w:hAnsi="Georgia"/>
                <w:color w:val="000000"/>
              </w:rPr>
              <m:t>RI</m:t>
            </m:r>
          </m:e>
          <m:sub>
            <m:r>
              <w:rPr>
                <w:rFonts w:ascii="Cambria Math" w:hAnsi="Cambria Math"/>
                <w:color w:val="000000"/>
              </w:rPr>
              <m:t>v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region-specific resilience contribution;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inter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,</m:t>
            </m:r>
            <m:r>
              <w:rPr>
                <w:rFonts w:ascii="Cambria Math" w:hAnsi="Cambria Math"/>
                <w:color w:val="000000"/>
              </w:rPr>
              <m:t>v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inter-modular connectivity weight.</w:t>
      </w:r>
    </w:p>
    <w:p w14:paraId="4B40B121" w14:textId="291DAAB8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tests whether hub-weighted resilience explains more FC-degradation variance than a single global coupling-gain model (nested-model comparison).</w:t>
      </w:r>
    </w:p>
    <w:p w14:paraId="0BD80AAB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8" w:name="a7_continuous_covert_consciousnes_de6cba"/>
      <w:r w:rsidRPr="00A23252">
        <w:rPr>
          <w:rFonts w:eastAsia="source serif 4" w:hAnsi="Georgia" w:cs="source serif 4"/>
          <w:b/>
          <w:color w:val="000000"/>
          <w:sz w:val="24"/>
        </w:rPr>
        <w:t>A7. Continuous Covert-Consciousness Index (CCI)</w:t>
      </w:r>
      <w:bookmarkEnd w:id="8"/>
    </w:p>
    <w:p w14:paraId="7A1E0720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m:rPr>
              <m:nor/>
            </m:rPr>
            <w:rPr>
              <w:rFonts w:hAnsi="Georgia"/>
              <w:color w:val="000000"/>
            </w:rPr>
            <m:t>CCI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κ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[</m:t>
          </m:r>
          <m:r>
            <w:rPr>
              <w:rFonts w:ascii="Cambria Math" w:hAnsi="Cambria Math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q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)])+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m:rPr>
              <m:nor/>
            </m:rPr>
            <w:rPr>
              <w:rFonts w:hAnsi="Georgia"/>
              <w:color w:val="000000"/>
            </w:rPr>
            <m:t>behavioral score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14:paraId="6D0461FD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z</m:t>
        </m:r>
        <m:r>
          <m:rPr>
            <m:sty m:val="p"/>
          </m:rPr>
          <w:rPr>
            <w:rFonts w:ascii="Cambria Math" w:hAnsi="Cambria Math"/>
            <w:color w:val="000000"/>
          </w:rPr>
          <m:t>(⋅)</m:t>
        </m:r>
      </m:oMath>
      <w:r w:rsidRPr="00A23252">
        <w:rPr>
          <w:rFonts w:eastAsia="source serif 4" w:hAnsi="Georgia" w:cs="source serif 4"/>
          <w:color w:val="000000"/>
        </w:rPr>
        <w:t xml:space="preserve"> — within-sample z-score; </w:t>
      </w:r>
      <m:oMath>
        <m:r>
          <w:rPr>
            <w:rFonts w:ascii="Cambria Math" w:hAnsi="Cambria Math"/>
            <w:color w:val="000000"/>
          </w:rPr>
          <m:t>κ</m:t>
        </m:r>
        <m:r>
          <m:rPr>
            <m:sty m:val="p"/>
          </m:rPr>
          <w:rPr>
            <w:rFonts w:ascii="Cambria Math" w:hAnsi="Cambria Math"/>
            <w:color w:val="000000"/>
          </w:rPr>
          <m:t>[</m:t>
        </m:r>
        <m:r>
          <w:rPr>
            <w:rFonts w:ascii="Cambria Math" w:hAnsi="Cambria Math"/>
            <w:color w:val="000000"/>
          </w:rPr>
          <m:t>P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q</m:t>
        </m:r>
        <m:r>
          <m:rPr>
            <m:sty m:val="p"/>
          </m:rPr>
          <w:rPr>
            <w:rFonts w:ascii="Cambria Math" w:hAnsi="Cambria Math"/>
            <w:color w:val="000000"/>
          </w:rPr>
          <m:t>)]</m:t>
        </m:r>
      </m:oMath>
      <w:r w:rsidRPr="00A23252">
        <w:rPr>
          <w:rFonts w:eastAsia="source serif 4" w:hAnsi="Georgia" w:cs="source serif 4"/>
          <w:color w:val="000000"/>
        </w:rPr>
        <w:t xml:space="preserve"> — excess kurtosis of overlap distribution (A3); </w:t>
      </w:r>
      <m:oMath>
        <m:r>
          <m:rPr>
            <m:nor/>
          </m:rPr>
          <w:rPr>
            <w:rFonts w:hAnsi="Georgia"/>
            <w:color w:val="000000"/>
          </w:rPr>
          <m:t>behavioral score</m:t>
        </m:r>
      </m:oMath>
      <w:r w:rsidRPr="00A23252">
        <w:rPr>
          <w:rFonts w:eastAsia="source serif 4" w:hAnsi="Georgia" w:cs="source serif 4"/>
          <w:color w:val="000000"/>
        </w:rPr>
        <w:t xml:space="preserve"> — source-dataset responsiveness rating;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3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composite weights (default equal, </w:t>
      </w:r>
      <m:oMath>
        <m:r>
          <m:rPr>
            <m:sty m:val="p"/>
          </m:rPr>
          <w:rPr>
            <w:rFonts w:ascii="Cambria Math" w:hAnsi="Cambria Math"/>
            <w:color w:val="000000"/>
          </w:rPr>
          <m:t>1/3</m:t>
        </m:r>
      </m:oMath>
      <w:r w:rsidRPr="00A23252">
        <w:rPr>
          <w:rFonts w:eastAsia="source serif 4" w:hAnsi="Georgia" w:cs="source serif 4"/>
          <w:color w:val="000000"/>
        </w:rPr>
        <w:t xml:space="preserve"> each; PCA-derived weighting tested as sensitivity check).</w:t>
      </w:r>
    </w:p>
    <w:p w14:paraId="3D7EDF1C" w14:textId="7B7A3A76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replaces strict binary covert/non-covert classification with a continuous, multivariate index of graded dissociation.</w:t>
      </w:r>
    </w:p>
    <w:p w14:paraId="47421BD3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9" w:name="a8_empirically_grounded_complexit_a4ddc1"/>
      <w:r w:rsidRPr="00A23252">
        <w:rPr>
          <w:rFonts w:eastAsia="source serif 4" w:hAnsi="Georgia" w:cs="source serif 4"/>
          <w:b/>
          <w:color w:val="000000"/>
          <w:sz w:val="24"/>
        </w:rPr>
        <w:t>A8. Empirically Grounded Complexity-Cost Function (</w:t>
      </w:r>
      <w:proofErr w:type="spellStart"/>
      <w:r w:rsidRPr="00A23252">
        <w:rPr>
          <w:rFonts w:eastAsia="source serif 4" w:hAnsi="Georgia" w:cs="source serif 4"/>
          <w:b/>
          <w:color w:val="000000"/>
          <w:sz w:val="24"/>
        </w:rPr>
        <w:t>F_eff</w:t>
      </w:r>
      <w:proofErr w:type="spellEnd"/>
      <w:r w:rsidRPr="00A23252">
        <w:rPr>
          <w:rFonts w:eastAsia="source serif 4" w:hAnsi="Georgia" w:cs="source serif 4"/>
          <w:b/>
          <w:color w:val="000000"/>
          <w:sz w:val="24"/>
        </w:rPr>
        <w:t>)</w:t>
      </w:r>
      <w:bookmarkEnd w:id="9"/>
    </w:p>
    <w:p w14:paraId="4E3241A5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 xml:space="preserve">Fixed </w:t>
      </w:r>
      <w:proofErr w:type="spellStart"/>
      <w:r w:rsidRPr="00A23252">
        <w:rPr>
          <w:rFonts w:eastAsia="source serif 4" w:hAnsi="Georgia" w:cs="source serif 4"/>
          <w:color w:val="000000"/>
        </w:rPr>
        <w:t>ansatz</w:t>
      </w:r>
      <w:proofErr w:type="spellEnd"/>
      <w:r w:rsidRPr="00A23252">
        <w:rPr>
          <w:rFonts w:eastAsia="source serif 4" w:hAnsi="Georgia" w:cs="source serif 4"/>
          <w:color w:val="000000"/>
        </w:rPr>
        <w:t xml:space="preserve"> (baseline, not fitted):</w:t>
      </w:r>
    </w:p>
    <w:p w14:paraId="790D4888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)≈</m:t>
          </m:r>
          <m:r>
            <w:rPr>
              <w:rFonts w:ascii="Cambria Math" w:hAnsi="Cambria Math"/>
              <w:color w:val="000000"/>
            </w:rPr>
            <m:t>αn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r>
            <w:rPr>
              <w:rFonts w:ascii="Cambria Math" w:hAnsi="Cambria Math"/>
              <w:color w:val="000000"/>
            </w:rPr>
            <m:t>βn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log⁡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r>
            <w:rPr>
              <w:rFonts w:ascii="Cambria Math" w:hAnsi="Cambria Math"/>
              <w:color w:val="000000"/>
            </w:rPr>
            <m:t>γ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r>
            <w:rPr>
              <w:rFonts w:ascii="Cambria Math" w:hAnsi="Cambria Math"/>
              <w:color w:val="000000"/>
            </w:rPr>
            <m:t>α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=0.04,</m:t>
          </m:r>
        </m:oMath>
      </m:oMathPara>
    </w:p>
    <w:p w14:paraId="0DA47156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>Empirically fitted alternative (H8 primary model):</w:t>
      </w:r>
    </w:p>
    <w:p w14:paraId="789CA151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eff,fit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w:rPr>
              <w:rFonts w:ascii="Cambria Math" w:hAnsi="Cambria Math"/>
              <w:color w:val="00000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r>
            <w:rPr>
              <w:rFonts w:ascii="Cambria Math" w:hAnsi="Cambria Math"/>
              <w:color w:val="000000"/>
            </w:rPr>
            <m:t>b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log⁡</m:t>
          </m:r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r>
            <w:rPr>
              <w:rFonts w:ascii="Cambria Math" w:hAnsi="Cambria Math"/>
              <w:color w:val="000000"/>
            </w:rPr>
            <m:t>c</m:t>
          </m:r>
          <m:rad>
            <m:radPr>
              <m:degHide m:val="1"/>
              <m:ctrlPr>
                <w:rPr>
                  <w:rFonts w:ascii="Cambria Math" w:hAnsi="Cambria Math"/>
                  <w:color w:val="000000"/>
                </w:rPr>
              </m:ctrlPr>
            </m:radPr>
            <m:deg/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r>
            <w:rPr>
              <w:rFonts w:ascii="Cambria Math" w:hAnsi="Cambria Math"/>
              <w:color w:val="000000"/>
            </w:rPr>
            <m:t>d</m:t>
          </m:r>
        </m:oMath>
      </m:oMathPara>
    </w:p>
    <w:p w14:paraId="2BE59FA8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n</m:t>
        </m:r>
      </m:oMath>
      <w:r w:rsidRPr="00A23252">
        <w:rPr>
          <w:rFonts w:eastAsia="source serif 4" w:hAnsi="Georgia" w:cs="source serif 4"/>
          <w:color w:val="000000"/>
        </w:rPr>
        <w:t xml:space="preserve"> — effective dimensionality (A2); </w:t>
      </w:r>
      <m:oMath>
        <m:r>
          <w:rPr>
            <w:rFonts w:ascii="Cambria Math" w:hAnsi="Cambria Math"/>
            <w:color w:val="000000"/>
          </w:rPr>
          <m:t>α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β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γ</m:t>
        </m:r>
      </m:oMath>
      <w:r w:rsidRPr="00A23252">
        <w:rPr>
          <w:rFonts w:eastAsia="source serif 4" w:hAnsi="Georgia" w:cs="source serif 4"/>
          <w:color w:val="000000"/>
        </w:rPr>
        <w:t xml:space="preserve"> — fixed biologically motivated constants; </w:t>
      </w:r>
      <m:oMath>
        <m:r>
          <w:rPr>
            <w:rFonts w:ascii="Cambria Math" w:hAnsi="Cambria Math"/>
            <w:color w:val="000000"/>
          </w:rPr>
          <m:t>a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b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c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d</m:t>
        </m:r>
      </m:oMath>
      <w:r w:rsidRPr="00A23252">
        <w:rPr>
          <w:rFonts w:eastAsia="source serif 4" w:hAnsi="Georgia" w:cs="source serif 4"/>
          <w:color w:val="000000"/>
        </w:rPr>
        <w:t xml:space="preserve"> — freely estimated via nonlinear least-squares against ds006623 data.</w:t>
      </w:r>
    </w:p>
    <w:p w14:paraId="384227B5" w14:textId="789CA56C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free-energy-like cost of maintaining a given dimensionality; H8 tests whether the fitted form significantly outperforms the fixed </w:t>
      </w:r>
      <w:proofErr w:type="spellStart"/>
      <w:r w:rsidRPr="00A23252">
        <w:rPr>
          <w:rFonts w:eastAsia="source serif 4" w:hAnsi="Georgia" w:cs="source serif 4"/>
          <w:color w:val="000000"/>
        </w:rPr>
        <w:t>ansatz</w:t>
      </w:r>
      <w:proofErr w:type="spellEnd"/>
      <w:r w:rsidRPr="00A23252">
        <w:rPr>
          <w:rFonts w:eastAsia="source serif 4" w:hAnsi="Georgia" w:cs="source serif 4"/>
          <w:color w:val="000000"/>
        </w:rPr>
        <w:t xml:space="preserve"> (RSS comparison, cross-validated prediction error).</w:t>
      </w:r>
    </w:p>
    <w:p w14:paraId="5CFA141B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10" w:name="a9_digital_twin_network_dynamics_77656f"/>
      <w:r w:rsidRPr="00A23252">
        <w:rPr>
          <w:rFonts w:eastAsia="source serif 4" w:hAnsi="Georgia" w:cs="source serif 4"/>
          <w:b/>
          <w:color w:val="000000"/>
          <w:sz w:val="24"/>
        </w:rPr>
        <w:t>A9. Digital-Twin Network Dynamics (</w:t>
      </w:r>
      <w:proofErr w:type="spellStart"/>
      <w:r w:rsidRPr="00A23252">
        <w:rPr>
          <w:rFonts w:eastAsia="source serif 4" w:hAnsi="Georgia" w:cs="source serif 4"/>
          <w:b/>
          <w:color w:val="000000"/>
          <w:sz w:val="24"/>
        </w:rPr>
        <w:t>Hopfield-Type</w:t>
      </w:r>
      <w:proofErr w:type="spellEnd"/>
      <w:r w:rsidRPr="00A23252">
        <w:rPr>
          <w:rFonts w:eastAsia="source serif 4" w:hAnsi="Georgia" w:cs="source serif 4"/>
          <w:b/>
          <w:color w:val="000000"/>
          <w:sz w:val="24"/>
        </w:rPr>
        <w:t>)</w:t>
      </w:r>
      <w:bookmarkEnd w:id="10"/>
    </w:p>
    <w:p w14:paraId="00E24959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=tanh 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SC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e>
          </m:d>
        </m:oMath>
      </m:oMathPara>
    </w:p>
    <w:p w14:paraId="04248047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network activity-state vector (dim N); </w:t>
      </w:r>
      <m:oMath>
        <m:r>
          <w:rPr>
            <w:rFonts w:ascii="Cambria Math" w:hAnsi="Cambria Math"/>
            <w:color w:val="000000"/>
          </w:rPr>
          <m:t>λ</m:t>
        </m:r>
      </m:oMath>
      <w:r w:rsidRPr="00A23252">
        <w:rPr>
          <w:rFonts w:eastAsia="source serif 4" w:hAnsi="Georgia" w:cs="source serif 4"/>
          <w:color w:val="000000"/>
        </w:rPr>
        <w:t xml:space="preserve"> — global or hierarchically hub-weighted coupling gain;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SC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individual structural connectivity matrix;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ξ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zero-mean Gaussian noise; </w:t>
      </w:r>
      <m:oMath>
        <m:r>
          <w:rPr>
            <w:rFonts w:ascii="Cambria Math" w:hAnsi="Cambria Math"/>
            <w:color w:val="000000"/>
          </w:rPr>
          <m:t>T</m:t>
        </m:r>
        <m:r>
          <m:rPr>
            <m:sty m:val="p"/>
          </m:rPr>
          <w:rPr>
            <w:rFonts w:ascii="Cambria Math" w:hAnsi="Cambria Math"/>
            <w:color w:val="000000"/>
          </w:rPr>
          <m:t>=5000</m:t>
        </m:r>
      </m:oMath>
      <w:r w:rsidRPr="00A23252">
        <w:rPr>
          <w:rFonts w:eastAsia="source serif 4" w:hAnsi="Georgia" w:cs="source serif 4"/>
          <w:color w:val="000000"/>
        </w:rPr>
        <w:t xml:space="preserve"> simulated steps.</w:t>
      </w:r>
    </w:p>
    <w:p w14:paraId="1A0C4D1E" w14:textId="3B3E745B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recurrent nonlinear substrate for virtual lesion (A10) and simulated stimulation (A11) manipulations.</w:t>
      </w:r>
    </w:p>
    <w:p w14:paraId="64F73274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11" w:name="a10_virtual_hub_lesion_model"/>
      <w:r w:rsidRPr="00A23252">
        <w:rPr>
          <w:rFonts w:eastAsia="source serif 4" w:hAnsi="Georgia" w:cs="source serif 4"/>
          <w:b/>
          <w:color w:val="000000"/>
          <w:sz w:val="24"/>
        </w:rPr>
        <w:t>A10. Virtual Hub Lesion Model</w:t>
      </w:r>
      <w:bookmarkEnd w:id="11"/>
    </w:p>
    <w:p w14:paraId="7A577753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m:rPr>
                  <m:nor/>
                </m:rPr>
                <w:rPr>
                  <w:rFonts w:hAnsi="Georgia"/>
                  <w:color w:val="000000"/>
                </w:rPr>
                <m:t>lesioned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w:rPr>
              <w:rFonts w:ascii="Cambria Math" w:hAnsi="Cambria Math"/>
              <w:color w:val="000000"/>
            </w:rPr>
            <m:t>δ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14:paraId="20B11F93" w14:textId="0B796509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parametric, symmetric simulated disconnection of the posterior cingulate cortex, ranging from intact (</w:t>
      </w:r>
      <m:oMath>
        <m:r>
          <w:rPr>
            <w:rFonts w:ascii="Cambria Math" w:hAnsi="Cambria Math"/>
            <w:color w:val="000000"/>
          </w:rPr>
          <m:t>δ</m:t>
        </m:r>
        <m:r>
          <m:rPr>
            <m:sty m:val="p"/>
          </m:rPr>
          <w:rPr>
            <w:rFonts w:ascii="Cambria Math" w:hAnsi="Cambria Math"/>
            <w:color w:val="000000"/>
          </w:rPr>
          <m:t>=1.00</m:t>
        </m:r>
      </m:oMath>
      <w:r w:rsidRPr="00A23252">
        <w:rPr>
          <w:rFonts w:eastAsia="source serif 4" w:hAnsi="Georgia" w:cs="source serif 4"/>
          <w:color w:val="000000"/>
        </w:rPr>
        <w:t>) to complete disconnection (</w:t>
      </w:r>
      <m:oMath>
        <m:r>
          <w:rPr>
            <w:rFonts w:ascii="Cambria Math" w:hAnsi="Cambria Math"/>
            <w:color w:val="000000"/>
          </w:rPr>
          <m:t>δ</m:t>
        </m:r>
        <m:r>
          <m:rPr>
            <m:sty m:val="p"/>
          </m:rPr>
          <w:rPr>
            <w:rFonts w:ascii="Cambria Math" w:hAnsi="Cambria Math"/>
            <w:color w:val="000000"/>
          </w:rPr>
          <m:t>=0.00</m:t>
        </m:r>
      </m:oMath>
      <w:r w:rsidRPr="00A23252">
        <w:rPr>
          <w:rFonts w:eastAsia="source serif 4" w:hAnsi="Georgia" w:cs="source serif 4"/>
          <w:color w:val="000000"/>
        </w:rPr>
        <w:t>).</w:t>
      </w:r>
    </w:p>
    <w:p w14:paraId="46150D63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12" w:name="a11_simulated_stimulation_protocols"/>
      <w:r w:rsidRPr="00A23252">
        <w:rPr>
          <w:rFonts w:eastAsia="source serif 4" w:hAnsi="Georgia" w:cs="source serif 4"/>
          <w:b/>
          <w:color w:val="000000"/>
          <w:sz w:val="24"/>
        </w:rPr>
        <w:t>A11. Simulated Stimulation Protocols</w:t>
      </w:r>
      <w:bookmarkEnd w:id="12"/>
    </w:p>
    <w:p w14:paraId="30AF77A4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lastRenderedPageBreak/>
        <w:t>Targeted (structurally guided):</w:t>
      </w:r>
    </w:p>
    <w:p w14:paraId="568D9EE6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j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j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+0.10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SC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</m:t>
                  </m:r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original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SC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e>
          </m:d>
        </m:oMath>
      </m:oMathPara>
    </w:p>
    <w:p w14:paraId="1215D2F8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>Non-specific (global amplification):</w:t>
      </w:r>
    </w:p>
    <w:p w14:paraId="6A4B3FC5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j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=1.05⋅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j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</m:oMath>
      </m:oMathPara>
    </w:p>
    <w:p w14:paraId="49D30331" w14:textId="0268B480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targeted protocol restores weakened PCC weights over 5 sessions (analogous to ccPAS); non-specific protocol amplifies DLPFC outgoing connectivity (analogous to standard rTMS) — tests structural-specificity hypothesis H2.</w:t>
      </w:r>
    </w:p>
    <w:p w14:paraId="3F2E42F2" w14:textId="77777777" w:rsidR="00BD027B" w:rsidRPr="00A23252" w:rsidRDefault="00AA7D02" w:rsidP="005D49B8">
      <w:pPr>
        <w:spacing w:after="0" w:line="276" w:lineRule="auto"/>
        <w:ind w:left="-30"/>
        <w:jc w:val="both"/>
        <w:rPr>
          <w:rFonts w:hAnsi="Georgia"/>
        </w:rPr>
      </w:pPr>
      <w:bookmarkStart w:id="13" w:name="a12_classification_model_state_se_683cef"/>
      <w:r w:rsidRPr="00A23252">
        <w:rPr>
          <w:rFonts w:eastAsia="source serif 4" w:hAnsi="Georgia" w:cs="source serif 4"/>
          <w:b/>
          <w:color w:val="000000"/>
          <w:sz w:val="24"/>
        </w:rPr>
        <w:t>A12. Classification Model (State Separability, H1)</w:t>
      </w:r>
      <w:bookmarkEnd w:id="13"/>
    </w:p>
    <w:p w14:paraId="6CCB1714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w:rPr>
              <w:rFonts w:ascii="Cambria Math" w:hAnsi="Cambria Math"/>
              <w:color w:val="000000"/>
            </w:rPr>
            <m:t>f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m:rPr>
              <m:nor/>
            </m:rPr>
            <w:rPr>
              <w:rFonts w:hAnsi="Georgia"/>
              <w:color w:val="000000"/>
            </w:rPr>
            <m:t>sign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⊤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</m:t>
              </m:r>
              <m:r>
                <w:rPr>
                  <w:rFonts w:ascii="Cambria Math" w:hAnsi="Cambria Math"/>
                  <w:color w:val="000000"/>
                </w:rPr>
                <m:t>b</m:t>
              </m:r>
            </m:e>
          </m:d>
        </m:oMath>
      </m:oMathPara>
    </w:p>
    <w:p w14:paraId="464139F3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x</m:t>
        </m:r>
      </m:oMath>
      <w:r w:rsidRPr="00A23252">
        <w:rPr>
          <w:rFonts w:eastAsia="source serif 4" w:hAnsi="Georgia" w:cs="source serif 4"/>
          <w:color w:val="000000"/>
        </w:rPr>
        <w:t xml:space="preserve"> — feature vector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F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C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sim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Q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 xml:space="preserve"> per lesion condition; </w:t>
      </w:r>
      <m:oMath>
        <m:r>
          <w:rPr>
            <w:rFonts w:ascii="Cambria Math" w:hAnsi="Cambria Math"/>
            <w:color w:val="000000"/>
          </w:rPr>
          <m:t>w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b</m:t>
        </m:r>
      </m:oMath>
      <w:r w:rsidRPr="00A23252">
        <w:rPr>
          <w:rFonts w:eastAsia="source serif 4" w:hAnsi="Georgia" w:cs="source serif 4"/>
          <w:color w:val="000000"/>
        </w:rPr>
        <w:t xml:space="preserve"> — SVM parameters (linear kernel, stratified 10-fold CV).</w:t>
      </w:r>
    </w:p>
    <w:p w14:paraId="4F58F778" w14:textId="77777777" w:rsidR="00BD027B" w:rsidRPr="00A23252" w:rsidRDefault="00AA7D02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Interpretation:</w:t>
      </w:r>
      <w:r w:rsidRPr="00A23252">
        <w:rPr>
          <w:rFonts w:eastAsia="source serif 4" w:hAnsi="Georgia" w:cs="source serif 4"/>
          <w:color w:val="000000"/>
        </w:rPr>
        <w:t xml:space="preserve"> tests separability of the five lesion-severity conditions as low-complexity stable regimes (LCSRs); reported against a permutation-derived null.</w:t>
      </w:r>
    </w:p>
    <w:p w14:paraId="65B7EE20" w14:textId="1D749034" w:rsidR="00C36F57" w:rsidRPr="00A23252" w:rsidRDefault="00C36F57" w:rsidP="005D49B8">
      <w:pPr>
        <w:spacing w:after="0" w:line="276" w:lineRule="auto"/>
        <w:ind w:left="-30"/>
        <w:jc w:val="both"/>
        <w:rPr>
          <w:rFonts w:hAnsi="Georgia"/>
        </w:rPr>
      </w:pPr>
      <w:bookmarkStart w:id="14" w:name="a14_0_harp_master_equation_full_f_7f93a9"/>
      <w:r w:rsidRPr="00A23252">
        <w:rPr>
          <w:rFonts w:eastAsia="source serif 4" w:hAnsi="Georgia" w:cs="source serif 4"/>
          <w:b/>
          <w:color w:val="000000"/>
          <w:sz w:val="24"/>
        </w:rPr>
        <w:t>A1</w:t>
      </w:r>
      <w:r w:rsidR="00B94ACA" w:rsidRPr="00A23252">
        <w:rPr>
          <w:rFonts w:eastAsia="source serif 4" w:hAnsi="Georgia" w:cs="source serif 4"/>
          <w:b/>
          <w:color w:val="000000"/>
          <w:sz w:val="24"/>
        </w:rPr>
        <w:t>3</w:t>
      </w:r>
      <w:r w:rsidRPr="00A23252">
        <w:rPr>
          <w:rFonts w:eastAsia="source serif 4" w:hAnsi="Georgia" w:cs="source serif 4"/>
          <w:b/>
          <w:color w:val="000000"/>
          <w:sz w:val="24"/>
        </w:rPr>
        <w:t>.0 — HARP Master Equation (Formal Statement)</w:t>
      </w:r>
      <w:bookmarkEnd w:id="14"/>
    </w:p>
    <w:p w14:paraId="5C3728E0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Ansi="Georgia"/>
                          <w:color w:val="000000"/>
                        </w:rPr>
                        <m:t>net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</m:t>
                  </m:r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p>
              </m:sSup>
            </m:den>
          </m:f>
        </m:oMath>
      </m:oMathPara>
    </w:p>
    <w:p w14:paraId="4B27FEC1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m:rPr>
                  <m:nor/>
                </m:rPr>
                <w:rPr>
                  <w:rFonts w:hAnsi="Georgia"/>
                  <w:color w:val="000000"/>
                </w:rPr>
                <m:t>global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h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  <m:r>
                <w:rPr>
                  <w:rFonts w:ascii="Cambria Math" w:hAnsi="Cambria Math"/>
                  <w:color w:val="000000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hub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r>
            <w:rPr>
              <w:rFonts w:ascii="Cambria Math" w:hAnsi="Cambria Math"/>
              <w:color w:val="000000"/>
            </w:rPr>
            <m:t>δ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λ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hub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h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,0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b>
              <m:r>
                <w:rPr>
                  <w:rFonts w:ascii="Cambria Math" w:hAnsi="Cambria Math"/>
                  <w:color w:val="000000"/>
                </w:rPr>
                <m:t>h</m:t>
              </m:r>
            </m:sub>
          </m:sSub>
        </m:oMath>
      </m:oMathPara>
    </w:p>
    <w:p w14:paraId="586502BC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Parameters:</w:t>
      </w:r>
      <w:r w:rsidRPr="00A23252">
        <w:rPr>
          <w:rFonts w:eastAsia="source serif 4" w:hAnsi="Georgia" w:cs="source serif 4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net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scalar network-load parameter (lesion attenuation </w:t>
      </w:r>
      <m:oMath>
        <m:r>
          <w:rPr>
            <w:rFonts w:ascii="Cambria Math" w:hAnsi="Cambria Math"/>
            <w:color w:val="000000"/>
          </w:rPr>
          <m:t>δ</m:t>
        </m:r>
      </m:oMath>
      <w:r w:rsidRPr="00A23252">
        <w:rPr>
          <w:rFonts w:eastAsia="source serif 4" w:hAnsi="Georgia" w:cs="source serif 4"/>
          <w:color w:val="000000"/>
        </w:rPr>
        <w:t xml:space="preserve"> or sedation dose); </w:t>
      </w:r>
      <m:oMath>
        <m:r>
          <w:rPr>
            <w:rFonts w:ascii="Cambria Math" w:hAnsi="Cambria Math"/>
            <w:color w:val="000000"/>
          </w:rPr>
          <m:t>v</m:t>
        </m:r>
      </m:oMath>
      <w:r w:rsidRPr="00A23252">
        <w:rPr>
          <w:rFonts w:eastAsia="source serif 4" w:hAnsi="Georgia" w:cs="source serif 4"/>
          <w:color w:val="000000"/>
        </w:rPr>
        <w:t xml:space="preserve"> — individual or node index;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min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asymptotic dimensionality bounds;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v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 xml:space="preserve"> — individual- or node-specific critical point; </w:t>
      </w:r>
      <m:oMath>
        <m:r>
          <m:rPr>
            <m:sty m:val="p"/>
          </m:rPr>
          <w:rPr>
            <w:rFonts w:ascii="Cambria Math" w:hAnsi="Cambria Math"/>
            <w:color w:val="000000"/>
          </w:rPr>
          <m:t>Δ</m:t>
        </m:r>
        <m:r>
          <w:rPr>
            <w:rFonts w:ascii="Cambria Math" w:hAnsi="Cambria Math"/>
            <w:color w:val="000000"/>
          </w:rPr>
          <m:t>T</m:t>
        </m:r>
      </m:oMath>
      <w:r w:rsidRPr="00A23252">
        <w:rPr>
          <w:rFonts w:eastAsia="source serif 4" w:hAnsi="Georgia" w:cs="source serif 4"/>
          <w:color w:val="000000"/>
        </w:rPr>
        <w:t xml:space="preserve"> — transition steepness;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w:rPr>
                <w:rFonts w:ascii="Cambria Math" w:hAnsi="Cambria Math"/>
                <w:color w:val="000000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w:rPr>
                <w:rFonts w:ascii="Cambria Math" w:hAnsi="Cambria Math"/>
                <w:color w:val="000000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,0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current and baseline coupling gain at hub </w:t>
      </w:r>
      <m:oMath>
        <m:r>
          <w:rPr>
            <w:rFonts w:ascii="Cambria Math" w:hAnsi="Cambria Math"/>
            <w:color w:val="000000"/>
          </w:rPr>
          <m:t>h</m:t>
        </m:r>
      </m:oMath>
      <w:r w:rsidRPr="00A23252">
        <w:rPr>
          <w:rFonts w:eastAsia="source serif 4" w:hAnsi="Georgia" w:cs="source serif 4"/>
          <w:color w:val="000000"/>
        </w:rPr>
        <w:t xml:space="preserve">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κ</m:t>
            </m:r>
          </m:e>
          <m:sub>
            <m:r>
              <w:rPr>
                <w:rFonts w:ascii="Cambria Math" w:hAnsi="Cambria Math"/>
                <w:color w:val="000000"/>
              </w:rPr>
              <m:t>h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— degree-centrality weight of hub </w:t>
      </w:r>
      <m:oMath>
        <m:r>
          <w:rPr>
            <w:rFonts w:ascii="Cambria Math" w:hAnsi="Cambria Math"/>
            <w:color w:val="000000"/>
          </w:rPr>
          <m:t>h</m:t>
        </m:r>
      </m:oMath>
      <w:r w:rsidRPr="00A23252">
        <w:rPr>
          <w:rFonts w:eastAsia="source serif 4" w:hAnsi="Georgia" w:cs="source serif 4"/>
          <w:color w:val="000000"/>
        </w:rPr>
        <w:t xml:space="preserve"> in the intact connectome.</w:t>
      </w:r>
    </w:p>
    <w:p w14:paraId="0A3532E7" w14:textId="30187586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Formal claim (H0a):</w:t>
      </w:r>
      <w:r w:rsidRPr="00A23252">
        <w:rPr>
          <w:rFonts w:eastAsia="source serif 4" w:hAnsi="Georgia" w:cs="source serif 4"/>
          <w:color w:val="000000"/>
        </w:rPr>
        <w:t xml:space="preserve"> HARP predicts (i) a sigmoidal, not linear or power-law, functional form of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eff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decline; (ii) inter-individual and inter-regional variation in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explained by hub-topology terms </w:t>
      </w:r>
      <m:oMath>
        <m:r>
          <w:rPr>
            <w:rFonts w:ascii="Cambria Math" w:hAnsi="Cambria Math"/>
            <w:color w:val="000000"/>
          </w:rPr>
          <m:t>δ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hub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h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>, not by a single global parameter. This is the formal object against which all cross-theoretical correspondences below are evaluated.</w:t>
      </w:r>
    </w:p>
    <w:p w14:paraId="35EE8E6D" w14:textId="617CDF63" w:rsidR="00C36F57" w:rsidRPr="00A23252" w:rsidRDefault="00C36F57" w:rsidP="005D49B8">
      <w:pPr>
        <w:spacing w:after="0" w:line="276" w:lineRule="auto"/>
        <w:ind w:left="-30"/>
        <w:jc w:val="both"/>
        <w:rPr>
          <w:rFonts w:hAnsi="Georgia"/>
        </w:rPr>
      </w:pPr>
      <w:bookmarkStart w:id="15" w:name="a14_1_correspondence_with_formal_51882f"/>
      <w:r w:rsidRPr="00A23252">
        <w:rPr>
          <w:rFonts w:eastAsia="source serif 4" w:hAnsi="Georgia" w:cs="source serif 4"/>
          <w:b/>
          <w:color w:val="000000"/>
          <w:sz w:val="24"/>
        </w:rPr>
        <w:t>A1</w:t>
      </w:r>
      <w:r w:rsidR="00B94ACA" w:rsidRPr="00A23252">
        <w:rPr>
          <w:rFonts w:eastAsia="source serif 4" w:hAnsi="Georgia" w:cs="source serif 4"/>
          <w:b/>
          <w:color w:val="000000"/>
          <w:sz w:val="24"/>
        </w:rPr>
        <w:t>3</w:t>
      </w:r>
      <w:r w:rsidRPr="00A23252">
        <w:rPr>
          <w:rFonts w:eastAsia="source serif 4" w:hAnsi="Georgia" w:cs="source serif 4"/>
          <w:b/>
          <w:color w:val="000000"/>
          <w:sz w:val="24"/>
        </w:rPr>
        <w:t>.1 — Correspondence with Formal Theories of Consciousness (IIT, GNW)</w:t>
      </w:r>
      <w:bookmarkEnd w:id="15"/>
    </w:p>
    <w:p w14:paraId="1BDAC284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Integrated Information Theory (IIT):</w:t>
      </w:r>
    </w:p>
    <w:p w14:paraId="32651067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Φ=</m:t>
          </m:r>
          <m:limLow>
            <m:limLowPr>
              <m:ctrlPr>
                <w:rPr>
                  <w:rFonts w:ascii="Cambria Math" w:hAnsi="Cambria Math"/>
                  <w:color w:val="00000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min</m:t>
              </m:r>
            </m:e>
            <m:lim>
              <m:r>
                <m:rPr>
                  <m:nor/>
                </m:rPr>
                <w:rPr>
                  <w:rFonts w:hAnsi="Georgia"/>
                  <w:color w:val="000000"/>
                </w:rPr>
                <m:t>partition </m:t>
              </m:r>
              <m:r>
                <w:rPr>
                  <w:rFonts w:ascii="Cambria Math" w:hAnsi="Cambria Math"/>
                  <w:color w:val="000000"/>
                </w:rPr>
                <m:t>P</m:t>
              </m:r>
            </m:lim>
          </m:limLow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  </m:t>
          </m:r>
          <m:r>
            <m:rPr>
              <m:nor/>
            </m:rPr>
            <w:rPr>
              <w:rFonts w:hAnsi="Georgia"/>
              <w:color w:val="000000"/>
            </w:rPr>
            <m:t>EI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→</m:t>
          </m:r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∣</m:t>
          </m:r>
          <m:r>
            <w:rPr>
              <w:rFonts w:ascii="Cambria Math" w:hAnsi="Cambria Math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14:paraId="6A332013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 xml:space="preserve">where </w:t>
      </w:r>
      <m:oMath>
        <m:r>
          <m:rPr>
            <m:nor/>
          </m:rPr>
          <w:rPr>
            <w:rFonts w:hAnsi="Georgia"/>
            <w:color w:val="000000"/>
          </w:rPr>
          <m:t>EI</m:t>
        </m:r>
        <m:r>
          <m:rPr>
            <m:sty m:val="p"/>
          </m:rPr>
          <w:rPr>
            <w:rFonts w:ascii="Cambria Math" w:hAnsi="Cambria Math"/>
            <w:color w:val="000000"/>
          </w:rPr>
          <m:t>(⋅)</m:t>
        </m:r>
      </m:oMath>
      <w:r w:rsidRPr="00A23252">
        <w:rPr>
          <w:rFonts w:eastAsia="source serif 4" w:hAnsi="Georgia" w:cs="source serif 4"/>
          <w:color w:val="000000"/>
        </w:rPr>
        <w:t xml:space="preserve"> denotes effective information transmitted across a system partition </w:t>
      </w:r>
      <m:oMath>
        <m:r>
          <w:rPr>
            <w:rFonts w:ascii="Cambria Math" w:hAnsi="Cambria Math"/>
            <w:color w:val="000000"/>
          </w:rPr>
          <m:t>P</m:t>
        </m:r>
      </m:oMath>
      <w:r w:rsidRPr="00A23252">
        <w:rPr>
          <w:rFonts w:eastAsia="source serif 4" w:hAnsi="Georgia" w:cs="source serif 4"/>
          <w:color w:val="000000"/>
        </w:rPr>
        <w:t xml:space="preserve">, and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Φ</m:t>
        </m:r>
      </m:oMath>
      <w:r w:rsidRPr="00A23252">
        <w:rPr>
          <w:rFonts w:eastAsia="source serif 4" w:hAnsi="Georgia" w:cs="source serif 4"/>
          <w:color w:val="000000"/>
        </w:rPr>
        <w:t xml:space="preserve"> is the minimum-information-partition value.</w:t>
      </w:r>
    </w:p>
    <w:p w14:paraId="46625EE1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Formal relation:</w:t>
      </w:r>
      <w:r w:rsidRPr="00A23252">
        <w:rPr>
          <w:rFonts w:eastAsia="source serif 4" w:hAnsi="Georgia" w:cs="source serif 4"/>
          <w:color w:val="000000"/>
        </w:rPr>
        <w:t xml:space="preserve"> HARP does not compute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Φ</m:t>
        </m:r>
      </m:oMath>
      <w:r w:rsidRPr="00A23252">
        <w:rPr>
          <w:rFonts w:eastAsia="source serif 4" w:hAnsi="Georgia" w:cs="source serif 4"/>
          <w:color w:val="000000"/>
        </w:rPr>
        <w:t xml:space="preserve"> or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max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. The correspondence is restricted to a </w:t>
      </w:r>
      <w:r w:rsidRPr="00A23252">
        <w:rPr>
          <w:rFonts w:eastAsia="source serif 4" w:hAnsi="Georgia" w:cs="source serif 4"/>
          <w:i/>
          <w:color w:val="000000"/>
        </w:rPr>
        <w:t>structural sufficiency conjecture</w:t>
      </w:r>
      <w:r w:rsidRPr="00A23252">
        <w:rPr>
          <w:rFonts w:eastAsia="source serif 4" w:hAnsi="Georgia" w:cs="source serif 4"/>
          <w:color w:val="000000"/>
        </w:rPr>
        <w:t>:</w:t>
      </w:r>
    </w:p>
    <w:p w14:paraId="46DEBFBF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⟶ </m:t>
          </m:r>
          <m:r>
            <m:rPr>
              <m:nor/>
            </m:rPr>
            <w:rPr>
              <w:rFonts w:hAnsi="Georgia"/>
              <w:color w:val="000000"/>
            </w:rPr>
            <m:t>tractable proxies for the causal architecture that 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Φ</m:t>
          </m:r>
          <m:r>
            <m:rPr>
              <m:nor/>
            </m:rPr>
            <w:rPr>
              <w:rFonts w:hAnsi="Georgia"/>
              <w:color w:val="000000"/>
            </w:rPr>
            <m:t> presumes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 Φ⇍(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14:paraId="6A6ECC57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 xml:space="preserve">The one-directional arrow denotes that HARP's estimators are proposed as </w:t>
      </w:r>
      <w:r w:rsidRPr="00A23252">
        <w:rPr>
          <w:rFonts w:eastAsia="source serif 4" w:hAnsi="Georgia" w:cs="source serif 4"/>
          <w:i/>
          <w:color w:val="000000"/>
        </w:rPr>
        <w:t>necessary-condition proxies</w:t>
      </w:r>
      <w:r w:rsidRPr="00A23252">
        <w:rPr>
          <w:rFonts w:eastAsia="source serif 4" w:hAnsi="Georgia" w:cs="source serif 4"/>
          <w:color w:val="000000"/>
        </w:rPr>
        <w:t xml:space="preserve"> for IIT's causal-structural substrate, not as computationally equivalent or reducible quantities. No formula for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Φ</m:t>
        </m:r>
      </m:oMath>
      <w:r w:rsidRPr="00A23252">
        <w:rPr>
          <w:rFonts w:eastAsia="source serif 4" w:hAnsi="Georgia" w:cs="source serif 4"/>
          <w:color w:val="000000"/>
        </w:rPr>
        <w:t xml:space="preserve"> is derived from, or derivable from, Equation A14.0.</w:t>
      </w:r>
    </w:p>
    <w:p w14:paraId="37A20A29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Global Neuronal Workspace (GNW):</w:t>
      </w:r>
      <w:r w:rsidRPr="00A23252">
        <w:rPr>
          <w:rFonts w:eastAsia="source serif 4" w:hAnsi="Georgia" w:cs="source serif 4"/>
          <w:color w:val="000000"/>
        </w:rPr>
        <w:t xml:space="preserve"> GNW's "ignition" threshold is qualitatively, not formally, analogous to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in Equation A14.0:</w:t>
      </w:r>
    </w:p>
    <w:p w14:paraId="5E6C9797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m:rPr>
              <m:nor/>
            </m:rPr>
            <w:rPr>
              <w:rFonts w:hAnsi="Georgia"/>
              <w:color w:val="000000"/>
            </w:rPr>
            <m:t>Ignition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m:rPr>
              <m:scr m:val="double-struck"/>
            </m:rPr>
            <w:rPr>
              <w:rFonts w:ascii="Cambria Math" w:hAnsi="Cambria Math"/>
              <w:color w:val="000000"/>
            </w:rPr>
            <m:t>1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broadcast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)&gt;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GNW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m:rPr>
              <m:nor/>
            </m:rPr>
            <w:rPr>
              <w:rFonts w:hAnsi="Georgia"/>
              <w:color w:val="000000"/>
            </w:rPr>
            <m:t>(binary, workspace-level)</m:t>
          </m:r>
        </m:oMath>
      </m:oMathPara>
    </w:p>
    <w:p w14:paraId="07006DC0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) </m:t>
          </m:r>
          <m:r>
            <m:rPr>
              <m:nor/>
            </m:rPr>
            <w:rPr>
              <w:rFonts w:hAnsi="Georgia"/>
              <w:color w:val="000000"/>
            </w:rPr>
            <m:t>crosses 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) </m:t>
          </m:r>
          <m:r>
            <m:rPr>
              <m:nor/>
            </m:rPr>
            <w:rPr>
              <w:rFonts w:hAnsi="Georgia"/>
              <w:color w:val="000000"/>
            </w:rPr>
            <m:t>(continuous, sigmoidal, connectome-level)</m:t>
          </m:r>
        </m:oMath>
      </m:oMathPara>
    </w:p>
    <w:p w14:paraId="44750689" w14:textId="686C7498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Formal distinction:</w:t>
      </w:r>
      <w:r w:rsidRPr="00A23252">
        <w:rPr>
          <w:rFonts w:eastAsia="source serif 4" w:hAnsi="Georgia" w:cs="source serif 4"/>
          <w:color w:val="000000"/>
        </w:rPr>
        <w:t xml:space="preserve"> GNW's ignition threshold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GNW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is a scalar operating on a broadcast-information variable without hub-hierarchical decomposition; HARP's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v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 xml:space="preserve"> is explicitly a function of hub topology (Equation A14.0, second line). The two thresholds are structurally analogous (both define a critical-crossing event) but are not the same mathematical object and cannot be substituted for one another.</w:t>
      </w:r>
    </w:p>
    <w:p w14:paraId="5888892A" w14:textId="5109EEE0" w:rsidR="00C36F57" w:rsidRPr="00A23252" w:rsidRDefault="00C36F57" w:rsidP="005D49B8">
      <w:pPr>
        <w:spacing w:after="0" w:line="276" w:lineRule="auto"/>
        <w:ind w:left="-30"/>
        <w:jc w:val="both"/>
        <w:rPr>
          <w:rFonts w:hAnsi="Georgia"/>
        </w:rPr>
      </w:pPr>
      <w:bookmarkStart w:id="16" w:name="a14_2_correspondence_with_computa_8d3c56"/>
      <w:r w:rsidRPr="00A23252">
        <w:rPr>
          <w:rFonts w:eastAsia="source serif 4" w:hAnsi="Georgia" w:cs="source serif 4"/>
          <w:b/>
          <w:color w:val="000000"/>
          <w:sz w:val="24"/>
        </w:rPr>
        <w:lastRenderedPageBreak/>
        <w:t>A1</w:t>
      </w:r>
      <w:r w:rsidR="00B94ACA" w:rsidRPr="00A23252">
        <w:rPr>
          <w:rFonts w:eastAsia="source serif 4" w:hAnsi="Georgia" w:cs="source serif 4"/>
          <w:b/>
          <w:color w:val="000000"/>
          <w:sz w:val="24"/>
        </w:rPr>
        <w:t>3</w:t>
      </w:r>
      <w:r w:rsidRPr="00A23252">
        <w:rPr>
          <w:rFonts w:eastAsia="source serif 4" w:hAnsi="Georgia" w:cs="source serif 4"/>
          <w:b/>
          <w:color w:val="000000"/>
          <w:sz w:val="24"/>
        </w:rPr>
        <w:t xml:space="preserve">.2 — Correspondence with Computational </w:t>
      </w:r>
      <w:proofErr w:type="spellStart"/>
      <w:r w:rsidRPr="00A23252">
        <w:rPr>
          <w:rFonts w:eastAsia="source serif 4" w:hAnsi="Georgia" w:cs="source serif 4"/>
          <w:b/>
          <w:color w:val="000000"/>
          <w:sz w:val="24"/>
        </w:rPr>
        <w:t>Neurodynamic</w:t>
      </w:r>
      <w:proofErr w:type="spellEnd"/>
      <w:r w:rsidRPr="00A23252">
        <w:rPr>
          <w:rFonts w:eastAsia="source serif 4" w:hAnsi="Georgia" w:cs="source serif 4"/>
          <w:b/>
          <w:color w:val="000000"/>
          <w:sz w:val="24"/>
        </w:rPr>
        <w:t xml:space="preserve"> Models of DoC</w:t>
      </w:r>
      <w:bookmarkEnd w:id="16"/>
    </w:p>
    <w:p w14:paraId="0902F078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Neural Field Theory (NFT):</w:t>
      </w:r>
    </w:p>
    <w:p w14:paraId="50CFE7C3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w:rPr>
              <w:rFonts w:ascii="Cambria Math" w:hAnsi="Cambria Math"/>
              <w:color w:val="000000"/>
            </w:rPr>
            <m:t>τ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=-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r>
            <w:rPr>
              <w:rFonts w:ascii="Cambria Math" w:hAnsi="Cambria Math"/>
              <w:color w:val="000000"/>
            </w:rPr>
            <m:t>f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ej</m:t>
              </m:r>
            </m:sub>
          </m:sSub>
          <m:r>
            <m:rPr>
              <m:nor/>
            </m:rPr>
            <w:rPr>
              <w:rFonts w:hAnsi="Georgia"/>
              <w:color w:val="000000"/>
            </w:rPr>
            <m:t> fitted to EEG spectral data</m:t>
          </m:r>
        </m:oMath>
      </m:oMathPara>
    </w:p>
    <w:p w14:paraId="52FAF835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Formal relation to HARP:</w:t>
      </w:r>
      <w:r w:rsidRPr="00A23252">
        <w:rPr>
          <w:rFonts w:eastAsia="source serif 4" w:hAnsi="Georgia" w:cs="source serif 4"/>
          <w:color w:val="000000"/>
        </w:rPr>
        <w:t xml:space="preserve"> NFT's coupling weights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ej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are fitted directly to electrophysiological (EEG) spectra and are not derived from structural connectivity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SC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>. Formally:</w:t>
      </w:r>
    </w:p>
    <w:p w14:paraId="0110F754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ej</m:t>
              </m:r>
            </m:sub>
            <m:sup>
              <m:r>
                <m:rPr>
                  <m:nor/>
                </m:rPr>
                <w:rPr>
                  <w:rFonts w:hAnsi="Georgia"/>
                  <w:color w:val="000000"/>
                </w:rPr>
                <m:t>NFT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</w:rPr>
            <m:t>≠</m:t>
          </m:r>
          <m:r>
            <w:rPr>
              <w:rFonts w:ascii="Cambria Math" w:hAnsi="Cambria Math"/>
              <w:color w:val="000000"/>
            </w:rPr>
            <m:t>g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) </m:t>
          </m:r>
          <m:r>
            <m:rPr>
              <m:nor/>
            </m:rPr>
            <w:rPr>
              <w:rFonts w:hAnsi="Georgia"/>
              <w:color w:val="000000"/>
            </w:rPr>
            <m:t>for any explicit function </m:t>
          </m:r>
          <m:r>
            <w:rPr>
              <w:rFonts w:ascii="Cambria Math" w:hAnsi="Cambria Math"/>
              <w:color w:val="000000"/>
            </w:rPr>
            <m:t>g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r>
            <m:rPr>
              <m:nor/>
            </m:rPr>
            <w:rPr>
              <w:rFonts w:hAnsi="Georgia"/>
              <w:color w:val="000000"/>
            </w:rPr>
            <m:t>whereas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w:rPr>
              <w:rFonts w:ascii="Cambria Math" w:hAnsi="Cambria Math"/>
              <w:color w:val="000000"/>
            </w:rPr>
            <m:t>g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  <m:r>
            <m:rPr>
              <m:nor/>
            </m:rPr>
            <w:rPr>
              <w:rFonts w:hAnsi="Georgia"/>
              <w:color w:val="000000"/>
            </w:rPr>
            <m:t> in HARP (via </m:t>
          </m:r>
          <m:r>
            <w:rPr>
              <w:rFonts w:ascii="Cambria Math" w:hAnsi="Cambria Math"/>
              <w:color w:val="000000"/>
            </w:rPr>
            <m:t>δ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λ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hub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14:paraId="02ECFE7A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>The two models are complementary rather than nested: HARP is a special case restricted to the structural-topology channel, holding local biophysical dynamics constant, whereas NFT holds structural topology implicit and varies local biophysical parameters.</w:t>
      </w:r>
    </w:p>
    <w:p w14:paraId="58EB4132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Dynamic Mean Field (DMF):</w:t>
      </w:r>
    </w:p>
    <w:p w14:paraId="54310D50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=-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+(1-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  <m:r>
            <w:rPr>
              <w:rFonts w:ascii="Cambria Math" w:hAnsi="Cambria Math"/>
              <w:color w:val="000000"/>
            </w:rPr>
            <m:t>γ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EE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r>
            <w:rPr>
              <w:rFonts w:ascii="Cambria Math" w:hAnsi="Cambria Math"/>
              <w:color w:val="000000"/>
            </w:rPr>
            <m:t>G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</m:t>
              </m:r>
            </m:sub>
          </m:sSub>
        </m:oMath>
      </m:oMathPara>
    </w:p>
    <w:p w14:paraId="78D8A81A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Formal relation:</w:t>
      </w:r>
      <w:r w:rsidRPr="00A23252">
        <w:rPr>
          <w:rFonts w:eastAsia="source serif 4" w:hAnsi="Georgia" w:cs="source serif 4"/>
          <w:color w:val="000000"/>
        </w:rPr>
        <w:t xml:space="preserve"> DMF treats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SC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as a fixed input and varies local excitability parameters (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EE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γ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0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); HARP treats local dynamics as fixed (via the constant-form </w:t>
      </w:r>
      <m:oMath>
        <m:r>
          <m:rPr>
            <m:sty m:val="p"/>
          </m:rPr>
          <w:rPr>
            <w:rFonts w:ascii="Cambria Math" w:hAnsi="Cambria Math"/>
            <w:color w:val="000000"/>
          </w:rPr>
          <m:t>tanh</m:t>
        </m:r>
      </m:oMath>
      <w:r w:rsidRPr="00A23252">
        <w:rPr>
          <w:rFonts w:eastAsia="source serif 4" w:hAnsi="Georgia" w:cs="source serif 4"/>
          <w:color w:val="000000"/>
        </w:rPr>
        <w:t xml:space="preserve"> update in Equation A9) and varies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SC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>-derived hub terms. This constitutes a formal duality:</w:t>
      </w:r>
    </w:p>
    <w:p w14:paraId="2AB5D8D2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m:rPr>
              <m:nor/>
            </m:rPr>
            <w:rPr>
              <w:rFonts w:hAnsi="Georgia"/>
              <w:color w:val="000000"/>
            </w:rPr>
            <m:t>DMF: 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rFonts w:hAnsi="Georgia"/>
              <w:color w:val="000000"/>
            </w:rPr>
            <m:t>const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 {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γ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}=</m:t>
          </m:r>
          <m:r>
            <m:rPr>
              <m:nor/>
            </m:rPr>
            <w:rPr>
              <w:rFonts w:hAnsi="Georgia"/>
              <w:color w:val="000000"/>
            </w:rPr>
            <m:t>variable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⟺ </m:t>
          </m:r>
          <m:r>
            <m:rPr>
              <m:nor/>
            </m:rPr>
            <w:rPr>
              <w:rFonts w:hAnsi="Georgia"/>
              <w:color w:val="000000"/>
            </w:rPr>
            <m:t>HARP: 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{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nor/>
                </m:rPr>
                <w:rPr>
                  <w:rFonts w:hAnsi="Georgia"/>
                  <w:color w:val="000000"/>
                </w:rPr>
                <m:t>EE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γ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}</m:t>
          </m:r>
          <m:r>
            <m:rPr>
              <m:nor/>
            </m:rPr>
            <w:rPr>
              <w:rFonts w:hAnsi="Georgia"/>
              <w:color w:val="000000"/>
            </w:rPr>
            <m:t>-analog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m:rPr>
              <m:nor/>
            </m:rPr>
            <w:rPr>
              <w:rFonts w:hAnsi="Georgia"/>
              <w:color w:val="000000"/>
            </w:rPr>
            <m:t>const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r>
            <m:rPr>
              <m:nor/>
            </m:rPr>
            <w:rPr>
              <w:rFonts w:hAnsi="Georgia"/>
              <w:color w:val="000000"/>
            </w:rPr>
            <m:t>-derived 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m:rPr>
              <m:nor/>
            </m:rPr>
            <w:rPr>
              <w:rFonts w:hAnsi="Georgia"/>
              <w:color w:val="000000"/>
            </w:rPr>
            <m:t>variable</m:t>
          </m:r>
        </m:oMath>
      </m:oMathPara>
    </w:p>
    <w:p w14:paraId="1D4BAF02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Turbulent Dynamics:</w:t>
      </w:r>
    </w:p>
    <w:p w14:paraId="7B859479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w:rPr>
              <w:rFonts w:ascii="Cambria Math" w:hAnsi="Cambria Math"/>
              <w:color w:val="000000"/>
            </w:rPr>
            <m:t>D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r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δv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)-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δv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1/2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∼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p>
              <m:r>
                <w:rPr>
                  <w:rFonts w:ascii="Cambria Math" w:hAnsi="Cambria Math"/>
                  <w:color w:val="000000"/>
                </w:rPr>
                <m:t>h</m:t>
              </m:r>
            </m:sup>
          </m:sSup>
        </m:oMath>
      </m:oMathPara>
    </w:p>
    <w:p w14:paraId="19DB8CEC" w14:textId="0A2A6D92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 xml:space="preserve">where </w:t>
      </w:r>
      <m:oMath>
        <m:r>
          <w:rPr>
            <w:rFonts w:ascii="Cambria Math" w:hAnsi="Cambria Math"/>
            <w:color w:val="000000"/>
          </w:rPr>
          <m:t>D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r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 xml:space="preserve"> is a structure function of BOLD-signal gradients and </w:t>
      </w:r>
      <m:oMath>
        <m:r>
          <w:rPr>
            <w:rFonts w:ascii="Cambria Math" w:hAnsi="Cambria Math"/>
            <w:color w:val="000000"/>
          </w:rPr>
          <m:t>h</m:t>
        </m:r>
      </m:oMath>
      <w:r w:rsidRPr="00A23252">
        <w:rPr>
          <w:rFonts w:eastAsia="source serif 4" w:hAnsi="Georgia" w:cs="source serif 4"/>
          <w:color w:val="000000"/>
        </w:rPr>
        <w:t xml:space="preserve"> is a scaling exponent (Hurst-like). </w:t>
      </w:r>
      <w:r w:rsidRPr="00A23252">
        <w:rPr>
          <w:rFonts w:eastAsia="source serif 4" w:hAnsi="Georgia" w:cs="source serif 4"/>
          <w:b/>
          <w:color w:val="000000"/>
        </w:rPr>
        <w:t>Formal relation:</w:t>
      </w:r>
      <w:r w:rsidRPr="00A23252">
        <w:rPr>
          <w:rFonts w:eastAsia="source serif 4" w:hAnsi="Georgia" w:cs="source serif 4"/>
          <w:color w:val="000000"/>
        </w:rPr>
        <w:t xml:space="preserve"> No direct mapping exists between the turbulent scaling exponent </w:t>
      </w:r>
      <m:oMath>
        <m:r>
          <w:rPr>
            <w:rFonts w:ascii="Cambria Math" w:hAnsi="Cambria Math"/>
            <w:color w:val="000000"/>
          </w:rPr>
          <m:t>h</m:t>
        </m:r>
      </m:oMath>
      <w:r w:rsidRPr="00A23252">
        <w:rPr>
          <w:rFonts w:eastAsia="source serif 4" w:hAnsi="Georgia" w:cs="source serif 4"/>
          <w:color w:val="000000"/>
        </w:rPr>
        <w:t xml:space="preserve"> and HARP's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v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A23252">
        <w:rPr>
          <w:rFonts w:eastAsia="source serif 4" w:hAnsi="Georgia" w:cs="source serif 4"/>
          <w:color w:val="000000"/>
        </w:rPr>
        <w:t xml:space="preserve"> or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m:rPr>
                <m:nor/>
              </m:rPr>
              <w:rPr>
                <w:rFonts w:hAnsi="Georgia"/>
                <w:color w:val="000000"/>
              </w:rPr>
              <m:t>eff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>; Turbulent Dynamics describes continuous spatial energy cascade without a discrete critical-point construct, whereas HARP's Equation A14.0 is explicitly threshold-bearing. The two models are therefore formally non-nested and non-reducible to one another; comparison is restricted to qualitative positioning (Section 2 of the theoretical review).</w:t>
      </w:r>
    </w:p>
    <w:p w14:paraId="16B9EEF0" w14:textId="3A3189F6" w:rsidR="00C36F57" w:rsidRPr="00A23252" w:rsidRDefault="00C36F57" w:rsidP="005D49B8">
      <w:pPr>
        <w:spacing w:after="0" w:line="276" w:lineRule="auto"/>
        <w:ind w:left="-30"/>
        <w:jc w:val="both"/>
        <w:rPr>
          <w:rFonts w:hAnsi="Georgia"/>
        </w:rPr>
      </w:pPr>
      <w:bookmarkStart w:id="17" w:name="a14_3_correspondence_with_discret_ec2896"/>
      <w:r w:rsidRPr="00A23252">
        <w:rPr>
          <w:rFonts w:eastAsia="source serif 4" w:hAnsi="Georgia" w:cs="source serif 4"/>
          <w:b/>
          <w:color w:val="000000"/>
          <w:sz w:val="24"/>
        </w:rPr>
        <w:t>A1</w:t>
      </w:r>
      <w:r w:rsidR="00A914A6" w:rsidRPr="00A23252">
        <w:rPr>
          <w:rFonts w:eastAsia="source serif 4" w:hAnsi="Georgia" w:cs="source serif 4"/>
          <w:b/>
          <w:color w:val="000000"/>
          <w:sz w:val="24"/>
        </w:rPr>
        <w:t>3</w:t>
      </w:r>
      <w:r w:rsidRPr="00A23252">
        <w:rPr>
          <w:rFonts w:eastAsia="source serif 4" w:hAnsi="Georgia" w:cs="source serif 4"/>
          <w:b/>
          <w:color w:val="000000"/>
          <w:sz w:val="24"/>
        </w:rPr>
        <w:t>.3 — Correspondence with Discrete and Continuous Psychological Models of Altered States of Consciousness (ASC)</w:t>
      </w:r>
      <w:bookmarkEnd w:id="17"/>
    </w:p>
    <w:p w14:paraId="76101F50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Tart's discrete state-transition model (qualitative, non-formalized in original source):</w:t>
      </w:r>
    </w:p>
    <w:p w14:paraId="638E2DC1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rFonts w:hAnsi="Georgia"/>
                  <w:color w:val="000000"/>
                </w:rPr>
                <m:t>State</m:t>
              </m:r>
            </m:e>
            <m:sub>
              <m:r>
                <w:rPr>
                  <w:rFonts w:ascii="Cambria Math" w:hAnsi="Cambria Math"/>
                  <w:color w:val="000000"/>
                </w:rPr>
                <m:t>A</m:t>
              </m:r>
            </m:sub>
          </m:sSub>
          <m:limUpp>
            <m:limUppPr>
              <m:ctrlPr>
                <w:rPr>
                  <w:rFonts w:ascii="Cambria Math" w:hAnsi="Cambria Math"/>
                  <w:color w:val="00000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color w:val="000000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discontinuous reorganization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 xml:space="preserve"> </m:t>
                  </m:r>
                </m:e>
              </m:phant>
            </m:lim>
          </m:limUpp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rFonts w:hAnsi="Georgia"/>
                  <w:color w:val="000000"/>
                </w:rPr>
                <m:t>State</m:t>
              </m:r>
            </m:e>
            <m:sub>
              <m:r>
                <w:rPr>
                  <w:rFonts w:ascii="Cambria Math" w:hAnsi="Cambria Math"/>
                  <w:color w:val="000000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r>
            <m:rPr>
              <m:nor/>
            </m:rPr>
            <w:rPr>
              <w:rFonts w:hAnsi="Georgia"/>
              <w:color w:val="000000"/>
            </w:rPr>
            <m:t>no intermediate stable configuration</m:t>
          </m:r>
        </m:oMath>
      </m:oMathPara>
    </w:p>
    <w:p w14:paraId="607E4251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Formal HARP re-expression:</w:t>
      </w:r>
      <w:r w:rsidRPr="00A23252">
        <w:rPr>
          <w:rFonts w:eastAsia="source serif 4" w:hAnsi="Georgia" w:cs="source serif 4"/>
          <w:color w:val="000000"/>
        </w:rPr>
        <w:t xml:space="preserve"> Tart's discrete "jump" corresponds to the limiting case of Equation A14.0 as </w:t>
      </w:r>
      <m:oMath>
        <m:r>
          <m:rPr>
            <m:sty m:val="p"/>
          </m:rPr>
          <w:rPr>
            <w:rFonts w:ascii="Cambria Math" w:hAnsi="Cambria Math"/>
            <w:color w:val="000000"/>
          </w:rPr>
          <m:t>Δ</m:t>
        </m:r>
        <m:r>
          <w:rPr>
            <w:rFonts w:ascii="Cambria Math" w:hAnsi="Cambria Math"/>
            <w:color w:val="000000"/>
          </w:rPr>
          <m:t>T</m:t>
        </m:r>
        <m:r>
          <m:rPr>
            <m:sty m:val="p"/>
          </m:rPr>
          <w:rPr>
            <w:rFonts w:ascii="Cambria Math" w:hAnsi="Cambria Math"/>
            <w:color w:val="000000"/>
          </w:rPr>
          <m:t>→0</m:t>
        </m:r>
      </m:oMath>
      <w:r w:rsidRPr="00A23252">
        <w:rPr>
          <w:rFonts w:eastAsia="source serif 4" w:hAnsi="Georgia" w:cs="source serif 4"/>
          <w:color w:val="000000"/>
        </w:rPr>
        <w:t>:</w:t>
      </w:r>
    </w:p>
    <w:p w14:paraId="66C30B45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limLow>
            <m:limLowPr>
              <m:ctrlPr>
                <w:rPr>
                  <w:rFonts w:ascii="Cambria Math" w:hAnsi="Cambria Math"/>
                  <w:color w:val="00000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Δ</m:t>
              </m:r>
              <m:r>
                <w:rPr>
                  <w:rFonts w:ascii="Cambria Math" w:hAnsi="Cambria Math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  <w:color w:val="000000"/>
            </w:rPr>
            <m:t> </m:t>
          </m:r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Ansi="Georgia"/>
                          <w:color w:val="000000"/>
                        </w:rPr>
                        <m:t>net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m:rPr>
              <m:scr m:val="double-struck"/>
            </m:rPr>
            <w:rPr>
              <w:rFonts w:ascii="Cambria Math" w:hAnsi="Cambria Math"/>
              <w:color w:val="000000"/>
            </w:rPr>
            <m:t>1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net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m:rPr>
              <m:nor/>
            </m:rPr>
            <w:rPr>
              <w:rFonts w:hAnsi="Georgia"/>
              <w:color w:val="000000"/>
            </w:rPr>
            <m:t>(step function; Tart's discrete limit)</m:t>
          </m:r>
        </m:oMath>
      </m:oMathPara>
    </w:p>
    <w:p w14:paraId="63943AD8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proofErr w:type="spellStart"/>
      <w:r w:rsidRPr="00A23252">
        <w:rPr>
          <w:rFonts w:eastAsia="source serif 4" w:hAnsi="Georgia" w:cs="source serif 4"/>
          <w:b/>
          <w:color w:val="000000"/>
        </w:rPr>
        <w:t>Martindale's</w:t>
      </w:r>
      <w:proofErr w:type="spellEnd"/>
      <w:r w:rsidRPr="00A23252">
        <w:rPr>
          <w:rFonts w:eastAsia="source serif 4" w:hAnsi="Georgia" w:cs="source serif 4"/>
          <w:b/>
          <w:color w:val="000000"/>
        </w:rPr>
        <w:t xml:space="preserve"> continuous regression model (qualitative, non-formalized in original source):</w:t>
      </w:r>
    </w:p>
    <w:p w14:paraId="48A25612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m:rPr>
              <m:nor/>
            </m:rPr>
            <w:rPr>
              <w:rFonts w:hAnsi="Georgia"/>
              <w:color w:val="000000"/>
            </w:rPr>
            <m:t>State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)≈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rFonts w:hAnsi="Georgia"/>
                  <w:color w:val="000000"/>
                </w:rPr>
                <m:t>State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-</m:t>
          </m:r>
          <m:r>
            <w:rPr>
              <w:rFonts w:ascii="Cambria Math" w:hAnsi="Cambria Math"/>
              <w:color w:val="00000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m:rPr>
              <m:nor/>
            </m:rPr>
            <w:rPr>
              <w:rFonts w:hAnsi="Georgia"/>
              <w:color w:val="000000"/>
            </w:rPr>
            <m:t>(smooth, monotonic drift, no threshold)</m:t>
          </m:r>
        </m:oMath>
      </m:oMathPara>
    </w:p>
    <w:p w14:paraId="16CCD612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Formal HARP re-expression:</w:t>
      </w:r>
      <w:r w:rsidRPr="00A23252">
        <w:rPr>
          <w:rFonts w:eastAsia="source serif 4" w:hAnsi="Georgia" w:cs="source serif 4"/>
          <w:color w:val="000000"/>
        </w:rPr>
        <w:t xml:space="preserve"> </w:t>
      </w:r>
      <w:proofErr w:type="spellStart"/>
      <w:r w:rsidRPr="00A23252">
        <w:rPr>
          <w:rFonts w:eastAsia="source serif 4" w:hAnsi="Georgia" w:cs="source serif 4"/>
          <w:color w:val="000000"/>
        </w:rPr>
        <w:t>Martindale's</w:t>
      </w:r>
      <w:proofErr w:type="spellEnd"/>
      <w:r w:rsidRPr="00A23252">
        <w:rPr>
          <w:rFonts w:eastAsia="source serif 4" w:hAnsi="Georgia" w:cs="source serif 4"/>
          <w:color w:val="000000"/>
        </w:rPr>
        <w:t xml:space="preserve"> continuous drift corresponds to the limiting case of Equation A14.0 as </w:t>
      </w:r>
      <m:oMath>
        <m:r>
          <m:rPr>
            <m:sty m:val="p"/>
          </m:rPr>
          <w:rPr>
            <w:rFonts w:ascii="Cambria Math" w:hAnsi="Cambria Math"/>
            <w:color w:val="000000"/>
          </w:rPr>
          <m:t>Δ</m:t>
        </m:r>
        <m:r>
          <w:rPr>
            <w:rFonts w:ascii="Cambria Math" w:hAnsi="Cambria Math"/>
            <w:color w:val="000000"/>
          </w:rPr>
          <m:t>T</m:t>
        </m:r>
        <m:r>
          <m:rPr>
            <m:sty m:val="p"/>
          </m:rPr>
          <w:rPr>
            <w:rFonts w:ascii="Cambria Math" w:hAnsi="Cambria Math"/>
            <w:color w:val="000000"/>
          </w:rPr>
          <m:t>→∞</m:t>
        </m:r>
      </m:oMath>
      <w:r w:rsidRPr="00A23252">
        <w:rPr>
          <w:rFonts w:eastAsia="source serif 4" w:hAnsi="Georgia" w:cs="source serif 4"/>
          <w:color w:val="000000"/>
        </w:rPr>
        <w:t>:</w:t>
      </w:r>
    </w:p>
    <w:p w14:paraId="4B3D28BC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limLow>
            <m:limLowPr>
              <m:ctrlPr>
                <w:rPr>
                  <w:rFonts w:ascii="Cambria Math" w:hAnsi="Cambria Math"/>
                  <w:color w:val="00000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Δ</m:t>
              </m:r>
              <m:r>
                <w:rPr>
                  <w:rFonts w:ascii="Cambria Math" w:hAnsi="Cambria Math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→∞</m:t>
              </m:r>
            </m:lim>
          </m:limLow>
          <m:r>
            <m:rPr>
              <m:sty m:val="p"/>
            </m:rPr>
            <w:rPr>
              <w:rFonts w:ascii="Cambria Math" w:hAnsi="Cambria Math"/>
              <w:color w:val="000000"/>
            </w:rPr>
            <m:t> </m:t>
          </m:r>
          <m:r>
            <w:rPr>
              <w:rFonts w:ascii="Cambria Math" w:hAnsi="Cambria Math"/>
              <w:color w:val="000000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hAnsi="Georgia"/>
                          <w:color w:val="000000"/>
                        </w:rPr>
                        <m:t>net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≈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-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hAnsi="Georgia"/>
                      <w:color w:val="000000"/>
                    </w:rPr>
                    <m:t>net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4Δ</m:t>
              </m:r>
              <m:r>
                <w:rPr>
                  <w:rFonts w:ascii="Cambria Math" w:hAnsi="Cambria Math"/>
                  <w:color w:val="000000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m:rPr>
              <m:nor/>
            </m:rPr>
            <w:rPr>
              <w:rFonts w:hAnsi="Georgia"/>
              <w:color w:val="000000"/>
            </w:rPr>
            <m:t>(locally linear approximation; Martindale's continuous limit)</m:t>
          </m:r>
        </m:oMath>
      </m:oMathPara>
    </w:p>
    <w:p w14:paraId="045096FB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Unified formal statement:</w:t>
      </w:r>
      <w:r w:rsidRPr="00A23252">
        <w:rPr>
          <w:rFonts w:eastAsia="source serif 4" w:hAnsi="Georgia" w:cs="source serif 4"/>
          <w:color w:val="000000"/>
        </w:rPr>
        <w:t xml:space="preserve"> HARP's sigmoid (Equation A14.0) is a one-parameter (</w:t>
      </w:r>
      <m:oMath>
        <m:r>
          <m:rPr>
            <m:sty m:val="p"/>
          </m:rPr>
          <w:rPr>
            <w:rFonts w:ascii="Cambria Math" w:hAnsi="Cambria Math"/>
            <w:color w:val="000000"/>
          </w:rPr>
          <m:t>Δ</m:t>
        </m:r>
        <m:r>
          <w:rPr>
            <w:rFonts w:ascii="Cambria Math" w:hAnsi="Cambria Math"/>
            <w:color w:val="000000"/>
          </w:rPr>
          <m:t>T</m:t>
        </m:r>
      </m:oMath>
      <w:r w:rsidRPr="00A23252">
        <w:rPr>
          <w:rFonts w:eastAsia="source serif 4" w:hAnsi="Georgia" w:cs="source serif 4"/>
          <w:color w:val="000000"/>
        </w:rPr>
        <w:t>) family that formally interpolates between Tart's discrete model (</w:t>
      </w:r>
      <m:oMath>
        <m:r>
          <m:rPr>
            <m:sty m:val="p"/>
          </m:rPr>
          <w:rPr>
            <w:rFonts w:ascii="Cambria Math" w:hAnsi="Cambria Math"/>
            <w:color w:val="000000"/>
          </w:rPr>
          <m:t>Δ</m:t>
        </m:r>
        <m:r>
          <w:rPr>
            <w:rFonts w:ascii="Cambria Math" w:hAnsi="Cambria Math"/>
            <w:color w:val="000000"/>
          </w:rPr>
          <m:t>T</m:t>
        </m:r>
        <m:r>
          <m:rPr>
            <m:sty m:val="p"/>
          </m:rPr>
          <w:rPr>
            <w:rFonts w:ascii="Cambria Math" w:hAnsi="Cambria Math"/>
            <w:color w:val="000000"/>
          </w:rPr>
          <m:t>→0</m:t>
        </m:r>
      </m:oMath>
      <w:r w:rsidRPr="00A23252">
        <w:rPr>
          <w:rFonts w:eastAsia="source serif 4" w:hAnsi="Georgia" w:cs="source serif 4"/>
          <w:color w:val="000000"/>
        </w:rPr>
        <w:t>) and Martindale's continuous model (</w:t>
      </w:r>
      <m:oMath>
        <m:r>
          <m:rPr>
            <m:sty m:val="p"/>
          </m:rPr>
          <w:rPr>
            <w:rFonts w:ascii="Cambria Math" w:hAnsi="Cambria Math"/>
            <w:color w:val="000000"/>
          </w:rPr>
          <m:t>Δ</m:t>
        </m:r>
        <m:r>
          <w:rPr>
            <w:rFonts w:ascii="Cambria Math" w:hAnsi="Cambria Math"/>
            <w:color w:val="000000"/>
          </w:rPr>
          <m:t>T</m:t>
        </m:r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r>
          <m:rPr>
            <m:sty m:val="p"/>
          </m:rPr>
          <w:rPr>
            <w:rFonts w:ascii="Cambria Math" w:hAnsi="Cambria Math"/>
            <w:color w:val="000000"/>
          </w:rPr>
          <w:lastRenderedPageBreak/>
          <m:t>∞</m:t>
        </m:r>
      </m:oMath>
      <w:r w:rsidRPr="00A23252">
        <w:rPr>
          <w:rFonts w:eastAsia="source serif 4" w:hAnsi="Georgia" w:cs="source serif 4"/>
          <w:color w:val="000000"/>
        </w:rPr>
        <w:t>), providing the quantitative synthesis that the discrete-continuous debate in the ASC literature did not formalize:</w:t>
      </w:r>
    </w:p>
    <w:p w14:paraId="22BCD721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m:rPr>
              <m:nor/>
            </m:rPr>
            <w:rPr>
              <w:rFonts w:hAnsi="Georgia"/>
              <w:color w:val="000000"/>
            </w:rPr>
            <m:t>Tart (discrete)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limUpp>
            <m:limUppPr>
              <m:ctrlPr>
                <w:rPr>
                  <w:rFonts w:ascii="Cambria Math" w:hAnsi="Cambria Math"/>
                  <w:color w:val="00000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←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color w:val="000000"/>
                    </w:rPr>
                  </m:ctrlPr>
                </m:phant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 xml:space="preserve">→0 </m:t>
                  </m:r>
                </m:e>
              </m:phant>
            </m:lim>
          </m:limUpp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m:rPr>
              <m:nor/>
            </m:rPr>
            <w:rPr>
              <w:rFonts w:hAnsi="Georgia"/>
              <w:color w:val="000000"/>
            </w:rPr>
            <m:t>HARP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(Δ</m:t>
          </m:r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) </m:t>
          </m:r>
          <m:limUpp>
            <m:limUppPr>
              <m:ctrlPr>
                <w:rPr>
                  <w:rFonts w:ascii="Cambria Math" w:hAnsi="Cambria Math"/>
                  <w:color w:val="00000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  <w:color w:val="000000"/>
                    </w:rPr>
                  </m:ctrlPr>
                </m:phant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Δ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 xml:space="preserve">→∞ </m:t>
                  </m:r>
                </m:e>
              </m:phant>
            </m:lim>
          </m:limUpp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m:rPr>
              <m:nor/>
            </m:rPr>
            <w:rPr>
              <w:rFonts w:hAnsi="Georgia"/>
              <w:color w:val="000000"/>
            </w:rPr>
            <m:t>Martindale (continuous)</m:t>
          </m:r>
        </m:oMath>
      </m:oMathPara>
    </w:p>
    <w:p w14:paraId="2AD15236" w14:textId="77090C30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 xml:space="preserve">This formal nesting is a structural observation about the mathematical limits of Equation A14.0 and does not constitute empirical validation of either historical psychological model; </w:t>
      </w:r>
      <m:oMath>
        <m:r>
          <m:rPr>
            <m:sty m:val="p"/>
          </m:rPr>
          <w:rPr>
            <w:rFonts w:ascii="Cambria Math" w:hAnsi="Cambria Math"/>
            <w:color w:val="000000"/>
          </w:rPr>
          <m:t>Δ</m:t>
        </m:r>
        <m:r>
          <w:rPr>
            <w:rFonts w:ascii="Cambria Math" w:hAnsi="Cambria Math"/>
            <w:color w:val="000000"/>
          </w:rPr>
          <m:t>T</m:t>
        </m:r>
      </m:oMath>
      <w:r w:rsidRPr="00A23252">
        <w:rPr>
          <w:rFonts w:eastAsia="source serif 4" w:hAnsi="Georgia" w:cs="source serif 4"/>
          <w:color w:val="000000"/>
        </w:rPr>
        <w:t xml:space="preserve"> remains an empirically estimated parameter (H0a) rather than a value assumed a priori.</w:t>
      </w:r>
    </w:p>
    <w:p w14:paraId="3B4BB3D0" w14:textId="0AD9C875" w:rsidR="00C36F57" w:rsidRPr="00A23252" w:rsidRDefault="00C36F57" w:rsidP="005D49B8">
      <w:pPr>
        <w:spacing w:after="0" w:line="276" w:lineRule="auto"/>
        <w:ind w:left="-30"/>
        <w:jc w:val="both"/>
        <w:rPr>
          <w:rFonts w:hAnsi="Georgia"/>
        </w:rPr>
      </w:pPr>
      <w:bookmarkStart w:id="18" w:name="a14_4_correspondence_with_nonline_7609d6"/>
      <w:r w:rsidRPr="00A23252">
        <w:rPr>
          <w:rFonts w:eastAsia="source serif 4" w:hAnsi="Georgia" w:cs="source serif 4"/>
          <w:b/>
          <w:color w:val="000000"/>
          <w:sz w:val="24"/>
        </w:rPr>
        <w:t>A1</w:t>
      </w:r>
      <w:r w:rsidR="00A914A6" w:rsidRPr="00A23252">
        <w:rPr>
          <w:rFonts w:eastAsia="source serif 4" w:hAnsi="Georgia" w:cs="source serif 4"/>
          <w:b/>
          <w:color w:val="000000"/>
          <w:sz w:val="24"/>
        </w:rPr>
        <w:t>3</w:t>
      </w:r>
      <w:r w:rsidRPr="00A23252">
        <w:rPr>
          <w:rFonts w:eastAsia="source serif 4" w:hAnsi="Georgia" w:cs="source serif 4"/>
          <w:b/>
          <w:color w:val="000000"/>
          <w:sz w:val="24"/>
        </w:rPr>
        <w:t>.4 — Correspondence with Nonlinear-Dynamical Psychological Models (Logistic-Map Affect Models)</w:t>
      </w:r>
      <w:bookmarkEnd w:id="18"/>
    </w:p>
    <w:p w14:paraId="623E165D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Logistic map (discrete iterative affect model):</w:t>
      </w:r>
    </w:p>
    <w:p w14:paraId="02ECEBE5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r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(1-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), </m:t>
          </m:r>
          <m:r>
            <w:rPr>
              <w:rFonts w:ascii="Cambria Math" w:hAnsi="Cambria Math"/>
              <w:color w:val="000000"/>
            </w:rPr>
            <m:t>r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∈(1,3)</m:t>
          </m:r>
          <m:r>
            <m:rPr>
              <m:nor/>
            </m:rPr>
            <w:rPr>
              <w:rFonts w:hAnsi="Georgia"/>
              <w:color w:val="000000"/>
            </w:rPr>
            <m:t> for convergent/periodic regimes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∈[0,1]</m:t>
          </m:r>
        </m:oMath>
      </m:oMathPara>
    </w:p>
    <w:p w14:paraId="56225834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 xml:space="preserve">where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is a normalized affective or behavioral state variable and </w:t>
      </w:r>
      <m:oMath>
        <m:r>
          <w:rPr>
            <w:rFonts w:ascii="Cambria Math" w:hAnsi="Cambria Math"/>
            <w:color w:val="000000"/>
          </w:rPr>
          <m:t>r</m:t>
        </m:r>
      </m:oMath>
      <w:r w:rsidRPr="00A23252">
        <w:rPr>
          <w:rFonts w:eastAsia="source serif 4" w:hAnsi="Georgia" w:cs="source serif 4"/>
          <w:color w:val="000000"/>
        </w:rPr>
        <w:t xml:space="preserve"> is an intrinsic growth-rate parameter.</w:t>
      </w:r>
      <w:bookmarkStart w:id="19" w:name="fnref1"/>
      <w:bookmarkEnd w:id="19"/>
      <w:r w:rsidRPr="00A23252">
        <w:rPr>
          <w:rFonts w:hAnsi="Georgia"/>
        </w:rPr>
        <w:fldChar w:fldCharType="begin"/>
      </w:r>
      <w:r w:rsidRPr="00A23252">
        <w:rPr>
          <w:rFonts w:hAnsi="Georgia"/>
        </w:rPr>
        <w:instrText>HYPERLINK \l "fn1" \h</w:instrText>
      </w:r>
      <w:r w:rsidRPr="00A23252">
        <w:rPr>
          <w:rFonts w:hAnsi="Georgia"/>
        </w:rPr>
      </w:r>
      <w:r w:rsidRPr="00A23252">
        <w:rPr>
          <w:rFonts w:hAnsi="Georgia"/>
        </w:rPr>
        <w:fldChar w:fldCharType="separate"/>
      </w:r>
      <w:r w:rsidRPr="00A23252">
        <w:rPr>
          <w:rFonts w:eastAsia="source sans 3" w:hAnsi="Georgia" w:cs="source sans 3"/>
          <w:u w:val="single"/>
          <w:vertAlign w:val="superscript"/>
        </w:rPr>
        <w:t>[1]</w:t>
      </w:r>
      <w:r w:rsidRPr="00A23252">
        <w:rPr>
          <w:rFonts w:hAnsi="Georgia"/>
        </w:rPr>
        <w:fldChar w:fldCharType="end"/>
      </w:r>
      <w:bookmarkStart w:id="20" w:name="fnref2"/>
      <w:bookmarkEnd w:id="20"/>
      <w:r w:rsidRPr="00A23252">
        <w:rPr>
          <w:rFonts w:hAnsi="Georgia"/>
        </w:rPr>
        <w:fldChar w:fldCharType="begin"/>
      </w:r>
      <w:r w:rsidRPr="00A23252">
        <w:rPr>
          <w:rFonts w:hAnsi="Georgia"/>
        </w:rPr>
        <w:instrText>HYPERLINK \l "fn2" \h</w:instrText>
      </w:r>
      <w:r w:rsidRPr="00A23252">
        <w:rPr>
          <w:rFonts w:hAnsi="Georgia"/>
        </w:rPr>
      </w:r>
      <w:r w:rsidRPr="00A23252">
        <w:rPr>
          <w:rFonts w:hAnsi="Georgia"/>
        </w:rPr>
        <w:fldChar w:fldCharType="separate"/>
      </w:r>
      <w:r w:rsidRPr="00A23252">
        <w:rPr>
          <w:rFonts w:eastAsia="source sans 3" w:hAnsi="Georgia" w:cs="source sans 3"/>
          <w:u w:val="single"/>
          <w:vertAlign w:val="superscript"/>
        </w:rPr>
        <w:t>[2]</w:t>
      </w:r>
      <w:r w:rsidRPr="00A23252">
        <w:rPr>
          <w:rFonts w:hAnsi="Georgia"/>
        </w:rPr>
        <w:fldChar w:fldCharType="end"/>
      </w:r>
    </w:p>
    <w:p w14:paraId="7E9E9C94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Formal relation to HARP:</w:t>
      </w:r>
      <w:r w:rsidRPr="00A23252">
        <w:rPr>
          <w:rFonts w:eastAsia="source serif 4" w:hAnsi="Georgia" w:cs="source serif 4"/>
          <w:color w:val="000000"/>
        </w:rPr>
        <w:t xml:space="preserve"> Both HARP (Equation A9, </w:t>
      </w:r>
      <w:proofErr w:type="spellStart"/>
      <w:r w:rsidRPr="00A23252">
        <w:rPr>
          <w:rFonts w:eastAsia="source serif 4" w:hAnsi="Georgia" w:cs="source serif 4"/>
          <w:color w:val="000000"/>
        </w:rPr>
        <w:t>Hopfield-type</w:t>
      </w:r>
      <w:proofErr w:type="spellEnd"/>
      <w:r w:rsidRPr="00A23252">
        <w:rPr>
          <w:rFonts w:eastAsia="source serif 4" w:hAnsi="Georgia" w:cs="source serif 4"/>
          <w:color w:val="000000"/>
        </w:rPr>
        <w:t xml:space="preserve"> update) and the logistic map are discrete-time nonlinear recursive systems converging toward a fixed point or bounded attractor under sub-critical parameter regimes:</w:t>
      </w:r>
    </w:p>
    <w:p w14:paraId="25E9DADE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m:rPr>
              <m:nor/>
            </m:rPr>
            <w:rPr>
              <w:rFonts w:hAnsi="Georgia"/>
              <w:color w:val="000000"/>
            </w:rPr>
            <m:t>Logistic map: 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), 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w:rPr>
              <w:rFonts w:ascii="Cambria Math" w:hAnsi="Cambria Math"/>
              <w:color w:val="000000"/>
            </w:rPr>
            <m:t>rX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(1-</m:t>
          </m:r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) ⟺ </m:t>
          </m:r>
          <m:r>
            <m:rPr>
              <m:nor/>
            </m:rPr>
            <w:rPr>
              <w:rFonts w:hAnsi="Georgia"/>
              <w:color w:val="000000"/>
            </w:rPr>
            <m:t>HARP substrate: 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=tanh⁡(</m:t>
          </m:r>
          <m:r>
            <w:rPr>
              <w:rFonts w:ascii="Cambria Math" w:hAnsi="Cambria Math"/>
              <w:color w:val="000000"/>
            </w:rPr>
            <m:t>λ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SC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ξ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14:paraId="177E4F4B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b/>
          <w:color w:val="000000"/>
        </w:rPr>
        <w:t>Formal distinction:</w:t>
      </w:r>
      <w:r w:rsidRPr="00A23252">
        <w:rPr>
          <w:rFonts w:eastAsia="source serif 4" w:hAnsi="Georgia" w:cs="source serif 4"/>
          <w:color w:val="000000"/>
        </w:rPr>
        <w:t xml:space="preserve"> The logistic map operates on a scalar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∈[0,1]</m:t>
        </m:r>
      </m:oMath>
      <w:r w:rsidRPr="00A23252">
        <w:rPr>
          <w:rFonts w:eastAsia="source serif 4" w:hAnsi="Georgia" w:cs="source serif 4"/>
          <w:color w:val="000000"/>
        </w:rPr>
        <w:t xml:space="preserve"> with a single control parameter </w:t>
      </w:r>
      <m:oMath>
        <m:r>
          <w:rPr>
            <w:rFonts w:ascii="Cambria Math" w:hAnsi="Cambria Math"/>
            <w:color w:val="000000"/>
          </w:rPr>
          <m:t>r</m:t>
        </m:r>
      </m:oMath>
      <w:r w:rsidRPr="00A23252">
        <w:rPr>
          <w:rFonts w:eastAsia="source serif 4" w:hAnsi="Georgia" w:cs="source serif 4"/>
          <w:color w:val="000000"/>
        </w:rPr>
        <w:t xml:space="preserve">, with no structural-connectivity input; HARP's substrate (Equation A9) operates on a vector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000000"/>
              </w:rPr>
              <m:t>R</m:t>
            </m:r>
          </m:e>
          <m:sup>
            <m:r>
              <w:rPr>
                <w:rFonts w:ascii="Cambria Math" w:hAnsi="Cambria Math"/>
                <w:color w:val="000000"/>
              </w:rPr>
              <m:t>N</m:t>
            </m:r>
          </m:sup>
        </m:sSup>
      </m:oMath>
      <w:r w:rsidRPr="00A23252">
        <w:rPr>
          <w:rFonts w:eastAsia="source serif 4" w:hAnsi="Georgia" w:cs="source serif 4"/>
          <w:color w:val="000000"/>
        </w:rPr>
        <w:t xml:space="preserve"> with connectome-derived coupling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SC</m:t>
            </m:r>
          </m:sub>
        </m:sSub>
      </m:oMath>
      <w:r w:rsidRPr="00A23252">
        <w:rPr>
          <w:rFonts w:eastAsia="source serif 4" w:hAnsi="Georgia" w:cs="source serif 4"/>
          <w:color w:val="000000"/>
        </w:rPr>
        <w:t xml:space="preserve"> and hierarchical hub modulation (Equation A14.0). The logistic map is therefore a strict dimensional and structural reduction of the HARP substrate:</w:t>
      </w:r>
    </w:p>
    <w:p w14:paraId="63B49F26" w14:textId="77777777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m:oMathPara>
        <m:oMath>
          <m:r>
            <m:rPr>
              <m:nor/>
            </m:rPr>
            <w:rPr>
              <w:rFonts w:hAnsi="Georgia"/>
              <w:color w:val="000000"/>
            </w:rPr>
            <m:t>Logistic map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= </m:t>
          </m:r>
          <m:r>
            <m:rPr>
              <m:nor/>
            </m:rPr>
            <w:rPr>
              <w:rFonts w:hAnsi="Georgia"/>
              <w:color w:val="000000"/>
            </w:rPr>
            <m:t>HARP substrate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36"/>
                </w:rPr>
                <m:t>|</m:t>
              </m:r>
            </m:e>
            <m:sub>
              <m:r>
                <w:rPr>
                  <w:rFonts w:ascii="Cambria Math" w:hAnsi="Cambria Math"/>
                  <w:color w:val="00000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=1, 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SC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→</m:t>
              </m:r>
              <m:r>
                <w:rPr>
                  <w:rFonts w:ascii="Cambria Math" w:hAnsi="Cambria Math"/>
                  <w:color w:val="00000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→0</m:t>
              </m:r>
            </m:sub>
          </m:sSub>
        </m:oMath>
      </m:oMathPara>
    </w:p>
    <w:p w14:paraId="78C872CB" w14:textId="0AD244A1" w:rsidR="00C36F57" w:rsidRPr="00A23252" w:rsidRDefault="00C36F57" w:rsidP="005D49B8">
      <w:pPr>
        <w:spacing w:after="0" w:line="276" w:lineRule="auto"/>
        <w:jc w:val="both"/>
        <w:rPr>
          <w:rFonts w:hAnsi="Georgia"/>
        </w:rPr>
      </w:pPr>
      <w:r w:rsidRPr="00A23252">
        <w:rPr>
          <w:rFonts w:eastAsia="source serif 4" w:hAnsi="Georgia" w:cs="source serif 4"/>
          <w:color w:val="000000"/>
        </w:rPr>
        <w:t xml:space="preserve">This reduction is presented as a formal limiting case for expository purposes only; it is not proposed as an empirically testable equivalence, since the logistic map's bifurcation cascade (period-doubling route to chaos at </w:t>
      </w:r>
      <m:oMath>
        <m:r>
          <w:rPr>
            <w:rFonts w:ascii="Cambria Math" w:hAnsi="Cambria Math"/>
            <w:color w:val="000000"/>
          </w:rPr>
          <m:t>r</m:t>
        </m:r>
        <m:r>
          <m:rPr>
            <m:sty m:val="p"/>
          </m:rPr>
          <w:rPr>
            <w:rFonts w:ascii="Cambria Math" w:hAnsi="Cambria Math"/>
            <w:color w:val="000000"/>
          </w:rPr>
          <m:t>&gt;3</m:t>
        </m:r>
      </m:oMath>
      <w:r w:rsidRPr="00A23252">
        <w:rPr>
          <w:rFonts w:eastAsia="source serif 4" w:hAnsi="Georgia" w:cs="source serif 4"/>
          <w:color w:val="000000"/>
        </w:rPr>
        <w:t>) has no established counterpart in the HARP parameter regime under study (sub-critical, single-transition dynamics).</w:t>
      </w:r>
    </w:p>
    <w:p w14:paraId="3CE8D9D8" w14:textId="68CAC266" w:rsidR="00C36F57" w:rsidRPr="00A23252" w:rsidRDefault="00C36F57" w:rsidP="005D49B8">
      <w:pPr>
        <w:spacing w:after="0" w:line="276" w:lineRule="auto"/>
        <w:ind w:left="-30"/>
        <w:jc w:val="both"/>
        <w:rPr>
          <w:rFonts w:hAnsi="Georgia"/>
        </w:rPr>
      </w:pPr>
      <w:bookmarkStart w:id="21" w:name="a14_5_summary_correspondence_tabl_202d1f"/>
      <w:r w:rsidRPr="00A23252">
        <w:rPr>
          <w:rFonts w:eastAsia="source serif 4" w:hAnsi="Georgia" w:cs="source serif 4"/>
          <w:b/>
          <w:color w:val="000000"/>
          <w:sz w:val="24"/>
        </w:rPr>
        <w:t>A1</w:t>
      </w:r>
      <w:r w:rsidR="007D411A" w:rsidRPr="00A23252">
        <w:rPr>
          <w:rFonts w:eastAsia="source serif 4" w:hAnsi="Georgia" w:cs="source serif 4"/>
          <w:b/>
          <w:color w:val="000000"/>
          <w:sz w:val="24"/>
        </w:rPr>
        <w:t>3</w:t>
      </w:r>
      <w:r w:rsidRPr="00A23252">
        <w:rPr>
          <w:rFonts w:eastAsia="source serif 4" w:hAnsi="Georgia" w:cs="source serif 4"/>
          <w:b/>
          <w:color w:val="000000"/>
          <w:sz w:val="24"/>
        </w:rPr>
        <w:t>.5 — Summary Correspondence Table (Formal Status)</w:t>
      </w:r>
      <w:bookmarkEnd w:id="2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24"/>
        <w:gridCol w:w="2266"/>
        <w:gridCol w:w="3190"/>
        <w:gridCol w:w="1724"/>
      </w:tblGrid>
      <w:tr w:rsidR="00C36F57" w:rsidRPr="00A23252" w14:paraId="1798E97A" w14:textId="77777777" w:rsidTr="001C5B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A164C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Theoretical framework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651DA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Formal object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EF5C8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Relation to HARP Eq. A14.0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57CE79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Reducibility</w:t>
            </w:r>
          </w:p>
        </w:tc>
      </w:tr>
      <w:tr w:rsidR="00C36F57" w:rsidRPr="00A23252" w14:paraId="32CA954D" w14:textId="77777777" w:rsidTr="001C5B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1A7EA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IIT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3977F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Φ=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min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 </m:t>
                </m:r>
                <m:r>
                  <m:rPr>
                    <m:nor/>
                  </m:rPr>
                  <w:rPr>
                    <w:rFonts w:hAnsi="Georgia"/>
                    <w:color w:val="000000"/>
                    <w:sz w:val="17"/>
                  </w:rPr>
                  <m:t>EI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(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→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∣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7B4A9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One-directional proxy conjecture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8A82D9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Non-reducible</w:t>
            </w:r>
          </w:p>
        </w:tc>
      </w:tr>
      <w:tr w:rsidR="00C36F57" w:rsidRPr="00A23252" w14:paraId="61F7D973" w14:textId="77777777" w:rsidTr="001C5B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E75FA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GNW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0CAD8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hAnsi="Georgia"/>
                    <w:color w:val="000000"/>
                    <w:sz w:val="17"/>
                  </w:rPr>
                  <m:t>Ignition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(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)=</m:t>
                </m:r>
                <m:r>
                  <m:rPr>
                    <m:scr m:val="double-struck"/>
                  </m:rPr>
                  <w:rPr>
                    <w:rFonts w:ascii="Cambria Math" w:hAnsi="Cambria Math"/>
                    <w:color w:val="000000"/>
                    <w:sz w:val="17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hAnsi="Georgia"/>
                        <w:color w:val="000000"/>
                        <w:sz w:val="17"/>
                      </w:rPr>
                      <m:t>broadcast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&gt;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C27DD5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Qualitative threshold analogy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624B83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Non-reducible</w:t>
            </w:r>
          </w:p>
        </w:tc>
      </w:tr>
      <w:tr w:rsidR="00C36F57" w:rsidRPr="00A23252" w14:paraId="3D615F7A" w14:textId="77777777" w:rsidTr="001C5B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DEA2A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NFT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D41D9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  <w:sz w:val="17"/>
                  </w:rPr>
                  <m:t>τ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+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(∑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ej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3ED95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Complementary, non-nested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BE5F78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Non-reducible</w:t>
            </w:r>
          </w:p>
        </w:tc>
      </w:tr>
      <w:tr w:rsidR="00C36F57" w:rsidRPr="00A23252" w14:paraId="0D6AE8FA" w14:textId="77777777" w:rsidTr="001C5B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89FD7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DMF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8D0C1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+(1-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)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γ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D20D4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Formal duality (fixed/variable swap)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D13F02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Non-reducible</w:t>
            </w:r>
          </w:p>
        </w:tc>
      </w:tr>
      <w:tr w:rsidR="00C36F57" w:rsidRPr="00A23252" w14:paraId="30477BD0" w14:textId="77777777" w:rsidTr="001C5B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8699A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Turbulent Dynamics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82E48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  <w:sz w:val="17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(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)∼</m:t>
                </m:r>
                <m:sSup>
                  <m:sSup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h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46B3A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No direct mapping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E27FA3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Non-reducible</w:t>
            </w:r>
          </w:p>
        </w:tc>
      </w:tr>
      <w:tr w:rsidR="00C36F57" w:rsidRPr="00A23252" w14:paraId="2B8E3CAA" w14:textId="77777777" w:rsidTr="001C5B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5AE1C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Tart (discrete ASC)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52FF3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Step-function transition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D7DEE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 xml:space="preserve">Exact limiting case,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17"/>
                </w:rPr>
                <m:t>Δ</m:t>
              </m:r>
              <m:r>
                <w:rPr>
                  <w:rFonts w:ascii="Cambria Math" w:hAnsi="Cambria Math"/>
                  <w:color w:val="000000"/>
                  <w:sz w:val="17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17"/>
                </w:rPr>
                <m:t>→0</m:t>
              </m:r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F4E8A9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erif 4" w:hAnsi="Georgia" w:cs="source serif 4"/>
                <w:b/>
                <w:color w:val="000000"/>
                <w:sz w:val="17"/>
              </w:rPr>
              <w:t>Reducible (limit)</w:t>
            </w:r>
          </w:p>
        </w:tc>
      </w:tr>
      <w:tr w:rsidR="00C36F57" w:rsidRPr="00A23252" w14:paraId="280B6971" w14:textId="77777777" w:rsidTr="001C5B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A121E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proofErr w:type="spellStart"/>
            <w:r w:rsidRPr="00A23252">
              <w:rPr>
                <w:rFonts w:eastAsia="source sans 3" w:hAnsi="Georgia" w:cs="source sans 3"/>
                <w:color w:val="000000"/>
                <w:sz w:val="17"/>
              </w:rPr>
              <w:t>Martindale</w:t>
            </w:r>
            <w:proofErr w:type="spellEnd"/>
            <w:r w:rsidRPr="00A23252">
              <w:rPr>
                <w:rFonts w:eastAsia="source sans 3" w:hAnsi="Georgia" w:cs="source sans 3"/>
                <w:color w:val="000000"/>
                <w:sz w:val="17"/>
              </w:rPr>
              <w:t xml:space="preserve"> (continuous ASC)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55B08A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Linear drift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254FB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 xml:space="preserve">Exact limiting case,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17"/>
                </w:rPr>
                <m:t>Δ</m:t>
              </m:r>
              <m:r>
                <w:rPr>
                  <w:rFonts w:ascii="Cambria Math" w:hAnsi="Cambria Math"/>
                  <w:color w:val="000000"/>
                  <w:sz w:val="17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17"/>
                </w:rPr>
                <m:t>→∞</m:t>
              </m:r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62F987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erif 4" w:hAnsi="Georgia" w:cs="source serif 4"/>
                <w:b/>
                <w:color w:val="000000"/>
                <w:sz w:val="17"/>
              </w:rPr>
              <w:t>Reducible (limit)</w:t>
            </w:r>
          </w:p>
        </w:tc>
      </w:tr>
      <w:tr w:rsidR="00C36F57" w:rsidRPr="00A23252" w14:paraId="0DF168BF" w14:textId="77777777" w:rsidTr="001C5B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8CCC5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>Logistic map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48EAA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+1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=</m:t>
                </m:r>
                <m:r>
                  <w:rPr>
                    <w:rFonts w:ascii="Cambria Math" w:hAnsi="Cambria Math"/>
                    <w:color w:val="000000"/>
                    <w:sz w:val="17"/>
                  </w:rPr>
                  <m:t>r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1D537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ans 3" w:hAnsi="Georgia" w:cs="source sans 3"/>
                <w:color w:val="000000"/>
                <w:sz w:val="17"/>
              </w:rPr>
              <w:t xml:space="preserve">Dimensional/structural reduction, </w:t>
            </w:r>
            <m:oMath>
              <m:r>
                <w:rPr>
                  <w:rFonts w:ascii="Cambria Math" w:hAnsi="Cambria Math"/>
                  <w:color w:val="000000"/>
                  <w:sz w:val="17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17"/>
                </w:rPr>
                <m:t>=1</m:t>
              </m:r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6D876F" w14:textId="77777777" w:rsidR="00C36F57" w:rsidRPr="00A23252" w:rsidRDefault="00C36F57" w:rsidP="005D49B8">
            <w:pPr>
              <w:spacing w:line="276" w:lineRule="auto"/>
              <w:jc w:val="both"/>
              <w:rPr>
                <w:rFonts w:hAnsi="Georgia"/>
              </w:rPr>
            </w:pPr>
            <w:r w:rsidRPr="00A23252">
              <w:rPr>
                <w:rFonts w:eastAsia="source serif 4" w:hAnsi="Georgia" w:cs="source serif 4"/>
                <w:b/>
                <w:color w:val="000000"/>
                <w:sz w:val="17"/>
              </w:rPr>
              <w:t>Reducible (limit)</w:t>
            </w:r>
          </w:p>
        </w:tc>
      </w:tr>
    </w:tbl>
    <w:p w14:paraId="1044C53F" w14:textId="77777777" w:rsidR="007D411A" w:rsidRPr="00A23252" w:rsidRDefault="00C36F57" w:rsidP="005D49B8">
      <w:pPr>
        <w:spacing w:after="0" w:line="276" w:lineRule="auto"/>
        <w:jc w:val="both"/>
        <w:rPr>
          <w:rFonts w:eastAsia="source serif 4" w:hAnsi="Georgia" w:cs="source serif 4"/>
          <w:color w:val="000000"/>
        </w:rPr>
      </w:pPr>
      <w:r w:rsidRPr="00A23252">
        <w:rPr>
          <w:rFonts w:eastAsia="source serif 4" w:hAnsi="Georgia" w:cs="source serif 4"/>
          <w:b/>
          <w:color w:val="000000"/>
        </w:rPr>
        <w:t>Overall formal conclusion:</w:t>
      </w:r>
      <w:r w:rsidRPr="00A23252">
        <w:rPr>
          <w:rFonts w:eastAsia="source serif 4" w:hAnsi="Georgia" w:cs="source serif 4"/>
          <w:color w:val="000000"/>
        </w:rPr>
        <w:t xml:space="preserve"> HARP admits exact mathematical reduction to three historically important low-dimensional psychological/dynamical models (Tart, </w:t>
      </w:r>
      <w:proofErr w:type="spellStart"/>
      <w:r w:rsidRPr="00A23252">
        <w:rPr>
          <w:rFonts w:eastAsia="source serif 4" w:hAnsi="Georgia" w:cs="source serif 4"/>
          <w:color w:val="000000"/>
        </w:rPr>
        <w:t>Martindale</w:t>
      </w:r>
      <w:proofErr w:type="spellEnd"/>
      <w:r w:rsidRPr="00A23252">
        <w:rPr>
          <w:rFonts w:eastAsia="source serif 4" w:hAnsi="Georgia" w:cs="source serif 4"/>
          <w:color w:val="000000"/>
        </w:rPr>
        <w:t>, logistic map) as limiting or degenerate cases of Equation A14.0, while remaining formally non-reducible to, and non-</w:t>
      </w:r>
      <w:r w:rsidRPr="00A23252">
        <w:rPr>
          <w:rFonts w:eastAsia="source serif 4" w:hAnsi="Georgia" w:cs="source serif 4"/>
          <w:color w:val="000000"/>
        </w:rPr>
        <w:lastRenderedPageBreak/>
        <w:t>derivable from, the three major computational-</w:t>
      </w:r>
      <w:proofErr w:type="spellStart"/>
      <w:r w:rsidRPr="00A23252">
        <w:rPr>
          <w:rFonts w:eastAsia="source serif 4" w:hAnsi="Georgia" w:cs="source serif 4"/>
          <w:color w:val="000000"/>
        </w:rPr>
        <w:t>neurodynamic</w:t>
      </w:r>
      <w:proofErr w:type="spellEnd"/>
      <w:r w:rsidRPr="00A23252">
        <w:rPr>
          <w:rFonts w:eastAsia="source serif 4" w:hAnsi="Georgia" w:cs="source serif 4"/>
          <w:color w:val="000000"/>
        </w:rPr>
        <w:t xml:space="preserve"> alternatives (NFT, DMF, Turbulent Dynamics) and to the two major formal theories of consciousness (IIT, GNW), for which only qualitative or one-directional conjectural relations can be stated at the current stage of model development.</w:t>
      </w:r>
    </w:p>
    <w:p w14:paraId="0DA6E483" w14:textId="394FB37D" w:rsidR="00F82051" w:rsidRPr="00A23252" w:rsidRDefault="00F82051" w:rsidP="005D49B8">
      <w:pPr>
        <w:spacing w:after="0" w:line="276" w:lineRule="auto"/>
        <w:jc w:val="both"/>
        <w:rPr>
          <w:rFonts w:hAnsi="Georgia"/>
        </w:rPr>
      </w:pPr>
    </w:p>
    <w:sectPr w:rsidR="00F82051" w:rsidRPr="00A2325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3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AC070E"/>
    <w:multiLevelType w:val="hybridMultilevel"/>
    <w:tmpl w:val="FFFFFFFF"/>
    <w:lvl w:ilvl="0" w:tplc="964ED9FE">
      <w:numFmt w:val="decimal"/>
      <w:lvlText w:val=""/>
      <w:lvlJc w:val="left"/>
    </w:lvl>
    <w:lvl w:ilvl="1" w:tplc="62DAD79C">
      <w:numFmt w:val="decimal"/>
      <w:lvlText w:val=""/>
      <w:lvlJc w:val="left"/>
    </w:lvl>
    <w:lvl w:ilvl="2" w:tplc="13F89738">
      <w:numFmt w:val="decimal"/>
      <w:lvlText w:val=""/>
      <w:lvlJc w:val="left"/>
    </w:lvl>
    <w:lvl w:ilvl="3" w:tplc="E1089EA4">
      <w:numFmt w:val="decimal"/>
      <w:lvlText w:val=""/>
      <w:lvlJc w:val="left"/>
    </w:lvl>
    <w:lvl w:ilvl="4" w:tplc="A9DAA7CE">
      <w:numFmt w:val="decimal"/>
      <w:lvlText w:val=""/>
      <w:lvlJc w:val="left"/>
    </w:lvl>
    <w:lvl w:ilvl="5" w:tplc="240423EA">
      <w:numFmt w:val="decimal"/>
      <w:lvlText w:val=""/>
      <w:lvlJc w:val="left"/>
    </w:lvl>
    <w:lvl w:ilvl="6" w:tplc="444ECD04">
      <w:numFmt w:val="decimal"/>
      <w:lvlText w:val=""/>
      <w:lvlJc w:val="left"/>
    </w:lvl>
    <w:lvl w:ilvl="7" w:tplc="8E2483F0">
      <w:numFmt w:val="decimal"/>
      <w:lvlText w:val=""/>
      <w:lvlJc w:val="left"/>
    </w:lvl>
    <w:lvl w:ilvl="8" w:tplc="EF5056D6">
      <w:numFmt w:val="decimal"/>
      <w:lvlText w:val=""/>
      <w:lvlJc w:val="left"/>
    </w:lvl>
  </w:abstractNum>
  <w:abstractNum w:abstractNumId="1" w15:restartNumberingAfterBreak="0">
    <w:nsid w:val="62CD1040"/>
    <w:multiLevelType w:val="hybridMultilevel"/>
    <w:tmpl w:val="FFFFFFFF"/>
    <w:lvl w:ilvl="0" w:tplc="33244F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48D284">
      <w:numFmt w:val="decimal"/>
      <w:lvlText w:val=""/>
      <w:lvlJc w:val="left"/>
    </w:lvl>
    <w:lvl w:ilvl="2" w:tplc="D3307C82">
      <w:numFmt w:val="decimal"/>
      <w:lvlText w:val=""/>
      <w:lvlJc w:val="left"/>
    </w:lvl>
    <w:lvl w:ilvl="3" w:tplc="EE4C97F6">
      <w:numFmt w:val="decimal"/>
      <w:lvlText w:val=""/>
      <w:lvlJc w:val="left"/>
    </w:lvl>
    <w:lvl w:ilvl="4" w:tplc="623E5616">
      <w:numFmt w:val="decimal"/>
      <w:lvlText w:val=""/>
      <w:lvlJc w:val="left"/>
    </w:lvl>
    <w:lvl w:ilvl="5" w:tplc="0CDC9A2E">
      <w:numFmt w:val="decimal"/>
      <w:lvlText w:val=""/>
      <w:lvlJc w:val="left"/>
    </w:lvl>
    <w:lvl w:ilvl="6" w:tplc="3C54D6CC">
      <w:numFmt w:val="decimal"/>
      <w:lvlText w:val=""/>
      <w:lvlJc w:val="left"/>
    </w:lvl>
    <w:lvl w:ilvl="7" w:tplc="F6408CD4">
      <w:numFmt w:val="decimal"/>
      <w:lvlText w:val=""/>
      <w:lvlJc w:val="left"/>
    </w:lvl>
    <w:lvl w:ilvl="8" w:tplc="442A7BAA">
      <w:numFmt w:val="decimal"/>
      <w:lvlText w:val=""/>
      <w:lvlJc w:val="left"/>
    </w:lvl>
  </w:abstractNum>
  <w:abstractNum w:abstractNumId="2" w15:restartNumberingAfterBreak="0">
    <w:nsid w:val="7F5A73B2"/>
    <w:multiLevelType w:val="hybridMultilevel"/>
    <w:tmpl w:val="FFFFFFFF"/>
    <w:lvl w:ilvl="0" w:tplc="6EF2BC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DAFDF2">
      <w:numFmt w:val="decimal"/>
      <w:lvlText w:val=""/>
      <w:lvlJc w:val="left"/>
    </w:lvl>
    <w:lvl w:ilvl="2" w:tplc="C8BA4422">
      <w:numFmt w:val="decimal"/>
      <w:lvlText w:val=""/>
      <w:lvlJc w:val="left"/>
    </w:lvl>
    <w:lvl w:ilvl="3" w:tplc="3A7609F6">
      <w:numFmt w:val="decimal"/>
      <w:lvlText w:val=""/>
      <w:lvlJc w:val="left"/>
    </w:lvl>
    <w:lvl w:ilvl="4" w:tplc="63FC4D68">
      <w:numFmt w:val="decimal"/>
      <w:lvlText w:val=""/>
      <w:lvlJc w:val="left"/>
    </w:lvl>
    <w:lvl w:ilvl="5" w:tplc="010A140E">
      <w:numFmt w:val="decimal"/>
      <w:lvlText w:val=""/>
      <w:lvlJc w:val="left"/>
    </w:lvl>
    <w:lvl w:ilvl="6" w:tplc="BCEE8AF6">
      <w:numFmt w:val="decimal"/>
      <w:lvlText w:val=""/>
      <w:lvlJc w:val="left"/>
    </w:lvl>
    <w:lvl w:ilvl="7" w:tplc="A21CA47A">
      <w:numFmt w:val="decimal"/>
      <w:lvlText w:val=""/>
      <w:lvlJc w:val="left"/>
    </w:lvl>
    <w:lvl w:ilvl="8" w:tplc="52B2DF12">
      <w:numFmt w:val="decimal"/>
      <w:lvlText w:val=""/>
      <w:lvlJc w:val="left"/>
    </w:lvl>
  </w:abstractNum>
  <w:num w:numId="1" w16cid:durableId="1829786922">
    <w:abstractNumId w:val="2"/>
  </w:num>
  <w:num w:numId="2" w16cid:durableId="868445214">
    <w:abstractNumId w:val="0"/>
  </w:num>
  <w:num w:numId="3" w16cid:durableId="10357486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27B"/>
    <w:rsid w:val="000D3788"/>
    <w:rsid w:val="0011491E"/>
    <w:rsid w:val="00121C32"/>
    <w:rsid w:val="00171012"/>
    <w:rsid w:val="001D73B5"/>
    <w:rsid w:val="002648DB"/>
    <w:rsid w:val="002E0BC8"/>
    <w:rsid w:val="00304152"/>
    <w:rsid w:val="00324D88"/>
    <w:rsid w:val="003E7642"/>
    <w:rsid w:val="00464AC8"/>
    <w:rsid w:val="005353B1"/>
    <w:rsid w:val="005D49B8"/>
    <w:rsid w:val="006561FE"/>
    <w:rsid w:val="006D7E85"/>
    <w:rsid w:val="007D411A"/>
    <w:rsid w:val="007D4937"/>
    <w:rsid w:val="008A4447"/>
    <w:rsid w:val="00953BE0"/>
    <w:rsid w:val="00A23252"/>
    <w:rsid w:val="00A914A6"/>
    <w:rsid w:val="00AA7D02"/>
    <w:rsid w:val="00AF0B2B"/>
    <w:rsid w:val="00B94ACA"/>
    <w:rsid w:val="00BD027B"/>
    <w:rsid w:val="00C36F57"/>
    <w:rsid w:val="00D84B9C"/>
    <w:rsid w:val="00DD5813"/>
    <w:rsid w:val="00E970DE"/>
    <w:rsid w:val="00F73210"/>
    <w:rsid w:val="00F8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E958D4"/>
  <w15:docId w15:val="{08D7B6CC-D3BF-EE42-B8A0-5A6E45BA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C36F57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2321</Words>
  <Characters>13230</Characters>
  <Application>Microsoft Office Word</Application>
  <DocSecurity>0</DocSecurity>
  <Lines>110</Lines>
  <Paragraphs>31</Paragraphs>
  <ScaleCrop>false</ScaleCrop>
  <Company/>
  <LinksUpToDate>false</LinksUpToDate>
  <CharactersWithSpaces>15520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k49416</cp:lastModifiedBy>
  <cp:revision>2</cp:revision>
  <dcterms:created xsi:type="dcterms:W3CDTF">2026-07-01T17:52:00Z</dcterms:created>
  <dcterms:modified xsi:type="dcterms:W3CDTF">2026-07-01T17:52:00Z</dcterms:modified>
</cp:coreProperties>
</file>