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8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1117"/>
                <w:sz w:val="80"/>
                <w:szCs w:val="80"/>
              </w:rPr>
              <w:t xml:space="preserve">CredBridge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1D6FA4"/>
                <w:sz w:val="36"/>
                <w:szCs w:val="36"/>
              </w:rPr>
              <w:t xml:space="preserve">AI 原生身份与凭证桥接系统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475569"/>
                <w:sz w:val="22"/>
                <w:szCs w:val="22"/>
              </w:rPr>
              <w:t xml:space="preserve">商用技术设计规范  ·  OpenClaw 深度集成版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基于 TEE 可信执行环境 + 现代密码学 + 零知识架构</w:t>
            </w:r>
          </w:p>
          <w:p>
            <w:pPr>
              <w:spacing w:after="28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v1.0 草案  ·  2026年3月  ·  机密</w:t>
            </w:r>
          </w:p>
        </w:tc>
      </w:tr>
    </w:tbl>
    <w:p>
      <w:pPr>
        <w:pBdr>
          <w:bottom w:val="single" w:color="1D6FA4" w:sz="6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6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草案 — 内部评审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目标读者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工程、产品、安全、法务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安全级别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机密 — 仅限内部流通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产品定位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商用级（对标 1Password 安全标准）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集成目标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OpenClaw Gateway Skill + mcporter MCP Server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核心技术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TEE (Intel SGX / AMD SEV / ARM TrustZone) + 现代密码学 + 零知识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实现语言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TypeScript (Node.js 22+，与 OpenClaw 核心保持一致)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合规目标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SOC 2 Type II · ISO 27001 · GDPR/CCPA · FIPS 140-3 Level 3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00" w:before="0"/>
      </w:pPr>
      <w:r>
        <w:rPr>
          <w:rFonts w:ascii="Arial" w:cs="Arial" w:eastAsia="Arial" w:hAnsi="Arial"/>
        </w:rPr>
        <w:t xml:space="preserve">目录</w:t>
      </w:r>
    </w:p>
    <w:p>
      <w:pPr>
        <w:spacing w:after="60" w:before="0"/>
      </w:pPr>
      <w:r>
        <w:rPr>
          <w:rFonts w:ascii="Arial" w:cs="Arial" w:eastAsia="Arial" w:hAnsi="Arial"/>
          <w:color w:val="1D6FA4"/>
        </w:rPr>
        <w:t xml:space="preserve">1. 执行摘要与产品定位</w:t>
      </w:r>
    </w:p>
    <w:p>
      <w:pPr>
        <w:spacing w:after="60" w:before="0"/>
      </w:pPr>
      <w:r>
        <w:rPr>
          <w:rFonts w:ascii="Arial" w:cs="Arial" w:eastAsia="Arial" w:hAnsi="Arial"/>
          <w:color w:val="1D6FA4"/>
        </w:rPr>
        <w:t xml:space="preserve">2. 问题陈述与现状分析</w:t>
      </w:r>
    </w:p>
    <w:p>
      <w:pPr>
        <w:spacing w:after="60" w:before="0"/>
      </w:pPr>
      <w:r>
        <w:rPr>
          <w:rFonts w:ascii="Arial" w:cs="Arial" w:eastAsia="Arial" w:hAnsi="Arial"/>
          <w:color w:val="1D6FA4"/>
        </w:rPr>
        <w:t xml:space="preserve">3. 安全威胁模型（Threat Model）</w:t>
      </w:r>
    </w:p>
    <w:p>
      <w:pPr>
        <w:spacing w:after="60" w:before="0"/>
      </w:pPr>
      <w:r>
        <w:rPr>
          <w:rFonts w:ascii="Arial" w:cs="Arial" w:eastAsia="Arial" w:hAnsi="Arial"/>
          <w:color w:val="1D6FA4"/>
        </w:rPr>
        <w:t xml:space="preserve">4. 密码学设计</w:t>
      </w:r>
    </w:p>
    <w:p>
      <w:pPr>
        <w:spacing w:after="60" w:before="0"/>
      </w:pPr>
      <w:r>
        <w:rPr>
          <w:rFonts w:ascii="Arial" w:cs="Arial" w:eastAsia="Arial" w:hAnsi="Arial"/>
          <w:color w:val="1D6FA4"/>
        </w:rPr>
        <w:t xml:space="preserve">5. 可信执行环境（TEE）架构</w:t>
      </w:r>
    </w:p>
    <w:p>
      <w:pPr>
        <w:spacing w:after="60" w:before="0"/>
      </w:pPr>
      <w:r>
        <w:rPr>
          <w:rFonts w:ascii="Arial" w:cs="Arial" w:eastAsia="Arial" w:hAnsi="Arial"/>
          <w:color w:val="1D6FA4"/>
        </w:rPr>
        <w:t xml:space="preserve">6. 系统总体架构</w:t>
      </w:r>
    </w:p>
    <w:p>
      <w:pPr>
        <w:spacing w:after="60" w:before="0"/>
      </w:pPr>
      <w:r>
        <w:rPr>
          <w:rFonts w:ascii="Arial" w:cs="Arial" w:eastAsia="Arial" w:hAnsi="Arial"/>
          <w:color w:val="1D6FA4"/>
        </w:rPr>
        <w:t xml:space="preserve">7. 数据模型与存储设计</w:t>
      </w:r>
    </w:p>
    <w:p>
      <w:pPr>
        <w:spacing w:after="60" w:before="0"/>
      </w:pPr>
      <w:r>
        <w:rPr>
          <w:rFonts w:ascii="Arial" w:cs="Arial" w:eastAsia="Arial" w:hAnsi="Arial"/>
          <w:color w:val="1D6FA4"/>
        </w:rPr>
        <w:t xml:space="preserve">8. OpenClaw 集成方案</w:t>
      </w:r>
    </w:p>
    <w:p>
      <w:pPr>
        <w:spacing w:after="60" w:before="0"/>
      </w:pPr>
      <w:r>
        <w:rPr>
          <w:rFonts w:ascii="Arial" w:cs="Arial" w:eastAsia="Arial" w:hAnsi="Arial"/>
          <w:color w:val="1D6FA4"/>
        </w:rPr>
        <w:t xml:space="preserve">9. MCP 工具规范</w:t>
      </w:r>
    </w:p>
    <w:p>
      <w:pPr>
        <w:spacing w:after="60" w:before="0"/>
      </w:pPr>
      <w:r>
        <w:rPr>
          <w:rFonts w:ascii="Arial" w:cs="Arial" w:eastAsia="Arial" w:hAnsi="Arial"/>
          <w:color w:val="1D6FA4"/>
        </w:rPr>
        <w:t xml:space="preserve">10. 连接器系统（Connector Runtime）</w:t>
      </w:r>
    </w:p>
    <w:p>
      <w:pPr>
        <w:spacing w:after="60" w:before="0"/>
      </w:pPr>
      <w:r>
        <w:rPr>
          <w:rFonts w:ascii="Arial" w:cs="Arial" w:eastAsia="Arial" w:hAnsi="Arial"/>
          <w:color w:val="1D6FA4"/>
        </w:rPr>
        <w:t xml:space="preserve">11. 人工审批（Human-in-the-Loop）</w:t>
      </w:r>
    </w:p>
    <w:p>
      <w:pPr>
        <w:spacing w:after="60" w:before="0"/>
      </w:pPr>
      <w:r>
        <w:rPr>
          <w:rFonts w:ascii="Arial" w:cs="Arial" w:eastAsia="Arial" w:hAnsi="Arial"/>
          <w:color w:val="1D6FA4"/>
        </w:rPr>
        <w:t xml:space="preserve">12. 审计与合规</w:t>
      </w:r>
    </w:p>
    <w:p>
      <w:pPr>
        <w:spacing w:after="60" w:before="0"/>
      </w:pPr>
      <w:r>
        <w:rPr>
          <w:rFonts w:ascii="Arial" w:cs="Arial" w:eastAsia="Arial" w:hAnsi="Arial"/>
          <w:color w:val="1D6FA4"/>
        </w:rPr>
        <w:t xml:space="preserve">13. 安全攻击面分析</w:t>
      </w:r>
    </w:p>
    <w:p>
      <w:pPr>
        <w:spacing w:after="60" w:before="0"/>
      </w:pPr>
      <w:r>
        <w:rPr>
          <w:rFonts w:ascii="Arial" w:cs="Arial" w:eastAsia="Arial" w:hAnsi="Arial"/>
          <w:color w:val="1D6FA4"/>
        </w:rPr>
        <w:t xml:space="preserve">14. 部署架构</w:t>
      </w:r>
    </w:p>
    <w:p>
      <w:pPr>
        <w:spacing w:after="60" w:before="0"/>
      </w:pPr>
      <w:r>
        <w:rPr>
          <w:rFonts w:ascii="Arial" w:cs="Arial" w:eastAsia="Arial" w:hAnsi="Arial"/>
          <w:color w:val="1D6FA4"/>
        </w:rPr>
        <w:t xml:space="preserve">15. 实施路线图</w:t>
      </w:r>
    </w:p>
    <w:p>
      <w:pPr>
        <w:spacing w:after="60" w:before="0"/>
      </w:pPr>
      <w:r>
        <w:rPr>
          <w:rFonts w:ascii="Arial" w:cs="Arial" w:eastAsia="Arial" w:hAnsi="Arial"/>
          <w:color w:val="1D6FA4"/>
        </w:rPr>
        <w:t xml:space="preserve">16. 附录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</w:rPr>
        <w:t xml:space="preserve">1. 执行摘要与产品定位</w:t>
      </w:r>
    </w:p>
    <w:p>
      <w:pPr>
        <w:pStyle w:val="Heading2"/>
        <w:spacing w:after="100" w:before="0"/>
      </w:pPr>
      <w:r>
        <w:rPr>
          <w:rFonts w:ascii="Arial" w:cs="Arial" w:eastAsia="Arial" w:hAnsi="Arial"/>
        </w:rPr>
        <w:t xml:space="preserve">1.1  核心问题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OpenClaw 等 AI Agent 框架当前存在一个根本性的安全缺口：当 Agent 需要代替用户登录银行、政府门户、券商平台、SaaS 系统等任何需要身份验证的服务时，用户的真实凭证——密码、SSN、API Key、证件文件——没有安全存储和使用的机制。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更严重的是，OpenClaw 当前将所有凭证以明文形式存储在 ~/.openclaw/ 目录下。安全研究人员已将此标记为高危问题（CVE-2026-25253，CVSS 8.8），信息窃取类恶意软件已将该路径列为标准攻击目标。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FA4" w:sz="1"/>
              <w:left w:val="single" w:color="1D6FA4" w:sz="1"/>
              <w:bottom w:val="single" w:color="1D6FA4" w:sz="1"/>
              <w:right w:val="single" w:color="1D6FA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6FA4"/>
                <w:sz w:val="18"/>
                <w:szCs w:val="18"/>
              </w:rPr>
              <w:t xml:space="preserve">核心设计不变量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AI Agent 进程中，任何时候都不持有用户真实凭证的明文。凭证的解密、使用和销毁全部发生在 TEE 安全边界内部，且仅在经过密码学验证的授权请求触发后执行。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0"/>
      </w:pPr>
      <w:r>
        <w:rPr>
          <w:rFonts w:ascii="Arial" w:cs="Arial" w:eastAsia="Arial" w:hAnsi="Arial"/>
        </w:rPr>
        <w:t xml:space="preserve">1.2  产品定位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CredBridge 是一个商用级、可自托管的 AI 身份与凭证桥接系统，达到与 1Password 同等的安全标准。其三大核心能力：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安全凭证保险库（Secure Vault）：基于 TEE + HSM 的加密存储，保护用户所有身份数据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AI 行动代理（Action Proxy）：Agent 通过有限 Scope Token 发起请求，CredBridge 在 TEE 内解密凭证并执行真实操作，Agent 只获得操作结果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OpenClaw 原生集成：以 Skill + MCP Server 形式接入 OpenClaw，无需修改 OpenClaw 核心代码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0"/>
      </w:pPr>
      <w:r>
        <w:rPr>
          <w:rFonts w:ascii="Arial" w:cs="Arial" w:eastAsia="Arial" w:hAnsi="Arial"/>
        </w:rPr>
        <w:t xml:space="preserve">1.3  对标定位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20"/>
        <w:gridCol w:w="1240"/>
        <w:gridCol w:w="1680"/>
        <w:gridCol w:w="2320"/>
      </w:tblGrid>
      <w:t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能力维度</w:t>
            </w:r>
          </w:p>
        </w:tc>
        <w:tc>
          <w:tcPr>
            <w:tcW w:type="dxa" w:w="15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OpenClaw 原生</w:t>
            </w:r>
          </w:p>
        </w:tc>
        <w:tc>
          <w:tcPr>
            <w:tcW w:type="dxa" w:w="1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Plaid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1Password CLI</w:t>
            </w:r>
          </w:p>
        </w:tc>
        <w:tc>
          <w:tcPr>
            <w:tcW w:type="dxa" w:w="23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CredBridge（目标）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凭证加密存储</w:t>
            </w:r>
          </w:p>
        </w:tc>
        <w:tc>
          <w:tcPr>
            <w:tcW w:type="dxa" w:w="1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 明文</w:t>
            </w:r>
          </w:p>
        </w:tc>
        <w:tc>
          <w:tcPr>
            <w:tcW w:type="dxa" w:w="1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 N/A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TEE+HSM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Agent 调用接口</w:t>
            </w:r>
          </w:p>
        </w:tc>
        <w:tc>
          <w:tcPr>
            <w:tcW w:type="dxa" w:w="1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部分</w:t>
            </w:r>
          </w:p>
        </w:tc>
        <w:tc>
          <w:tcPr>
            <w:tcW w:type="dxa" w:w="1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2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MCP Tools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写操作 / 代理执行</w:t>
            </w:r>
          </w:p>
        </w:tc>
        <w:tc>
          <w:tcPr>
            <w:tcW w:type="dxa" w:w="1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2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Action Proxy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TEE 硬件隔离</w:t>
            </w:r>
          </w:p>
        </w:tc>
        <w:tc>
          <w:tcPr>
            <w:tcW w:type="dxa" w:w="1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2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SGX/SEV/TZ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零知识架构</w:t>
            </w:r>
          </w:p>
        </w:tc>
        <w:tc>
          <w:tcPr>
            <w:tcW w:type="dxa" w:w="1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部分</w:t>
            </w:r>
          </w:p>
        </w:tc>
        <w:tc>
          <w:tcPr>
            <w:tcW w:type="dxa" w:w="2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人工审批流程</w:t>
            </w:r>
          </w:p>
        </w:tc>
        <w:tc>
          <w:tcPr>
            <w:tcW w:type="dxa" w:w="1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N/A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2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HITL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不可篡改审计日志</w:t>
            </w:r>
          </w:p>
        </w:tc>
        <w:tc>
          <w:tcPr>
            <w:tcW w:type="dxa" w:w="1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2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immudb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浏览器自动化</w:t>
            </w:r>
          </w:p>
        </w:tc>
        <w:tc>
          <w:tcPr>
            <w:tcW w:type="dxa" w:w="1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✅（无隔离）</w:t>
            </w:r>
          </w:p>
        </w:tc>
        <w:tc>
          <w:tcPr>
            <w:tcW w:type="dxa" w:w="1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2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✅（TEE隔离）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政府/传统服务</w:t>
            </w:r>
          </w:p>
        </w:tc>
        <w:tc>
          <w:tcPr>
            <w:tcW w:type="dxa" w:w="1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2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SOC 2 / FIPS 合规</w:t>
            </w:r>
          </w:p>
        </w:tc>
        <w:tc>
          <w:tcPr>
            <w:tcW w:type="dxa" w:w="1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✅（目标）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</w:rPr>
        <w:t xml:space="preserve">2. 问题陈述与现状分析</w:t>
      </w:r>
    </w:p>
    <w:p>
      <w:pPr>
        <w:pStyle w:val="Heading2"/>
        <w:spacing w:after="100" w:before="0"/>
      </w:pPr>
      <w:r>
        <w:rPr>
          <w:rFonts w:ascii="Arial" w:cs="Arial" w:eastAsia="Arial" w:hAnsi="Arial"/>
        </w:rPr>
        <w:t xml:space="preserve">2.1  OpenClaw 架构中的安全缺口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通过对 OpenClaw 源码的深度分析，凭证安全缺口存在于以下三个层面：</w:t>
      </w:r>
    </w:p>
    <w:p>
      <w:pPr>
        <w:pStyle w:val="Heading3"/>
        <w:spacing w:after="100" w:before="0"/>
      </w:pPr>
      <w:r>
        <w:rPr>
          <w:rFonts w:ascii="Arial" w:cs="Arial" w:eastAsia="Arial" w:hAnsi="Arial"/>
        </w:rPr>
        <w:t xml:space="preserve">层面 1：存储层（高危）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OpenClaw Gateway 将所有第三方服务凭证以明文 JSON 形式写入 ~/.openclaw/config.json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恶意 ClawHub Skill（已发现超过 20% 含恶意代码）可直接读取该文件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CVE-2026-25253：WebSocket token 泄露可导致完整 Gateway 接管，进而读取所有明文凭证</w:t>
      </w:r>
    </w:p>
    <w:p>
      <w:pPr>
        <w:pStyle w:val="Heading3"/>
        <w:spacing w:after="100" w:before="0"/>
      </w:pPr>
      <w:r>
        <w:rPr>
          <w:rFonts w:ascii="Arial" w:cs="Arial" w:eastAsia="Arial" w:hAnsi="Arial"/>
        </w:rPr>
        <w:t xml:space="preserve">层面 2：传输层（中危）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当 Agent 执行浏览器自动化时，凭证以环境变量形式注入 Playwright 进程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进程内存中的明文密码可被同主机其他进程通过 /proc/[pid]/mem 读取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Browser CDP 调试端口（默认 9222）若暴露，可导致会话劫持</w:t>
      </w:r>
    </w:p>
    <w:p>
      <w:pPr>
        <w:pStyle w:val="Heading3"/>
        <w:spacing w:after="100" w:before="0"/>
      </w:pPr>
      <w:r>
        <w:rPr>
          <w:rFonts w:ascii="Arial" w:cs="Arial" w:eastAsia="Arial" w:hAnsi="Arial"/>
        </w:rPr>
        <w:t xml:space="preserve">层面 3：执行层（中危）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Agent LLM 上下文中如包含凭证片段，会被记录到 MEMORY.md，造成持久化泄露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OpenClaw 的 skills 沙箱不阻止子进程读取环境变量中的秘密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多 Agent 路由（Multi-Agent Routing）中子 Agent 可继承父 Agent 的完整工具权限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0"/>
      </w:pPr>
      <w:r>
        <w:rPr>
          <w:rFonts w:ascii="Arial" w:cs="Arial" w:eastAsia="Arial" w:hAnsi="Arial"/>
        </w:rPr>
        <w:t xml:space="preserve">2.2  适用场景全景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600"/>
        <w:gridCol w:w="2160"/>
      </w:tblGrid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场景分类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典型服务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典型 Agent 操作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身份/凭证要求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金融服务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SoFi、Schwab、Robinhood、Coinbase、Chase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开户、下单、查余额、申请贷款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账号密码 + KYC + 信用评分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政府服务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IRS、DMV、USCIS、SSA、护照机构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报税、换证、查询案件、提交表格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SSN + 政府ID + 人脸识别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医疗健康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MyChart、Zocdoc、保险门户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预约、获取报告、提交预授权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患者ID + 保险卡号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电商平台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Amazon、eBay、Shopify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跟踪订单、发起退货、管理订阅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账号密码 + 支付方式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SaaS/企业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GitHub、Stripe、Twilio、AWS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管理账单、轮换密钥、导出数据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API Key + OAuth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出行旅游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航空公司、酒店、Airbnb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值机、改签、取回行程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会员账号 + 护照号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HR/薪酬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Workday、ADP、Gusto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提交考勤、查询薪资、福利注册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员工ID + SSO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教育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Canvas、Coursera、大学门户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提交作业、查看成绩、注册课程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学号 + 密码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</w:rPr>
        <w:t xml:space="preserve">3. 安全威胁模型（Threat Model）</w:t>
      </w:r>
    </w:p>
    <w:p>
      <w:pPr>
        <w:pStyle w:val="Heading2"/>
        <w:spacing w:after="100" w:before="0"/>
      </w:pPr>
      <w:r>
        <w:rPr>
          <w:rFonts w:ascii="Arial" w:cs="Arial" w:eastAsia="Arial" w:hAnsi="Arial"/>
        </w:rPr>
        <w:t xml:space="preserve">3.1  攻击者画像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攻击者类型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能力假设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攻击目标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网络攻击者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控制网络路径，可执行 MitM 攻击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拦截凭证传输，重放 Action Token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恶意 Skill 作者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可发布恶意 ClawHub Skill，可执行任意代码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读取明文凭证、注入恶意指令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Prompt Injection 攻击者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可控制 Agent 处理的外部内容（网页、文件、邮件）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诱导 Agent 执行未授权操作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内部威胁（员工）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有权访问生产数据库和服务器文件系统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直接读取用户凭证数据库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物理攻击者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可获取服务器物理访问权，可 cold-boot 内存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提取内存中的明文密钥材料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云服务商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作为 IaaS 提供商，有 Hypervisor 级访问权限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读取 VM 内存，访问存储卷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供应链攻击者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可污染依赖包，可向 ClawHub 注入恶意 Skill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持久化后门，凭证外泄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0"/>
      </w:pPr>
      <w:r>
        <w:rPr>
          <w:rFonts w:ascii="Arial" w:cs="Arial" w:eastAsia="Arial" w:hAnsi="Arial"/>
        </w:rPr>
        <w:t xml:space="preserve">3.2  安全目标（Security Properties）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机密性（Confidentiality）：用户凭证明文只能在 TEE enclave 内部短暂存在，任何 enclave 外部实体——包括 OS、Hypervisor、Cloud Provider——均无法读取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完整性（Integrity）：凭证存储和 Action Token 不能被篡改；TEE 远程认证保证 enclave 代码未被修改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授权绑定（Authorization Binding）：每个操作必须绑定特定用户 × 特定服务 × 特定 Scope，不可越权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不可否认性（Non-repudiation）：所有操作有不可篡改的密码学证明记录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前向保密（Forward Secrecy）：历史操作的安全性不因当前密钥泄露而受影响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最小权限（Least Privilege）：Agent 进程运行时权限严格受限，即使 Agent 被完全控制，攻击者也无法超出 Scope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0"/>
      </w:pPr>
      <w:r>
        <w:rPr>
          <w:rFonts w:ascii="Arial" w:cs="Arial" w:eastAsia="Arial" w:hAnsi="Arial"/>
        </w:rPr>
        <w:t xml:space="preserve">3.3  不在保护范围内（Out of Scope）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用户终端设备的全盘加密和物理安全（TEE 无法保护用户自己的设备）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目标服务本身的安全性（如银行系统被入侵）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用户在授权时的决策错误（人为授权过多 Scope）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量子计算攻击（当前威胁模型不包含量子对手，待 PQC 标准化后更新）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</w:rPr>
        <w:t xml:space="preserve">4. 密码学设计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B0764" w:sz="1"/>
              <w:left w:val="single" w:color="3B0764" w:sz="1"/>
              <w:bottom w:val="single" w:color="3B0764" w:sz="1"/>
              <w:right w:val="single" w:color="3B0764" w:sz="1"/>
            </w:tcBorders>
            <w:shd w:fill="F3E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B0764"/>
                <w:sz w:val="18"/>
                <w:szCs w:val="18"/>
              </w:rPr>
              <w:t xml:space="preserve">设计原则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所有密码学原语使用经过 NIST/FIPS 认证的算法，不自造密码学。密钥材料永不落地（never at rest in plaintext），所有加密操作在 TEE enclave 内部或 HSM 内执行。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0"/>
      </w:pPr>
      <w:r>
        <w:rPr>
          <w:rFonts w:ascii="Arial" w:cs="Arial" w:eastAsia="Arial" w:hAnsi="Arial"/>
        </w:rPr>
        <w:t xml:space="preserve">4.1  密钥层次结构（Key Hierarchy）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CredBridge 采用四层密钥层次，每层密钥职责严格分离：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5" w:sz="1"/>
              <w:left w:val="single" w:color="2D3F55" w:sz="1"/>
              <w:bottom w:val="single" w:color="2D3F55" w:sz="1"/>
              <w:right w:val="single" w:color="2D3F55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              密钥层次结构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                      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L0: Root of Trust（信任根）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├── 硬件绑定：Intel SGX MRENCLAVE / AMD SEV 固件密钥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└── 可选 HSM：CloudHSM / Azure Managed HSM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                     │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L1: Master Key（主密钥）  ↓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├── 由 L0 派生，仅在 TEE enclave 内部存在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├── 256-bit，使用 HKDF-SHA-256 从硬件测量值派生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└── 用于加密/解密 L2 密钥包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                     │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L2: User Vault Key（用户保险库密钥）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├── 每用户独立，256-bit AES-GCM 密钥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├── 以 L1 加密后存储在数据库中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└── 解密操作仅在 TEE 内发生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                     │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L3: Credential Encryption Key（凭证加密密钥）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├── 每条凭证记录独立，256-bit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├── 以 L2 加密后与密文一起存储（AEAD 封装）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└── 使用 AES-256-GCM，96-bit nonce，128-bit auth tag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0"/>
      </w:pPr>
      <w:r>
        <w:rPr>
          <w:rFonts w:ascii="Arial" w:cs="Arial" w:eastAsia="Arial" w:hAnsi="Arial"/>
        </w:rPr>
        <w:t xml:space="preserve">4.2  凭证加密方案</w:t>
      </w:r>
    </w:p>
    <w:p>
      <w:pPr>
        <w:pStyle w:val="Heading3"/>
        <w:spacing w:after="100" w:before="0"/>
      </w:pPr>
      <w:r>
        <w:rPr>
          <w:rFonts w:ascii="Arial" w:cs="Arial" w:eastAsia="Arial" w:hAnsi="Arial"/>
        </w:rPr>
        <w:t xml:space="preserve">主加密算法：AES-256-GCM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5" w:sz="1"/>
              <w:left w:val="single" w:color="2D3F55" w:sz="1"/>
              <w:bottom w:val="single" w:color="2D3F55" w:sz="1"/>
              <w:right w:val="single" w:color="2D3F55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凭证加密（在 TEE enclave 内执行）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interface EncryptedBlob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version:    2;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algorithm:  'AES-256-GCM';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kdf:        'HKDF-SHA-256';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// 96-bit 随机 nonce（每次加密独立生成）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nonce:      Uint8Array;   // 12 bytes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// 128-bit GCM Authentication Tag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auth_tag:   Uint8Array;   // 16 bytes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// 关联数据（AAD）: user_id + service_id + record_id（不加密但防篡改）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aad:        Uint8Array;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// 密文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ciphertext: Uint8Array;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// L3 密钥以 L2 加密后的包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key_envelope: Uint8Array;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密钥派生（HKDF）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IKM = L2 User Vault Key（来自 TEE）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Salt = 随机 32 bytes（每条记录独立）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Info = 'credbridge-v2' || user_id || service_id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const l3_key = HKDF(SHA-256, ikm=l2_key, salt, info);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0"/>
      </w:pPr>
      <w:r>
        <w:rPr>
          <w:rFonts w:ascii="Arial" w:cs="Arial" w:eastAsia="Arial" w:hAnsi="Arial"/>
        </w:rPr>
        <w:t xml:space="preserve">Action Token：PASETO v4.local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CredBridge 使用 PASETO（Platform-Agnostic Security Token）v4.local 替代 JWT，彻底避免 JWT 的 alg:none 和 RS256 算法混淆攻击。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5" w:sz="1"/>
              <w:left w:val="single" w:color="2D3F55" w:sz="1"/>
              <w:bottom w:val="single" w:color="2D3F55" w:sz="1"/>
              <w:right w:val="single" w:color="2D3F55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PASETO v4.local 使用 XChaCha20-Poly1305 对称加密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密钥来自 TEE 内部的 Token Signing Key（L2 派生）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interface ActionTokenPayload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jti:        string;    // UUID v4，单次使用强制（存 Redis，TTL=15min）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iss:        'credbridge-tee';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sub:        string;    // user_id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iat:        string;    // 签发时间 ISO8601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exp:        string;    // 到期时间（固定 15 分钟，不可延长）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service:    string;    // 目标服务 ID，如 'schwab' 'irs' 'amazon'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action:     string;    // 操作 ID，如 'get_balance' 'open_account'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scope_hash: string;    // SHA-256(granted_scopes)，防止 scope 降级攻击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vault_ref:  string;    // 指向 Vault 中凭证记录的不透明引用 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risk_tier:  0 | 1 | 2; // 0=自动批准 1=软审批 2=硬审批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audit_id:   string;    // 预分配的审计日志条目 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tee_mrenclave: string; // TEE enclave 测量值，供 Connector 验证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0"/>
      </w:pPr>
      <w:r>
        <w:rPr>
          <w:rFonts w:ascii="Arial" w:cs="Arial" w:eastAsia="Arial" w:hAnsi="Arial"/>
        </w:rPr>
        <w:t xml:space="preserve">凭证分片存储：Shamir 秘密共享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KYC 身份文件（护照、SSN、驾照）采用 Shamir's Secret Sharing (SSS) 进行门限分片，即使数据库被完整导出，没有足够分片数量也无法重建原始数据。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5" w:sz="1"/>
              <w:left w:val="single" w:color="2D3F55" w:sz="1"/>
              <w:bottom w:val="single" w:color="2D3F55" w:sz="1"/>
              <w:right w:val="single" w:color="2D3F55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Shamir 秘密共享参数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n = 总分片数 = 7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k = 重建阈值 = 4（任意 4 片可重建）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分片分布：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  Shard 1-3: CredBridge Vault (3 个独立加密数据库节点)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  Shard 4-5: 用户持有（加密导出到用户设备）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  Shard 6-7: 托管 HSM（仅在监管机构要求时可用）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重建仅在 TEE enclave 内部进行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重建后的明文生命周期：操作完成后立即 memset(0) 清零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0"/>
      </w:pPr>
      <w:r>
        <w:rPr>
          <w:rFonts w:ascii="Arial" w:cs="Arial" w:eastAsia="Arial" w:hAnsi="Arial"/>
        </w:rPr>
        <w:t xml:space="preserve">传输层加密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5" w:sz="1"/>
              <w:left w:val="single" w:color="2D3F55" w:sz="1"/>
              <w:bottom w:val="single" w:color="2D3F55" w:sz="1"/>
              <w:right w:val="single" w:color="2D3F55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所有服务间通信使用 mTLS 1.3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证书策略：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  - Gateway ↔ TEE Enclave: 基于 ECDSA P-256 的短期证书（24h TTL）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  - TEE ↔ Connector Runtime: 基于 Enclave Quote 的证书绑定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  - 客户端 → Gateway: TLS 1.3，HSTS，Certificate Transparency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密码套件白名单（仅允许以下）：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TLS_AES_256_GCM_SHA384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TLS_CHACHA20_POLY1305_SHA256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禁用：TLS 1.0/1.1/1.2（允许降级攻击的版本）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禁用：RSA 密钥交换（无前向保密）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</w:rPr>
        <w:t xml:space="preserve">5. 可信执行环境（TEE）架构</w:t>
      </w:r>
    </w:p>
    <w:p>
      <w:pPr>
        <w:pStyle w:val="Heading2"/>
        <w:spacing w:after="100" w:before="0"/>
      </w:pPr>
      <w:r>
        <w:rPr>
          <w:rFonts w:ascii="Arial" w:cs="Arial" w:eastAsia="Arial" w:hAnsi="Arial"/>
        </w:rPr>
        <w:t xml:space="preserve">5.1  TEE 选型分析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400"/>
        <w:gridCol w:w="1800"/>
        <w:gridCol w:w="1360"/>
        <w:gridCol w:w="1200"/>
      </w:tblGrid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TEE 方案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隔离粒度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远程认证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云支持</w:t>
            </w:r>
          </w:p>
        </w:tc>
        <w:tc>
          <w:tcPr>
            <w:tcW w:type="dxa" w:w="1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CredBridge 适用性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推荐用途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Intel SGX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进程级 Enclave
（EPC 内存加密）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DCAP/ECDSA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Azure DCsv3
AWS Nitro
Alibaba g7t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主力方案
密钥操作/凭证解密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AMD SEV-SNP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VM 级隔离
（内存加密+完整性）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SNP Attestation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Azure CVM
AWS EC2 C7a
GCP C3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★★★★☆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Connector Runtime 隔离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ARM TrustZone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系统级 Secure World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✅（有限）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移动端原生
Raspberry Pi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★★★☆☆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移动端 HITL 审批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AWS Nitro Enclaves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EC2 隔离分区
（内存+CPU）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PCR 测量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AWS 专有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★★★★☆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AWS 部署替代方案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软件 TEE
（作为 Fallback）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进程隔离
（无硬件保证）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通用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★★☆☆☆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开发环境/
无 TEE 硬件降级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0"/>
      </w:pPr>
      <w:r>
        <w:rPr>
          <w:rFonts w:ascii="Arial" w:cs="Arial" w:eastAsia="Arial" w:hAnsi="Arial"/>
        </w:rPr>
        <w:t xml:space="preserve">5.2  TEE Enclave 设计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CredBridge 将以下操作放入 SGX Enclave（Trusted Computing Base，TCB）：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5" w:sz="1"/>
              <w:left w:val="single" w:color="2D3F55" w:sz="1"/>
              <w:bottom w:val="single" w:color="2D3F55" w:sz="1"/>
              <w:right w:val="single" w:color="2D3F55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            SGX Enclave（TCB 边界）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                      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┌─────────────────────┐  ┌──────────────────────────┐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│   密钥管理模块       │  │    凭证加解密模块          │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│  - 主密钥派生(HKDF)  │  │  - AES-256-GCM 加密       │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│  - 密钥树管理        │  │  - Shamir 分片重建         │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│  - Sealing/Unsealing │  │  - 明文生命周期管理        │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└─────────────────────┘  └──────────────────────────┘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                      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┌─────────────────────┐  ┌──────────────────────────┐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│   Token 签发模块     │  │    远程认证模块            │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│  - PASETO v4 签发    │  │  - Quote 生成(DCAP)       │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│  - Token 验证        │  │  - 认证报告生成            │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│  - 单次使用强制      │  │  - Enclave 度量值对比      │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└─────────────────────┘  └──────────────────────────┘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                      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─────── EPC 加密内存边界（Intel Memory Encryption Engine） ─│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↑ 唯一出口：通过 ECALL/OCALL 接口的结构化 API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Untrusted Region（不可信区域，OS/Gateway 运行在此）: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- 加密的 Vault 数据库（密文）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- Action Token（PASETO 密文，TEE 内签发）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- 审计日志（明文操作记录，无凭证数据）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0"/>
      </w:pPr>
      <w:r>
        <w:rPr>
          <w:rFonts w:ascii="Arial" w:cs="Arial" w:eastAsia="Arial" w:hAnsi="Arial"/>
        </w:rPr>
        <w:t xml:space="preserve">5.3  远程认证（Remote Attestation）流程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远程认证确保用户和审计方可以密码学验证：运行中的 CredBridge 代码未被篡改，且确实在真实的 TEE 硬件中运行。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步骤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操作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技术实现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用户请求认证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用户客户端向 Gateway 发起认证挑战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 GET /v1/tee/attest，返回 nonce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Enclave 生成 Quote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SGX enclave 将 nonce + MRENCLAVE 测量值签名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Intel DCAP: QE 生成 ECDSA-P256 签名 Quote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Quote 上传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Gateway 将 Quote 发送给用户客户端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Quote 包含: MRENCLAVE, MRSIGNER, 产品ID, 安全版本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本地或云端验证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用户侧或第三方验证 Quote 有效性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Intel Trust Authority / Azure Attestation / 本地 PCCS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策略评估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验证 MRENCLAVE 是否匹配已发布的代码哈希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对比 CredBridge 发布的官方 MRENCLAVE 注册表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6. 建立可信信道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验证通过后，用户与 enclave 建立 TLS over RA-TLS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RA-TLS：证书由 enclave 签发，绑定 enclave 测量值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0"/>
      </w:pPr>
      <w:r>
        <w:rPr>
          <w:rFonts w:ascii="Arial" w:cs="Arial" w:eastAsia="Arial" w:hAnsi="Arial"/>
        </w:rPr>
        <w:t xml:space="preserve">5.4  Sealing（密封存储）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TEE Sealing 允许 enclave 将数据加密持久化到磁盘，且解密只能发生在具有相同测量值的 enclave 实例中。CredBridge 使用两种 Sealing 策略：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MRENCLAVE Sealing（严格模式）：仅当前版本 enclave 可解封。用于短期操作状态，升级时自动失效。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MRSIGNER Sealing（兼容模式）：同一签名者的不同版本 enclave 可解封。用于跨版本持久化的 L1 主密钥包，支持安全升级。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5" w:sz="1"/>
              <w:left w:val="single" w:color="2D3F55" w:sz="1"/>
              <w:bottom w:val="single" w:color="2D3F55" w:sz="1"/>
              <w:right w:val="single" w:color="2D3F55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Sealing 密钥派生（SGX SDK）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SEAL_KEY = PRF(SGX_SEAL_KEY, MRENCLAVE/MRSIGNER, ISVSVN, CPUSVN)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外部存储格式（磁盘）：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interface SealedKeyPackage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seal_policy: 'MRENCLAVE' | 'MRSIGNER';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cpusvn:      Buffer;    // CPU 安全版本号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isvsvn:      number;    // ISV 安全版本号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keyrequest:  Buffer;    // SGX 密钥请求结构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ciphertext:  Buffer;    // 密封后的 L1 主密钥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mac:         Buffer;    // GCM 认证标签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</w:rPr>
        <w:t xml:space="preserve">6. 系统总体架构</w:t>
      </w:r>
    </w:p>
    <w:p>
      <w:pPr>
        <w:pStyle w:val="Heading2"/>
        <w:spacing w:after="100" w:before="0"/>
      </w:pPr>
      <w:r>
        <w:rPr>
          <w:rFonts w:ascii="Arial" w:cs="Arial" w:eastAsia="Arial" w:hAnsi="Arial"/>
        </w:rPr>
        <w:t xml:space="preserve">6.1  组件总览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5" w:sz="1"/>
              <w:left w:val="single" w:color="2D3F55" w:sz="1"/>
              <w:bottom w:val="single" w:color="2D3F55" w:sz="1"/>
              <w:right w:val="single" w:color="2D3F55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用户交互层                        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WhatsApp / Telegram / Slack / iMessage / WebChat (via OpenClaw)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└──────────────────────────┬─────────────────────────────────────────┘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          │ 消息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┌──────────────────────────▼─────────────────────────────────────────┐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OpenClaw Gateway (:18789)         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Channel Adapters → Session Manager → Pi Agent Runtime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                        │     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              ┌─────────▼──────────┐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              │  System Prompt 组装 │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              │  SOUL.md + Skills   │ ← credbridge/SKILL.md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              └─────────┬──────────┘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└──────────────────────────────┼─────────────────────────────────────┘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              │ MCP Tool Call via mcporter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┌──────────────────────────────▼─────────────────────────────────────┐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CredBridge Gateway Layer          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┌─────────────────┐  ┌────────────────┐  ┌──────────────────┐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│ OAuth2/PKCE     │  │ Policy Engine  │  │  MCP Server      │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│ Consent Engine  │  │ Rate Limit     │  │  (SSE Transport) │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└────────┬────────┘  └───────┬────────┘  └────────┬─────────┘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└───────────┼───────────────────┼───────────────────-┼───────────────┘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│ 授权请求           │ 策略检查            │ 工具调用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┌───────────▼───────────────────▼────────────────────▼───────────────┐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TEE Enclave 层（Intel SGX / AMD SEV）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┌──────────────┐  ┌──────────────┐  ┌──────────────────────────┐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│ 密钥管理     │  │ Token 签发   │  │ 凭证解密（按需，即用即销）│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│ (HSM可选)    │  │ PASETO v4    │  │ AES-256-GCM / Shamir     │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└──────────────┘  └──────────────┘  └──────────────────────────┘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└──────────────────────────────┬──────────────────────────────────────┘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              │ 临时凭证材料（仅在内存中，操作后清零）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┌──────────────────────────────▼──────────────────────────────────────┐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Connector Runtime（隔离容器，AMD SEV-SNP 可选）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Direct API / OAuth Exchange / Playwright Browser / Form Submit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└──────────────────────────────┬──────────────────────────────────────┘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              │ HTTPS / API 调用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┌──────────────────────────────▼──────────────────────────────────────┐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目标服务（银行/政府/电商/SaaS/...）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              ↕ 异步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安全存储层                         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HashiCorp Vault（凭证密文）+ immudb（不可篡改审计日志）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+ PostgreSQL with RLS（元数据）+ Redis（Token 单次使用状态）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0"/>
      </w:pPr>
      <w:r>
        <w:rPr>
          <w:rFonts w:ascii="Arial" w:cs="Arial" w:eastAsia="Arial" w:hAnsi="Arial"/>
        </w:rPr>
        <w:t xml:space="preserve">6.2  端到端操作生命周期（8步流程）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560"/>
        <w:gridCol w:w="3400"/>
      </w:tblGrid>
      <w:t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步骤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执行位置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操作描述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安全机制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Agent 发起调用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OpenClaw Pi Runtime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Agent 调用 MCP Tool: credbridge_execute({service, action, params})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MCP Bearer Token 验证 Agent 会话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权限预检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CredBridge Gateway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查询用户已授权的 Scope 列表，对比请求的 action 是否在范围内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Scope 白名单，数据库行级安全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风险分级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Policy Engine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根据操作类型、金额、时间、历史模式评估风险等级（0/1/2）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机器学习风险评分 + 规则引擎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HITL 审批（如需）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推送通知 → 用户设备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Tier 1/2 操作推送手机审批，用户确认后继续；超时自动拒绝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TOTP 二次验证，设备绑定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TEE 内 Token 签发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SGX Enclave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验证授权后，在 enclave 内签发 PASETO v4.local Action Token，写入 Redis 单次使用记录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enclave 内部密钥，Redis jti 单次强制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6. TEE 内凭证解密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SGX Enclave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使用 Action Token 的 vault_ref 定位密文，在 enclave 内解密得到临时明文材料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AES-256-GCM，明文仅在 enclave EPC 内存中存在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7. Connector 执行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隔离容器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从 enclave 安全信道接收临时凭证（不落磁盘），执行 API 调用或浏览器操作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容器完成后立即销毁，凭证 memset 清零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8. 结果返回与审计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Gateway + immudb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清洗结果（移除 PII），写入不可篡改审计日志，返回 Agent，通知用户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immudb 加密哈希链，Agent 只收到业务结果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</w:rPr>
        <w:t xml:space="preserve">7. 数据模型与存储设计</w:t>
      </w:r>
    </w:p>
    <w:p>
      <w:pPr>
        <w:pStyle w:val="Heading2"/>
        <w:spacing w:after="100" w:before="0"/>
      </w:pPr>
      <w:r>
        <w:rPr>
          <w:rFonts w:ascii="Arial" w:cs="Arial" w:eastAsia="Arial" w:hAnsi="Arial"/>
        </w:rPr>
        <w:t xml:space="preserve">7.1  凭证记录结构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5" w:sz="1"/>
              <w:left w:val="single" w:color="2D3F55" w:sz="1"/>
              <w:bottom w:val="single" w:color="2D3F55" w:sz="1"/>
              <w:right w:val="single" w:color="2D3F55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Vault 凭证记录（TypeScript 类型定义）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interface VaultEntry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// ─── 标识符（明文存储，无敏感信息）────────────────────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id:           string;          // UUID v7，外部唯一引用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user_id:      string;          // 用户 ID（哈希后存储）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service_id:   string;          // 服务标识，如 'schwab' 'irs'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created_at:   Date;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updated_at:   Date;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expires_at:   Date | null;     // 凭证有效期（如 OAuth token）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// ─── 加密载荷（仅 TEE 可解密）──────────────────────────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credential_type: CredentialType;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encrypted_payload: EncryptedBlob;  // 见 §4.2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// ─── Scope 与权限（明文，用于 Gateway 快速检查）─────────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granted_scopes: ActionScope[];     // 已授权的操作列表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scope_hash:     string;            // SHA-256(granted_scopes) 防篡改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// ─── MFA 配置（仅存元数据，TOTP 种子加密存储）──────────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mfa_type:    'totp' | 'sms' | 'push' | null;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mfa_hint:    string | null;        // 如：手机号末四位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// ─── Shamir 分片元数据（KYC文件专用）───────────────────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shard_config: ShardConfig | null;  // n, k, 分片位置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type CredentialType 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| 'username_password'  // 经典账号密码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| 'oauth_refresh'      // OAuth2 refresh token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| 'api_key'            // API 密钥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| 'session_cookie'     // 持久化会话 Cookie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| 'kyc_document'       // 身份证明文件（Shamir 分片）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| 'saml_assertion'     // SAML SSO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| 'cert_p12';          // 客户端证书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0"/>
      </w:pPr>
      <w:r>
        <w:rPr>
          <w:rFonts w:ascii="Arial" w:cs="Arial" w:eastAsia="Arial" w:hAnsi="Arial"/>
        </w:rPr>
        <w:t xml:space="preserve">7.2  存储分层策略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560"/>
        <w:gridCol w:w="220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数据类型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存储引擎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加密方式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访问控制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凭证密文（EncryptedBlob）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HashiCorp Vault（KV v2 引擎）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Vault 自身 AES-256 + L3 密钥双重加密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仅 TEE enclave 有 Vault Token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KYC 文件分片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加密 S3 / MinIO（自托管）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SSE-C + AES-256-GCM，Shamir 分片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分片分布在不同物理节点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用户/服务元数据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+ Row Level Security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列级加密（敏感字段）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每用户独立 DB 角色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Action Token 状态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Redis（jti 单次使用记录）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Redis TLS + 内存加密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TTL=15min 自动过期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审计日志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immudb（不可篡改）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哈希链 + 数字签名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Append-only，无 DELETE 权限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操作会话状态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Redis（短期）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TLS 传输加密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TTL=5min，操作完成立即清除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</w:rPr>
        <w:t xml:space="preserve">8. OpenClaw 集成方案</w:t>
      </w:r>
    </w:p>
    <w:p>
      <w:pPr>
        <w:pStyle w:val="Heading2"/>
        <w:spacing w:after="100" w:before="0"/>
      </w:pPr>
      <w:r>
        <w:rPr>
          <w:rFonts w:ascii="Arial" w:cs="Arial" w:eastAsia="Arial" w:hAnsi="Arial"/>
        </w:rPr>
        <w:t xml:space="preserve">8.1  集成架构概述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CredBridge 通过两条路径与 OpenClaw 集成，无需修改 OpenClaw 核心代码（packages/core 或 packages/gateway）：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路径一 — SKILL.md：注册 CredBridge 为 OpenClaw Skill，使 Pi Agent Runtime 能感知其能力，在 system prompt 中包含工具描述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路径二 — mcporter：CredBridge 实现标准 MCP Server（SSE Transport），通过 mcporter 无缝接入 OpenClaw 的 MCP 工具生态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0"/>
      </w:pPr>
      <w:r>
        <w:rPr>
          <w:rFonts w:ascii="Arial" w:cs="Arial" w:eastAsia="Arial" w:hAnsi="Arial"/>
        </w:rPr>
        <w:t xml:space="preserve">8.2  Skill 安装与配置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5" w:sz="1"/>
              <w:left w:val="single" w:color="2D3F55" w:sz="1"/>
              <w:bottom w:val="single" w:color="2D3F55" w:sz="1"/>
              <w:right w:val="single" w:color="2D3F55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通过 ClawHub 安装（正式上线后）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/skill install credbridge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手动安装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npm install -g @credbridge/openclaw-skill@latest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credbridge init          # 引导式初始化：TEE 检测、Vault 后端、加密配置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credbridge connect        # 连接服务（引导式配置具体服务凭证）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credbridge verify-tee    # 验证本地 TEE 环境可用性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credbridge start          # 启动 MCP Server（默认端口 3721）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服务启动后自动配置 mcporter：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~/.openclaw/mcporter.json 将被追加以下配置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5" w:sz="1"/>
              <w:left w:val="single" w:color="2D3F55" w:sz="1"/>
              <w:bottom w:val="single" w:color="2D3F55" w:sz="1"/>
              <w:right w:val="single" w:color="2D3F55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~/.openclaw/mcporter.json（credbridge init 自动追加）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"servers":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"credbridge":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"url":        "http://127.0.0.1:3721/sse",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"transport":  "sse",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"auth":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"type":     "bearer",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"token":    "${CREDBRIDGE_AGENT_TOKEN}"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"autoStart": 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"healthCheck":"http://127.0.0.1:3721/health",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"tee_attestation":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"require": 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"verify_url":"https://credbridge.ai/registry/mrenclave"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0"/>
      </w:pPr>
      <w:r>
        <w:rPr>
          <w:rFonts w:ascii="Arial" w:cs="Arial" w:eastAsia="Arial" w:hAnsi="Arial"/>
        </w:rPr>
        <w:t xml:space="preserve">8.3  SKILL.md 设计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SKILL.md 是 OpenClaw Skill 系统的核心文件，决定了 Pi Agent 何时将 CredBridge 注入 system prompt：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5" w:sz="1"/>
              <w:left w:val="single" w:color="2D3F55" w:sz="1"/>
              <w:bottom w:val="single" w:color="2D3F55" w:sz="1"/>
              <w:right w:val="single" w:color="2D3F55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---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name: credbridge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description: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当 Agent 需要以用户身份登录或操作任何需要认证的服务时使用。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涵盖：银行/券商/政府门户/电商/SaaS/医疗/HR 等所有需要凭证的场景。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Agent 自身不持有任何凭证，通过 CredBridge 安全代理执行操作。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triggers: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- 用户要求查询/操作需要登录的账户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- 需要提交包含个人身份信息的表单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- 需要以用户身份调用第三方 API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security: tee-verified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version: 1.0.0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---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CredBridge — AI 行动授权与凭证桥接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通过 CredBridge，你可以安全地代表用户与外部服务交互。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**关键约束：永远不要请求用户直接提供明文密码或身份证号。**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调用 credbridge_list_services 了解用户已授权的服务，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调用 credbridge_execute 执行具体操作。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0"/>
      </w:pPr>
      <w:r>
        <w:rPr>
          <w:rFonts w:ascii="Arial" w:cs="Arial" w:eastAsia="Arial" w:hAnsi="Arial"/>
        </w:rPr>
        <w:t xml:space="preserve">8.4  与 OpenClaw 安全边界的协同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CredBridge 与 OpenClaw 现有安全机制协同工作，而非替代：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OpenClaw 安全机制</w:t>
            </w:r>
          </w:p>
        </w:tc>
        <w:tc>
          <w:tcPr>
            <w:tcW w:type="dxa" w:w="5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CredBridge 补充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DM 配对（Pairing）：控制谁能向 Gateway 发消息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CredBridge 进一步控制已配对用户能执行哪些敏感操作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Skill 沙箱：限制 Skill 的 API 访问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CredBridge 在沙箱外另设 TEE 边界，比 Skill 沙箱更强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Prompt Injection 防御：上下文隔离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Action Token Scope 绑定确保即使 Agent 被注入，也无法超权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openclaw security audit：扫描配置安全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CredBridge 替换 ~/.openclaw/ 明文凭证，从根本解决审计发现的高危问题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</w:rPr>
        <w:t xml:space="preserve">9. MCP 工具规范</w:t>
      </w:r>
    </w:p>
    <w:p>
      <w:pPr>
        <w:pStyle w:val="Heading2"/>
        <w:spacing w:after="100" w:before="0"/>
      </w:pPr>
      <w:r>
        <w:rPr>
          <w:rFonts w:ascii="Arial" w:cs="Arial" w:eastAsia="Arial" w:hAnsi="Arial"/>
        </w:rPr>
        <w:t xml:space="preserve">9.1  工具清单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200"/>
        <w:gridCol w:w="3360"/>
      </w:tblGrid>
      <w:t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工具名称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参数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风险等级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credbridge_list_services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Tier 0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列出用户已配置的服务及其 Scope，供 Agent 了解可用能力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credbridge_execute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service, action, params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Tier 0-2
（按操作类型）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核心执行工具。验证 Scope → 签发 Token → 在 TEE 内解密凭证 → Connector 执行 → 返回结果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credbridge_poll_status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execution_id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Tier 0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轮询异步操作状态（如等待 HITL 审批的操作）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credbridge_get_audit_log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service?, limit?, since?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Tier 0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获取操作审计记录（仅业务结果，无凭证数据）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credbridge_request_scope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service, requested_scopes, reason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Tier 1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请求用户授权新 Scope，触发用户设备审批流程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credbridge_revoke_service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service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Tier 2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吊销指定服务的所有授权和凭证，触发强制用户确认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credbridge_tee_status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Tier 0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返回当前 TEE enclave 状态和认证报告，供用户/审计验证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0"/>
      </w:pPr>
      <w:r>
        <w:rPr>
          <w:rFonts w:ascii="Arial" w:cs="Arial" w:eastAsia="Arial" w:hAnsi="Arial"/>
        </w:rPr>
        <w:t xml:space="preserve">9.2  核心工具 Schema（credbridge_execute）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5" w:sz="1"/>
              <w:left w:val="single" w:color="2D3F55" w:sz="1"/>
              <w:bottom w:val="single" w:color="2D3F55" w:sz="1"/>
              <w:right w:val="single" w:color="2D3F55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MCP Tool Schema（JSON Schema）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"name": "credbridge_execute",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"description": "以用户身份安全执行对外部服务的操作。凭证从加密保险库获取，操作在 TEE 内执行，Agent 仅获得操作结果。",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"inputSchema":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"type": "object",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"required": ["service", "action"],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"properties":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"service":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"type": "string",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"description": "服务 ID，如 schwab/irs/amazon/sofi，见 credbridge_list_services 返回值"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"action":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"type": "string",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"description": "操作 ID，见该服务的 Connector Manifest"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"params":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"type": "object",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"description": "操作参数（仅非敏感参数，如 symbol/amount/date）"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"reason":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"type": "string",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"description": "操作原因说明，将展示给用户审批（Tier 1/2 必填）"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0"/>
      </w:pPr>
      <w:r>
        <w:rPr>
          <w:rFonts w:ascii="Arial" w:cs="Arial" w:eastAsia="Arial" w:hAnsi="Arial"/>
        </w:rPr>
        <w:t xml:space="preserve">9.3  调用示例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5" w:sz="1"/>
              <w:left w:val="single" w:color="2D3F55" w:sz="1"/>
              <w:bottom w:val="single" w:color="2D3F55" w:sz="1"/>
              <w:right w:val="single" w:color="2D3F55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场景：用户问 "帮我查一下 Schwab 的持仓情况"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Step 1: Agent 调用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await mcp.call("credbridge_list_services");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返回: [{ service: "schwab", scopes: ["read_portfolio", "read_balance"], tier: 0 }]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Step 2: Agent 执行操作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const result = await mcp.call("credbridge_execute",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service: "schwab",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action:  "get_portfolio_summary"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CredBridge 内部流程（Agent 不可见）：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 1. Gateway 验证 scope：read_portfolio ✅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 2. 风险评级：Tier 0（读操作）→ 自动审批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 3. TEE 签发 PASETO Token（15min TTL）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 4. TEE 解密 Schwab 凭证（enclave 内部）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 5. Connector 使用 OAuth 调用 Schwab API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 6. 结果清洗，写入审计日志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 7. 返回结果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返回给 Agent（无任何凭证信息）：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  total_value:      84320.11,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  day_change:       -1204.33,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  top_holdings:     [{ symbol: "AAPL", value: 12400, pct: 14.7 }, ...],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  execution_id:     "exec_01HXY...",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  tee_verified:    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}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</w:rPr>
        <w:t xml:space="preserve">10. 连接器系统（Connector Runtime）</w:t>
      </w:r>
    </w:p>
    <w:p>
      <w:pPr>
        <w:pStyle w:val="Heading2"/>
        <w:spacing w:after="100" w:before="0"/>
      </w:pPr>
      <w:r>
        <w:rPr>
          <w:rFonts w:ascii="Arial" w:cs="Arial" w:eastAsia="Arial" w:hAnsi="Arial"/>
        </w:rPr>
        <w:t xml:space="preserve">10.1  连接器类型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连接器类型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适用场景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隔离方式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凭证注入方式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Direct API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服务有官方 REST/GraphQL API（Schwab、Alpaca、Stripe）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进程隔离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TEE 通过安全信道注入内存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OAuth Exchange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服务支持 OAuth2，需要 refresh token 兑换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Docker 容器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refresh_token 从 TEE 注入，access_token 在内存中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Browser Automation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无 API，仅有 Web 门户（SoFi、DMV）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gVisor 沙箱容器 + AMD SEV-SNP（可选）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密码从 TEE 注入，Playwright 执行后立即清零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Form Submission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政府/传统服务，需要上传 KYC 文件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gVisor 容器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Shamir 重建后的明文在 enclave 内注入，文件不落磁盘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Screen Understanding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UI 不稳定，无固定 CSS Selector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gVisor 容器 + Vision LLM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截图 → Vision LLM 识别元素 → Playwright 操作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Session Replay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服务支持持久化 Cookie/Session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进程隔离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Cookie 从 TEE 注入，会话到期自动降级为 Browser Auto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0"/>
      </w:pPr>
      <w:r>
        <w:rPr>
          <w:rFonts w:ascii="Arial" w:cs="Arial" w:eastAsia="Arial" w:hAnsi="Arial"/>
        </w:rPr>
        <w:t xml:space="preserve">10.2  容器隔离规范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每次操作在全新容器中执行，操作完成立即销毁。容器安全配置：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网络：出口仅允许目标服务域名（allowlist），无法访问其他地址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文件系统：只读根文件系统，/tmp 为 tmpfs（内存），操作完成后自动清除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系统调用：seccomp 白名单，仅允许必要 syscall（block ptrace / perf_event 等监控类调用）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用户：以非 root 用户运行（uid=1000），无 CAP_SYS_PTRACE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内存：在 AMD SEV-SNP 部署中，容器内存由 SEV 固件加密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凭证清零：操作完成后调用 sodium_memzero() 主动清除内存中的凭证副本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0"/>
      </w:pPr>
      <w:r>
        <w:rPr>
          <w:rFonts w:ascii="Arial" w:cs="Arial" w:eastAsia="Arial" w:hAnsi="Arial"/>
        </w:rPr>
        <w:t xml:space="preserve">10.3  Connector Manifest 格式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5" w:sz="1"/>
              <w:left w:val="single" w:color="2D3F55" w:sz="1"/>
              <w:bottom w:val="single" w:color="2D3F55" w:sz="1"/>
              <w:right w:val="single" w:color="2D3F55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示例：irs.connector.json（美国国税局）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"service_id":     "irs",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"display_name":   "美国国税局 (IRS)",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"category":       "government/tax",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"connector_type": "form_submission",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"auth_types":     ["username_password"],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"base_url":       "https://www.irs.gov",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"kyc_required":   ["ssn", "dob", "address"],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"jurisdiction":   "US",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"legal_note":     "自动化提交需符合 IRS e-file 规定",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"actions":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"id":          "check_refund_status",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"description": "查询退税状态",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"risk_tier":   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"params":      {},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"returns":     { "status": "string", "amount": "number|null", "date": "string|null"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"id":          "submit_extension",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"description": "申请报税延期（Form 4868）",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"risk_tier":   2,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"params":      { "tax_year": "number"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"kyc_needed":  ["ssn", "dob", "address", "estimated_tax"],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"returns":     { "confirmation_number": "string", "deadline": "string"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</w:rPr>
        <w:t xml:space="preserve">11. 人工审批（Human-in-the-Loop）</w:t>
      </w:r>
    </w:p>
    <w:p>
      <w:pPr>
        <w:pStyle w:val="Heading2"/>
        <w:spacing w:after="100" w:before="0"/>
      </w:pPr>
      <w:r>
        <w:rPr>
          <w:rFonts w:ascii="Arial" w:cs="Arial" w:eastAsia="Arial" w:hAnsi="Arial"/>
        </w:rPr>
        <w:t xml:space="preserve">11.1  风险分级策略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2560"/>
        <w:gridCol w:w="1800"/>
      </w:tblGrid>
      <w:t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风险等级</w:t>
            </w:r>
          </w:p>
        </w:tc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判定条件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审批机制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超时处理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Tier 0
自动批准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纯读操作 / 写操作金额 &lt; 用户设定阈值（默认 $0）/ 常规服务日常操作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有效 Action Token 即自动执行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Tier 1
软审批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首次使用新服务 / 写操作在阈值内 / 非常规时间（用户历史习惯模型判断）/ 新设备触发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推送通知到绑定设备，30分钟内需确认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超时自动拒绝，写入审计日志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Tier 2
强制审批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金额超过阈值 / 不可逆操作（开户/大额转账/文件提交）/ 政府服务 / 高风险操作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推送通知 + 需要 PIN 或生物识别确认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超时自动拒绝，需用户重新发起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0"/>
      </w:pPr>
      <w:r>
        <w:rPr>
          <w:rFonts w:ascii="Arial" w:cs="Arial" w:eastAsia="Arial" w:hAnsi="Arial"/>
        </w:rPr>
        <w:t xml:space="preserve">11.2  审批推送渠道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CredBridge 利用 OpenClaw 现有的消息渠道发送审批通知，无需额外安装 App：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主要渠道：通过 OpenClaw Gateway 向用户已配置的 Telegram/WhatsApp/Signal 发送带按钮的确认消息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备用渠道：独立移动 App（后期路线图），基于 ARM TrustZone 的设备绑定审批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降级方案：短信 OTP（需要服务器端 SMS 提供商）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审批消息格式示例（Telegram）：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5" w:sz="1"/>
              <w:left w:val="single" w:color="2D3F55" w:sz="1"/>
              <w:bottom w:val="single" w:color="2D3F55" w:sz="1"/>
              <w:right w:val="single" w:color="2D3F55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╔══════════════════════════════════════╗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║  🔐 CredBridge 操作审批请求           ║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╠══════════════════════════════════════╣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║  服务：Charles Schwab               ║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║  操作：提交市价单                     ║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║  标的：AAPL × 10 股                  ║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║  预估金额：~$2,340                   ║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║  发起时间：2026-03-09 14:23 PST      ║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║  发起来源：你的 OpenClaw Agent        ║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╠══════════════════════════════════════╣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║  [✅ 确认执行]    [❌ 拒绝]           ║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║  [🔒 查看详情]   [⚠️ 举报异常]        ║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╚══════════════════════════════════════╝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有效期：30 分钟 | 超时自动拒绝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</w:rPr>
        <w:t xml:space="preserve">12. 审计与合规</w:t>
      </w:r>
    </w:p>
    <w:p>
      <w:pPr>
        <w:pStyle w:val="Heading2"/>
        <w:spacing w:after="100" w:before="0"/>
      </w:pPr>
      <w:r>
        <w:rPr>
          <w:rFonts w:ascii="Arial" w:cs="Arial" w:eastAsia="Arial" w:hAnsi="Arial"/>
        </w:rPr>
        <w:t xml:space="preserve">12.1  不可篡改审计日志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>CredBridge 使用 immudb 构建密码学证明的不可篡改日志。immudb 基于哈希树（Merkle Tree）和数字签名，任何历史记录的修改都会破坏哈希链并被立即发现。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5" w:sz="1"/>
              <w:left w:val="single" w:color="2D3F55" w:sz="1"/>
              <w:bottom w:val="single" w:color="2D3F55" w:sz="1"/>
              <w:right w:val="single" w:color="2D3F55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审计日志条目结构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interface AuditEntry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// ─── 标识（明文）──────────────────────────────────────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id:           string;    // UUID v7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user_id_hash: string;    // SHA-256(user_id)，保护用户隐私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timestamp:    Date;      // UTC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session_id:   string;    // OpenClaw 会话 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// ─── 操作信息（明文）────────────────────────────────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service:      string;    // 如 'schwab'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action:       string;    // 如 'place_order'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risk_tier:    0 | 1 | 2;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outcome:      'success' | 'failure' | 'denied' | 'timeout';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error_code:   string | null;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// ─── HITL 记录（如适用）─────────────────────────────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hitl_required:  boolean;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hitl_decision:  'approved' | 'rejected' | 'timeout' | null;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hitl_timestamp: Date | null;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// ─── 技术取证信息────────────────────────────────────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tee_mrenclave:    string;   // enclave 度量值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connector_image:  string;   // Docker 镜像哈希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action_token_jti: string;   // Token ID（无法反推凭证）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// ─── 参数摘要（PII 已脱敏）──────────────────────────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sanitized_params: Record&lt;string, string&gt;; // PII 替换为类型 token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// 例：{ amount: '$2340', symbol: 'AAPL', ssn: '[SSN_REDACTED]'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0"/>
      </w:pPr>
      <w:r>
        <w:rPr>
          <w:rFonts w:ascii="Arial" w:cs="Arial" w:eastAsia="Arial" w:hAnsi="Arial"/>
        </w:rPr>
        <w:t xml:space="preserve">12.2  合规认证路线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360"/>
        <w:gridCol w:w="240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认证标准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目标时间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核心要求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当前差距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SOC 2 Type I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MVP + 3个月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安全、可用性、保密性控制文档化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需要完成安全控制文档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SOC 2 Type II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MVP + 12个月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上述控制持续有效运行（6个月观察期）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需要 6 个月运营数据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ISO 27001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MVP + 18个月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信息安全管理体系（ISMS）建立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需要完整 ISMS 建设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FIPS 140-3 Level 3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MVP + 24个月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密码模块物理安全 + 身份验证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需要第三方实验室认证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GDPR 合规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上线前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数据主体权利、DPA、数据驻留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需要法律评审和 DPA 协议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CCPA 合规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上线前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加州居民数据权利、隐私通知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需要隐私政策更新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</w:rPr>
        <w:t xml:space="preserve">13. 安全攻击面分析</w:t>
      </w:r>
    </w:p>
    <w:p>
      <w:pPr>
        <w:pStyle w:val="Heading2"/>
        <w:spacing w:after="100" w:before="0"/>
      </w:pPr>
      <w:r>
        <w:rPr>
          <w:rFonts w:ascii="Arial" w:cs="Arial" w:eastAsia="Arial" w:hAnsi="Arial"/>
        </w:rPr>
        <w:t xml:space="preserve">13.1  攻击向量与缓解措施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4000"/>
        <w:gridCol w:w="19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攻击向量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风险等级</w:t>
            </w:r>
          </w:p>
        </w:tc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技术缓解措施</w:t>
            </w:r>
          </w:p>
        </w:tc>
        <w:tc>
          <w:tcPr>
            <w:tcW w:type="dxa" w:w="1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残余风险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Vault 数据库全量泄露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高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数据库内只有 AES-256-GCM 密文；L1 主密钥在 SGX enclave 内 Sealing，密文离开 enclave 后不可用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极低（只有密文）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Agent Prompt Injection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高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Action Token Scope 硬编码绑定；Gateway 独立于 Agent 进行二次 Scope 校验；操作结果不含凭证信息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低（操作有限且审计）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TEE Side-Channel（如 Spectre）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中高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禁用超线程（SGX 推荐配置）；启用 SGX SDK 的 ASLR；定期更新 Microcode；选用 TDX/SEV-SNP 作为替代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中（存在于所有 TEE 实现）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Connector 容器逃逸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高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gVisor sandbox（用户态内核）；seccomp 严格白名单；无 CAP_SYS_PTRACE；AMD SEV-SNP 隔离（可选）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低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MitM / TLS 降级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中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mTLS 1.3 强制；Certificate Pinning；HSTS；RA-TLS（证书绑定 enclave 测量值）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极低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Token 重放攻击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中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PASETO jti 存 Redis，单次使用强制；15min TTL；Token 绑定 user_id + service + action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极低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Supply Chain（恶意 Skill）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高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CredBridge 在 OpenClaw Skill 沙箱外的 TEE 中运行；恶意 Skill 无法访问 enclave 内部；凭证不落明文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低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物理内存提取（Cold Boot）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中高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Intel TME-MK（内存加密）；AMD SME；关键密钥材料仅在 TEE EPC 内；EPC 内存为硬件加密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低（EPC 内存加密）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内部人员越权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中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零知识架构：员工无法访问 enclave 内部；数据库仅有密文；强制双人签名策略（操作规程）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低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BGP 劫持 / DNS 投毒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低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Certificate Transparency 监控；DANE / DNSSEC；关键操作使用 IP Pinning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极低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0"/>
      </w:pPr>
      <w:r>
        <w:rPr>
          <w:rFonts w:ascii="Arial" w:cs="Arial" w:eastAsia="Arial" w:hAnsi="Arial"/>
        </w:rPr>
        <w:t xml:space="preserve">13.2  已知 TEE 局限性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8350F" w:sz="1"/>
              <w:left w:val="single" w:color="78350F" w:sz="1"/>
              <w:bottom w:val="single" w:color="78350F" w:sz="1"/>
              <w:right w:val="single" w:color="78350F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8350F"/>
                <w:sz w:val="18"/>
                <w:szCs w:val="18"/>
              </w:rPr>
              <w:t xml:space="preserve">重要声明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TEE 不是银弹。以下已知攻击类别需要额外的缓解措施，且仍存在残余风险。我们在设计文档中明确列出，以避免对安全性产生错误的过度自信。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侧信道攻击（Side-channel）：Spectre、Meltdown 类攻击已有针对 SGX 的 PoC。缓解：禁用超线程、启用 Microcode 更新、使用 SGX 2.0 的改进隔离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电压故障注入（VoltJockey 类）：通过 DVFS 操控电压可能破坏 TrustZone AES 密钥提取。缓解：服务端部署 SGX（无直接物理访问），不依赖 TrustZone 作为服务端主力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Rowhammer：DRAM 物理特性导致比特翻转。缓解：ECC 内存（服务器标准配置）、内存隔离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TEE 供应商可信度：Intel/AMD 作为硬件厂商理论上可后门。缓解：开源 SDK、可审计的 MRENCLAVE、多厂商 TEE 交叉验证（可选）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</w:rPr>
        <w:t xml:space="preserve">14. 部署架构</w:t>
      </w:r>
    </w:p>
    <w:p>
      <w:pPr>
        <w:pStyle w:val="Heading2"/>
        <w:spacing w:after="100" w:before="0"/>
      </w:pPr>
      <w:r>
        <w:rPr>
          <w:rFonts w:ascii="Arial" w:cs="Arial" w:eastAsia="Arial" w:hAnsi="Arial"/>
        </w:rPr>
        <w:t xml:space="preserve">14.1  部署模式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部署模式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目标用户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TEE 支持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自托管（本地）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技术用户 / 开发者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软件 TEE
（无硬件 TEE）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与 OpenClaw 运行在同一主机，最低摩擦，安全级别较低，适合开发测试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自托管（SGX 服务器）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高安全需求用户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Intel SGX
Full TEE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用户自行购买 SGX 服务器（如 Intel NUC with SGX），最高安全级别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云托管（Azure CVM）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企业/SaaS 用户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AMD SEV-SNP
机密 VM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部署在 Azure DCsv3 / Cobalt CVM，结合 Azure Attestation，最易部署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云托管（AWS Nitro）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AWS 用户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AWS Nitro Enclaves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EC2 + Nitro Enclave，AWS 用户首选，支持 PCR 测量值验证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多方部署（企业级）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大型企业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多 TEE 实例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密钥 Shamir 分片跨多个 TEE 实例，需要多方签名执行高风险操作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0"/>
      </w:pPr>
      <w:r>
        <w:rPr>
          <w:rFonts w:ascii="Arial" w:cs="Arial" w:eastAsia="Arial" w:hAnsi="Arial"/>
        </w:rPr>
        <w:t xml:space="preserve">14.2  自托管 + SGX 快速部署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3F55" w:sz="1"/>
              <w:left w:val="single" w:color="2D3F55" w:sz="1"/>
              <w:bottom w:val="single" w:color="2D3F55" w:sz="1"/>
              <w:right w:val="single" w:color="2D3F55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前提：Intel SGX 支持的 CPU（Intel Core 6代+ 或 Xeon E3/E-系列）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检测 SGX 支持：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sgx-detect  # 来自 fortanix/rust-sgx-sdk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安装 CredBridge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npm install -g @credbridge/server@latest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初始化（引导向导）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credbridge init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  → 检测 TEE 环境（SGX / SEV-SNP / 软件降级）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  → 生成 TEE enclave 并进行 Remote Attestation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  → 初始化 Vault 后端（HashiCorp Vault 或 AWS Secrets Manager）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  → 生成 L0 Root Key（存入 SGX Sealing）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  → 配置 Redis（单次 Token 使用强制）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  → 配置 immudb（不可篡改审计日志）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  → 生成 OpenClaw mcporter 配置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以 systemd 服务启动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credbridge service install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systemctl --user start credbridge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验证 TEE 认证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credbridge verify  # 打印 MRENCLAVE 和认证报告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</w:rPr>
        <w:t xml:space="preserve">15. 实施路线图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3500"/>
        <w:gridCol w:w="36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时间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核心交付物</w:t>
            </w:r>
          </w:p>
        </w:tc>
        <w:tc>
          <w:tcPr>
            <w:tcW w:type="dxa" w:w="36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技术里程碑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0
基础加密层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 → 4 周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密钥层次设计 + AES-256-GCM 凭证加密 + PASETO v4 Token + 基础 Vault 存储 + immudb 审计日志</w:t>
            </w:r>
          </w:p>
        </w:tc>
        <w:tc>
          <w:tcPr>
            <w:tcW w:type="dxa" w:w="3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通过 NIST 密码算法合规检查
完成密钥层次 Code Review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1
MVP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 → 10 周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软件 TEE（无硬件依赖）+ MCP Server + OpenClaw Skill + 5 个种子连接器（Alpaca/GitHub/Amazon）+ HITL 推送审批（Telegram）</w:t>
            </w:r>
          </w:p>
        </w:tc>
        <w:tc>
          <w:tcPr>
            <w:tcW w:type="dxa" w:w="3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与 OpenClaw 端到端集成联调
首个真实服务操作成功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2
TEE 硬化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 → 20 周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Intel SGX Enclave 实现 + AMD SEV-SNP Connector 隔离 + 远程认证流程 + Shamir KYC 文件存储 + 政府服务连接器（IRS/DMV）</w:t>
            </w:r>
          </w:p>
        </w:tc>
        <w:tc>
          <w:tcPr>
            <w:tcW w:type="dxa" w:w="3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TEE 认证验证流程上线
SGX enclave 通过安全审计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3
商用化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 → 36 周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50+ 连接器 + 云部署（Azure/AWS Nitro）+ SOC 2 Type I 认证 + 开放 Connector SDK + ClawHub Skill 发布 + 企业多方部署</w:t>
            </w:r>
          </w:p>
        </w:tc>
        <w:tc>
          <w:tcPr>
            <w:tcW w:type="dxa" w:w="3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SOC 2 Type I 报告获取
生产环境稳定运行 30 天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4
认证与生态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36 → 60 周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SOC 2 Type II + FIPS 140-3 Level 3 认证 + 100+ 连接器 + 连接器市场 + PQC 预研（后量子密码迁移路径）</w:t>
            </w:r>
          </w:p>
        </w:tc>
        <w:tc>
          <w:tcPr>
            <w:tcW w:type="dxa" w:w="3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FIPS 认证获取
连接器生态 100+ 上线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</w:rPr>
        <w:t xml:space="preserve">16. 附录</w:t>
      </w:r>
    </w:p>
    <w:p>
      <w:pPr>
        <w:pStyle w:val="Heading2"/>
        <w:spacing w:after="100" w:before="0"/>
      </w:pPr>
      <w:r>
        <w:rPr>
          <w:rFonts w:ascii="Arial" w:cs="Arial" w:eastAsia="Arial" w:hAnsi="Arial"/>
        </w:rPr>
        <w:t xml:space="preserve">附录 A — 技术选型理由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技术组件</w:t>
            </w:r>
          </w:p>
        </w:tc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选型理由</w:t>
            </w:r>
          </w:p>
        </w:tc>
        <w:tc>
          <w:tcPr>
            <w:tcW w:type="dxa" w:w="2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替代方案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Intel SGX (主力 TEE)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应用级 enclave 粒度，适合凭证解密场景；Azure/AWS 均支持；DCAP 远程认证成熟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AMD SEV（VM 级，粒度较粗）/ AWS Nitro（AWS 锁定）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PASETO v4.local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消除 JWT 的 alg:none / RS256 混淆漏洞；XChaCha20-Poly1305 比 AES-GCM 更适合软件实现（恒定时间）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JWT + RS256（有已知漏洞）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AES-256-GCM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NIST FIPS 197 标准；硬件加速（AES-NI）；AEAD 同时提供加密和完整性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ChaCha20-Poly1305（软件更快，但无 FIPS 认证）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Shamir's Secret Sharing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数学上证明安全；门限方案防止单点泄露；无需单一可信方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多方计算（MPC）—— 更复杂，当前成熟度不足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immudb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专为不可篡改日志设计；Merkle Tree + 数字签名；开源自托管；API 简单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Amazon QLDB（AWS 锁定）/ Hyperledger（复杂度高）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HashiCorp Vault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行业标准秘密管理；动态秘密；审计日志；KV v2 版本控制；自托管友好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AWS Secrets Manager（AWS 锁定）/ Azure Key Vault（Azure 锁定）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gVisor (runsc)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用户态内核，Connector 容器的系统调用被拦截，大幅减少容器逃逸面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标准 runc（无额外系统调用隔离）/ Kata Containers（更重）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HKDF-SHA-256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NIST SP 800-56C 推荐的密钥派生函数；域分离防止密钥复用攻击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PBKDF2（较慢，适合口令，不适合密钥派生）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0"/>
      </w:pPr>
      <w:r>
        <w:rPr>
          <w:rFonts w:ascii="Arial" w:cs="Arial" w:eastAsia="Arial" w:hAnsi="Arial"/>
        </w:rPr>
        <w:t xml:space="preserve">附录 B — 开放问题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4360"/>
      </w:tblGrid>
      <w:t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4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问题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当前倾向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B-1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SGX EPC 内存限制（默认 128MB-256MB）是否会在处理大量并发凭证解密时成为瓶颈？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采用 SGX Paging（性能有损）或分批处理；监控 EPC 使用率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B-2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用户自托管时无 SGX 硬件，软件 TEE 降级方案的安全声明如何措辞，避免误导用户？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明确标记为「降级模式」，UI 显示安全等级，拒绝 KYC 文件存储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B-3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浏览器自动化是否违反目标服务 ToS（如银行的「不得使用自动化工具」条款）？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优先对接官方 API；浏览器自动化仅用于无 API 服务；用户法律责任自担，需要 ToS 同意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B-4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TEE 厂商后门风险如何向用户披露？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在认证报告中明确列出信任链；提供多厂商交叉验证选项；纳入安全白皮书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B-5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后量子密码（PQC）迁移时间表？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跟踪 NIST PQC 标准化（CRYSTALS-Kyber/Dilithium）；2028 年前完成迁移规划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B-6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企业多租户 vs 单用户部署的密钥隔离方案？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多租户：每用户独立 L2 密钥，物理隔离 Vault namespace；单用户：全量 L1 绑定用户设备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475569"/>
        </w:rPr>
        <w:t xml:space="preserve">— 文档结束 —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BF7" w:sz="4"/>
      </w:pBdr>
      <w:spacing w:after="0"/>
    </w:pPr>
    <w:r>
      <w:rPr>
        <w:rFonts w:ascii="Arial" w:cs="Arial" w:eastAsia="Arial" w:hAnsi="Arial"/>
        <w:color w:val="475569"/>
        <w:sz w:val="16"/>
        <w:szCs w:val="16"/>
      </w:rPr>
      <w:t xml:space="preserve">CredBridge  ·  v1.0 设计草案  ·  2026年3月  ·  内部保密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DBF7" w:sz="4"/>
      </w:pBdr>
      <w:spacing w:after="0"/>
    </w:pPr>
    <w:r>
      <w:rPr>
        <w:rFonts w:ascii="Arial" w:cs="Arial" w:eastAsia="Arial" w:hAnsi="Arial"/>
        <w:color w:val="475569"/>
        <w:sz w:val="16"/>
        <w:szCs w:val="16"/>
      </w:rPr>
      <w:t xml:space="preserve">CredBridge 技术设计规范 — 商用级 AI 身份与凭证桥接系统</w:t>
    </w:r>
    <w:r>
      <w:rPr>
        <w:rFonts w:ascii="Arial" w:cs="Arial" w:eastAsia="Arial" w:hAnsi="Arial"/>
        <w:color w:val="1D6FA4"/>
        <w:sz w:val="16"/>
        <w:szCs w:val="16"/>
      </w:rPr>
      <w:t xml:space="preserve">  ·  机密文件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  <w:lvl w:ilvl="2" w15:tentative="1">
      <w:start w:val="1"/>
      <w:numFmt w:val="bullet"/>
      <w:lvlText w:val="▪"/>
      <w:lvlJc w:val="left"/>
      <w:pPr>
        <w:ind w:left="144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6FA4" w:sz="8" w:space="4"/>
      </w:pBdr>
      <w:spacing w:before="400" w:after="200"/>
      <w:outlineLvl w:val="0"/>
    </w:pPr>
    <w:rPr>
      <w:rFonts w:ascii="Arial" w:cs="Arial" w:eastAsia="Arial" w:hAnsi="Arial"/>
      <w:b/>
      <w:bCs/>
      <w:color w:val="0D111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2026-03-09T13:42:50.681Z</dcterms:created>
  <dcterms:modified xsi:type="dcterms:W3CDTF">2026-03-09T13:42:50.682Z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