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9C172B" w:rsidRPr="001B216F" w:rsidRDefault="009C172B" w:rsidP="009C172B">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sidRPr="001B216F">
        <w:rPr>
          <w:rFonts w:ascii="Times New Roman" w:hAnsi="Times New Roman"/>
          <w:b/>
          <w:bCs/>
          <w:color w:val="00B0F0"/>
          <w:sz w:val="34"/>
          <w:szCs w:val="34"/>
          <w:lang w:val="en-GB"/>
        </w:rPr>
        <w:t>XÁC ĐỊNH HÀM LƯỢ</w:t>
      </w:r>
      <w:r w:rsidR="00BD17A7">
        <w:rPr>
          <w:rFonts w:ascii="Times New Roman" w:hAnsi="Times New Roman"/>
          <w:b/>
          <w:bCs/>
          <w:color w:val="00B0F0"/>
          <w:sz w:val="34"/>
          <w:szCs w:val="34"/>
          <w:lang w:val="en-GB"/>
        </w:rPr>
        <w:t>NG</w:t>
      </w:r>
      <w:r w:rsidRPr="001B216F">
        <w:rPr>
          <w:rFonts w:ascii="Times New Roman" w:hAnsi="Times New Roman"/>
          <w:b/>
          <w:bCs/>
          <w:color w:val="00B0F0"/>
          <w:sz w:val="34"/>
          <w:szCs w:val="34"/>
          <w:lang w:val="en-GB"/>
        </w:rPr>
        <w:t xml:space="preserve"> KIM LOẠI</w:t>
      </w:r>
      <w:r w:rsidR="008B354B">
        <w:rPr>
          <w:rFonts w:ascii="Times New Roman" w:hAnsi="Times New Roman"/>
          <w:b/>
          <w:bCs/>
          <w:color w:val="00B0F0"/>
          <w:sz w:val="34"/>
          <w:szCs w:val="34"/>
          <w:lang w:val="en-GB"/>
        </w:rPr>
        <w:t xml:space="preserve"> THIẾC (</w:t>
      </w:r>
      <w:r w:rsidR="00462322">
        <w:rPr>
          <w:rFonts w:ascii="Times New Roman" w:hAnsi="Times New Roman"/>
          <w:b/>
          <w:bCs/>
          <w:color w:val="00B0F0"/>
          <w:sz w:val="34"/>
          <w:szCs w:val="34"/>
          <w:lang w:val="en-GB"/>
        </w:rPr>
        <w:t>Sn</w:t>
      </w:r>
      <w:r w:rsidR="008B354B">
        <w:rPr>
          <w:rFonts w:ascii="Times New Roman" w:hAnsi="Times New Roman"/>
          <w:b/>
          <w:bCs/>
          <w:color w:val="00B0F0"/>
          <w:sz w:val="34"/>
          <w:szCs w:val="34"/>
          <w:lang w:val="en-GB"/>
        </w:rPr>
        <w:t>)</w:t>
      </w:r>
      <w:r w:rsidRPr="001B216F">
        <w:rPr>
          <w:rFonts w:ascii="Times New Roman" w:hAnsi="Times New Roman"/>
          <w:b/>
          <w:bCs/>
          <w:color w:val="00B0F0"/>
          <w:sz w:val="34"/>
          <w:szCs w:val="34"/>
          <w:lang w:val="en-GB"/>
        </w:rPr>
        <w:t xml:space="preserve"> </w:t>
      </w:r>
      <w:r w:rsidR="00462322">
        <w:rPr>
          <w:rFonts w:ascii="Times New Roman" w:hAnsi="Times New Roman"/>
          <w:b/>
          <w:bCs/>
          <w:color w:val="00B0F0"/>
          <w:sz w:val="36"/>
          <w:szCs w:val="36"/>
          <w:lang w:val="en-GB"/>
        </w:rPr>
        <w:t>TRONG CÁC SẢN PHẨM ĐỒ HÔP</w:t>
      </w:r>
      <w:r>
        <w:rPr>
          <w:rFonts w:ascii="Times New Roman" w:hAnsi="Times New Roman"/>
          <w:b/>
          <w:bCs/>
          <w:color w:val="00B0F0"/>
          <w:sz w:val="36"/>
          <w:szCs w:val="36"/>
          <w:lang w:val="en-GB"/>
        </w:rPr>
        <w:t xml:space="preserve"> BẰNG PHƯƠNG PHÁP </w:t>
      </w:r>
      <w:r w:rsidRPr="001B216F">
        <w:rPr>
          <w:rFonts w:ascii="Times New Roman" w:hAnsi="Times New Roman"/>
          <w:b/>
          <w:bCs/>
          <w:color w:val="00B0F0"/>
          <w:sz w:val="36"/>
          <w:szCs w:val="36"/>
          <w:lang w:val="en-GB"/>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8B354B"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8B354B"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 xml:space="preserve">Tiêu chuẩn này qui định phương pháp xác định kim loại </w:t>
      </w:r>
      <w:r w:rsidR="008F2224">
        <w:rPr>
          <w:rFonts w:ascii="Times New Roman" w:hAnsi="Times New Roman"/>
          <w:szCs w:val="24"/>
          <w:lang w:val="da-DK"/>
        </w:rPr>
        <w:t>Sn</w:t>
      </w:r>
      <w:r w:rsidRPr="003A5E52">
        <w:rPr>
          <w:rFonts w:ascii="Times New Roman" w:hAnsi="Times New Roman"/>
          <w:szCs w:val="24"/>
          <w:lang w:val="da-DK"/>
        </w:rPr>
        <w:t xml:space="preserve"> trong </w:t>
      </w:r>
      <w:r w:rsidR="008F2224">
        <w:rPr>
          <w:rFonts w:ascii="Times New Roman" w:hAnsi="Times New Roman"/>
          <w:szCs w:val="24"/>
          <w:lang w:val="da-DK"/>
        </w:rPr>
        <w:t>đồ hộp bằng kỹ thuật phá mẫu ướt ICP-MS</w:t>
      </w:r>
      <w:r w:rsidR="009C172B">
        <w:rPr>
          <w:rFonts w:ascii="Times New Roman" w:hAnsi="Times New Roman"/>
          <w:szCs w:val="24"/>
          <w:lang w:val="da-DK"/>
        </w:rPr>
        <w:t>.</w:t>
      </w:r>
    </w:p>
    <w:tbl>
      <w:tblPr>
        <w:tblW w:w="5564"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553"/>
        <w:gridCol w:w="1557"/>
        <w:gridCol w:w="1630"/>
      </w:tblGrid>
      <w:tr w:rsidR="00BB1F20" w:rsidRPr="00196CF6" w:rsidTr="00DB1438">
        <w:trPr>
          <w:trHeight w:val="385"/>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57"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630"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rsidTr="00DB1438">
        <w:trPr>
          <w:trHeight w:val="385"/>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rsidR="00BB1F20" w:rsidRPr="00196CF6" w:rsidRDefault="008F2224" w:rsidP="009C172B">
            <w:pPr>
              <w:pStyle w:val="BodyText"/>
              <w:spacing w:before="0" w:after="0"/>
              <w:jc w:val="center"/>
              <w:rPr>
                <w:rFonts w:ascii="Times New Roman" w:hAnsi="Times New Roman"/>
                <w:szCs w:val="24"/>
                <w:lang w:val="da-DK"/>
              </w:rPr>
            </w:pPr>
            <w:r>
              <w:rPr>
                <w:rFonts w:ascii="Times New Roman" w:hAnsi="Times New Roman"/>
                <w:szCs w:val="24"/>
                <w:lang w:val="da-DK"/>
              </w:rPr>
              <w:t>Sn</w:t>
            </w:r>
          </w:p>
        </w:tc>
        <w:tc>
          <w:tcPr>
            <w:tcW w:w="1557" w:type="dxa"/>
            <w:shd w:val="clear" w:color="auto" w:fill="auto"/>
            <w:vAlign w:val="center"/>
          </w:tcPr>
          <w:p w:rsidR="00BB1F20" w:rsidRPr="00196CF6" w:rsidRDefault="003B4C71" w:rsidP="00DB1438">
            <w:pPr>
              <w:pStyle w:val="BodyText"/>
              <w:spacing w:before="0" w:after="0"/>
              <w:jc w:val="center"/>
              <w:rPr>
                <w:rFonts w:ascii="Times New Roman" w:hAnsi="Times New Roman"/>
                <w:szCs w:val="24"/>
                <w:lang w:val="da-DK"/>
              </w:rPr>
            </w:pPr>
            <w:r>
              <w:rPr>
                <w:rFonts w:ascii="Times New Roman" w:hAnsi="Times New Roman"/>
                <w:szCs w:val="24"/>
                <w:lang w:val="da-DK"/>
              </w:rPr>
              <w:t>0.2</w:t>
            </w:r>
          </w:p>
        </w:tc>
        <w:tc>
          <w:tcPr>
            <w:tcW w:w="1630" w:type="dxa"/>
            <w:shd w:val="clear" w:color="auto" w:fill="auto"/>
            <w:vAlign w:val="center"/>
          </w:tcPr>
          <w:p w:rsidR="00BB1F20" w:rsidRPr="00196CF6" w:rsidRDefault="003B4C71" w:rsidP="00DB1438">
            <w:pPr>
              <w:pStyle w:val="BodyText"/>
              <w:spacing w:before="0" w:after="0"/>
              <w:jc w:val="center"/>
              <w:rPr>
                <w:rFonts w:ascii="Times New Roman" w:hAnsi="Times New Roman"/>
                <w:szCs w:val="24"/>
                <w:lang w:val="da-DK"/>
              </w:rPr>
            </w:pPr>
            <w:r>
              <w:rPr>
                <w:rFonts w:ascii="Times New Roman" w:hAnsi="Times New Roman"/>
                <w:szCs w:val="24"/>
                <w:lang w:val="da-DK"/>
              </w:rPr>
              <w:t>0.6</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Pr="009C172B">
        <w:rPr>
          <w:rFonts w:ascii="Times New Roman" w:hAnsi="Times New Roman"/>
          <w:i/>
          <w:sz w:val="24"/>
        </w:rPr>
        <w:t>AOAC of</w:t>
      </w:r>
      <w:r w:rsidR="008F2224">
        <w:rPr>
          <w:rFonts w:ascii="Times New Roman" w:hAnsi="Times New Roman"/>
          <w:i/>
          <w:sz w:val="24"/>
        </w:rPr>
        <w:t>ficial method AOAC 986.15</w:t>
      </w:r>
      <w:r w:rsidRPr="009C172B">
        <w:rPr>
          <w:rFonts w:ascii="Times New Roman" w:hAnsi="Times New Roman"/>
          <w:i/>
          <w:sz w:val="24"/>
        </w:rPr>
        <w:t>-993.14</w:t>
      </w:r>
    </w:p>
    <w:p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Pr="009C172B">
        <w:rPr>
          <w:rFonts w:ascii="Times New Roman" w:hAnsi="Times New Roman"/>
          <w:i/>
          <w:sz w:val="24"/>
        </w:rPr>
        <w:t>SMEWW 3125 (Mã số: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Pr="008F2224" w:rsidRDefault="008F2224" w:rsidP="008F2224">
      <w:pPr>
        <w:pStyle w:val="ListParagraph"/>
        <w:spacing w:before="120" w:after="120" w:line="360" w:lineRule="auto"/>
        <w:ind w:left="1080"/>
        <w:jc w:val="both"/>
        <w:rPr>
          <w:rFonts w:ascii="Times New Roman" w:hAnsi="Times New Roman"/>
          <w:sz w:val="24"/>
        </w:rPr>
      </w:pPr>
      <w:r w:rsidRPr="008F2224">
        <w:rPr>
          <w:rFonts w:ascii="Times New Roman" w:hAnsi="Times New Roman"/>
          <w:sz w:val="24"/>
        </w:rPr>
        <w:t>Mẫu sau khi được phân hủy trong HNO</w:t>
      </w:r>
      <w:r w:rsidRPr="008F2224">
        <w:rPr>
          <w:rFonts w:ascii="Times New Roman" w:hAnsi="Times New Roman"/>
          <w:sz w:val="24"/>
          <w:vertAlign w:val="subscript"/>
        </w:rPr>
        <w:t>3</w:t>
      </w:r>
      <w:r w:rsidRPr="008F2224">
        <w:rPr>
          <w:rFonts w:ascii="Times New Roman" w:hAnsi="Times New Roman"/>
          <w:sz w:val="24"/>
        </w:rPr>
        <w:t xml:space="preserve"> đậm đặc (hệ kín) sẽ được định lượng trên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9C172B" w:rsidRDefault="00BB1F20"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Teflon vessel 75 mL.</w:t>
      </w:r>
    </w:p>
    <w:p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8F2224" w:rsidRPr="00BB1F20" w:rsidRDefault="008F2224"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Hotblock 36 cell, 200</w:t>
      </w:r>
      <w:r>
        <w:rPr>
          <w:rFonts w:ascii="Times New Roman" w:hAnsi="Times New Roman"/>
          <w:sz w:val="24"/>
          <w:szCs w:val="24"/>
          <w:vertAlign w:val="superscript"/>
        </w:rPr>
        <w:t>0</w:t>
      </w:r>
      <w:r>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lastRenderedPageBreak/>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FB1F93"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ung dịch chuẩn</w:t>
      </w:r>
      <w:r w:rsidR="002679A6">
        <w:rPr>
          <w:rFonts w:ascii="Times New Roman" w:hAnsi="Times New Roman"/>
          <w:sz w:val="24"/>
          <w:szCs w:val="26"/>
          <w:lang w:val="da-DK"/>
        </w:rPr>
        <w:t xml:space="preserve"> gốc</w:t>
      </w:r>
      <w:r w:rsidR="00896455" w:rsidRPr="00896455">
        <w:rPr>
          <w:rFonts w:ascii="Times New Roman" w:hAnsi="Times New Roman"/>
          <w:sz w:val="24"/>
          <w:szCs w:val="26"/>
          <w:lang w:val="da-DK"/>
        </w:rPr>
        <w:t xml:space="preserve"> </w:t>
      </w:r>
      <w:r w:rsidR="002679A6">
        <w:rPr>
          <w:rFonts w:ascii="Times New Roman" w:hAnsi="Times New Roman"/>
          <w:sz w:val="24"/>
          <w:szCs w:val="26"/>
          <w:lang w:val="da-DK"/>
        </w:rPr>
        <w:t xml:space="preserve">Sn </w:t>
      </w:r>
      <w:r w:rsidR="00896455" w:rsidRPr="00896455">
        <w:rPr>
          <w:rFonts w:ascii="Times New Roman" w:hAnsi="Times New Roman"/>
          <w:sz w:val="24"/>
          <w:szCs w:val="26"/>
          <w:lang w:val="da-DK"/>
        </w:rPr>
        <w:t>: 100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w:t>
      </w:r>
      <w:r w:rsidR="002679A6">
        <w:rPr>
          <w:rFonts w:ascii="Times New Roman" w:hAnsi="Times New Roman"/>
          <w:sz w:val="24"/>
          <w:lang w:val="da-DK"/>
        </w:rPr>
        <w:t xml:space="preserve"> </w:t>
      </w:r>
      <w:r w:rsidRPr="00E73399">
        <w:rPr>
          <w:rFonts w:ascii="Times New Roman" w:hAnsi="Times New Roman"/>
          <w:sz w:val="24"/>
          <w:lang w:val="da-DK"/>
        </w:rPr>
        <w:t>dung dịch chuẩn gốc, tiến hành pha loãng trong dung dịch axit HNO</w:t>
      </w:r>
      <w:r w:rsidRPr="00E73399">
        <w:rPr>
          <w:rFonts w:ascii="Times New Roman" w:hAnsi="Times New Roman"/>
          <w:sz w:val="24"/>
          <w:vertAlign w:val="subscript"/>
          <w:lang w:val="da-DK"/>
        </w:rPr>
        <w:t>3</w:t>
      </w:r>
      <w:r w:rsidRPr="00E73399">
        <w:rPr>
          <w:rFonts w:ascii="Times New Roman" w:hAnsi="Times New Roman"/>
          <w:sz w:val="24"/>
          <w:lang w:val="da-DK"/>
        </w:rPr>
        <w:t xml:space="preserve"> </w:t>
      </w:r>
      <w:r w:rsidR="005948B1">
        <w:rPr>
          <w:rFonts w:ascii="Times New Roman" w:hAnsi="Times New Roman"/>
          <w:sz w:val="24"/>
          <w:lang w:val="da-DK"/>
        </w:rPr>
        <w:t xml:space="preserve">5 </w:t>
      </w:r>
      <w:r w:rsidRPr="00E73399">
        <w:rPr>
          <w:rFonts w:ascii="Times New Roman" w:hAnsi="Times New Roman"/>
          <w:sz w:val="24"/>
          <w:lang w:val="da-DK"/>
        </w:rPr>
        <w:t xml:space="preserve">% để được các dung dịch chuẩn có nồng độ từ </w:t>
      </w:r>
      <w:r w:rsidR="00FB1F93">
        <w:rPr>
          <w:rFonts w:ascii="Times New Roman" w:hAnsi="Times New Roman"/>
          <w:sz w:val="24"/>
          <w:lang w:val="da-DK"/>
        </w:rPr>
        <w:t>10</w:t>
      </w:r>
      <w:r w:rsidRPr="00E73399">
        <w:rPr>
          <w:rFonts w:ascii="Times New Roman" w:hAnsi="Times New Roman"/>
          <w:sz w:val="24"/>
          <w:lang w:val="da-DK"/>
        </w:rPr>
        <w:t>-</w:t>
      </w:r>
      <w:r w:rsidR="00FB1F93">
        <w:rPr>
          <w:rFonts w:ascii="Times New Roman" w:hAnsi="Times New Roman"/>
          <w:sz w:val="24"/>
          <w:lang w:val="da-DK"/>
        </w:rPr>
        <w:t>50</w:t>
      </w:r>
      <w:r>
        <w:rPr>
          <w:rFonts w:ascii="Times New Roman" w:hAnsi="Times New Roman"/>
          <w:sz w:val="24"/>
          <w:lang w:val="da-DK"/>
        </w:rPr>
        <w:t xml:space="preserve">0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Dung dịch chuẩn trung gian 1</w:t>
      </w:r>
      <w:r w:rsidR="00FB1F93">
        <w:rPr>
          <w:rFonts w:ascii="Times New Roman" w:hAnsi="Times New Roman"/>
          <w:sz w:val="24"/>
          <w:lang w:val="da-DK"/>
        </w:rPr>
        <w:t>0</w:t>
      </w:r>
      <w:r w:rsidRPr="00E73399">
        <w:rPr>
          <w:rFonts w:ascii="Times New Roman" w:hAnsi="Times New Roman"/>
          <w:sz w:val="24"/>
          <w:lang w:val="da-DK"/>
        </w:rPr>
        <w:t xml:space="preserve"> mg/L: Rút 5 mL dung dịch chuẩn gốc 1</w:t>
      </w:r>
      <w:r w:rsidR="00FB1F93">
        <w:rPr>
          <w:rFonts w:ascii="Times New Roman" w:hAnsi="Times New Roman"/>
          <w:sz w:val="24"/>
          <w:lang w:val="da-DK"/>
        </w:rPr>
        <w:t>00</w:t>
      </w:r>
      <w:r w:rsidRPr="00E73399">
        <w:rPr>
          <w:rFonts w:ascii="Times New Roman" w:hAnsi="Times New Roman"/>
          <w:sz w:val="24"/>
          <w:lang w:val="da-DK"/>
        </w:rPr>
        <w:t xml:space="preserve">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5948B1">
              <w:rPr>
                <w:rFonts w:ascii="Times New Roman" w:hAnsi="Times New Roman"/>
                <w:lang w:val="da-DK"/>
              </w:rPr>
              <w:t>10 m</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rsidR="00E73399" w:rsidRPr="00E73399" w:rsidRDefault="00FB1F93"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0.625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lastRenderedPageBreak/>
              <w:t>2</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 sau: 1 ppm , 5 ppm, 10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5948B1" w:rsidRPr="005948B1" w:rsidRDefault="005948B1" w:rsidP="005948B1">
      <w:pPr>
        <w:spacing w:line="360" w:lineRule="auto"/>
        <w:ind w:firstLine="720"/>
        <w:jc w:val="both"/>
        <w:rPr>
          <w:rFonts w:ascii="Times New Roman" w:hAnsi="Times New Roman"/>
          <w:bCs/>
          <w:sz w:val="24"/>
        </w:rPr>
      </w:pPr>
      <w:r w:rsidRPr="005948B1">
        <w:rPr>
          <w:rFonts w:ascii="Times New Roman" w:hAnsi="Times New Roman"/>
          <w:bCs/>
          <w:sz w:val="24"/>
        </w:rPr>
        <w:t xml:space="preserve">Cân không quá </w:t>
      </w:r>
      <w:r>
        <w:rPr>
          <w:rFonts w:ascii="Times New Roman" w:hAnsi="Times New Roman"/>
          <w:b/>
          <w:bCs/>
          <w:sz w:val="24"/>
        </w:rPr>
        <w:t>1</w:t>
      </w:r>
      <w:r w:rsidRPr="005948B1">
        <w:rPr>
          <w:rFonts w:ascii="Times New Roman" w:hAnsi="Times New Roman"/>
          <w:b/>
          <w:bCs/>
          <w:sz w:val="24"/>
        </w:rPr>
        <w:t xml:space="preserve"> g</w:t>
      </w:r>
      <w:r w:rsidRPr="005948B1">
        <w:rPr>
          <w:rFonts w:ascii="Times New Roman" w:hAnsi="Times New Roman"/>
          <w:bCs/>
          <w:sz w:val="24"/>
        </w:rPr>
        <w:t xml:space="preserve"> mẫ</w:t>
      </w:r>
      <w:r>
        <w:rPr>
          <w:rFonts w:ascii="Times New Roman" w:hAnsi="Times New Roman"/>
          <w:bCs/>
          <w:sz w:val="24"/>
        </w:rPr>
        <w:t>u</w:t>
      </w:r>
      <w:r w:rsidRPr="005948B1">
        <w:rPr>
          <w:rFonts w:ascii="Times New Roman" w:hAnsi="Times New Roman"/>
          <w:bCs/>
          <w:sz w:val="24"/>
        </w:rPr>
        <w:t xml:space="preserve"> vào </w:t>
      </w:r>
      <w:r w:rsidR="006B0D7E">
        <w:rPr>
          <w:rFonts w:ascii="Times New Roman" w:hAnsi="Times New Roman"/>
          <w:bCs/>
          <w:sz w:val="24"/>
        </w:rPr>
        <w:t>bình</w:t>
      </w:r>
      <w:r w:rsidRPr="005948B1">
        <w:rPr>
          <w:rFonts w:ascii="Times New Roman" w:hAnsi="Times New Roman"/>
          <w:bCs/>
          <w:sz w:val="24"/>
        </w:rPr>
        <w:t xml:space="preserve"> teflon, thêm vào </w:t>
      </w:r>
      <w:r w:rsidRPr="005948B1">
        <w:rPr>
          <w:rFonts w:ascii="Times New Roman" w:hAnsi="Times New Roman"/>
          <w:b/>
          <w:bCs/>
          <w:sz w:val="24"/>
        </w:rPr>
        <w:t>5 mL HNO</w:t>
      </w:r>
      <w:r w:rsidRPr="005948B1">
        <w:rPr>
          <w:rFonts w:ascii="Times New Roman" w:hAnsi="Times New Roman"/>
          <w:b/>
          <w:bCs/>
          <w:sz w:val="24"/>
          <w:vertAlign w:val="subscript"/>
        </w:rPr>
        <w:t>3</w:t>
      </w:r>
      <w:r>
        <w:rPr>
          <w:rFonts w:ascii="Times New Roman" w:hAnsi="Times New Roman"/>
          <w:b/>
          <w:bCs/>
          <w:sz w:val="24"/>
          <w:vertAlign w:val="subscript"/>
        </w:rPr>
        <w:t xml:space="preserve"> </w:t>
      </w:r>
      <w:r>
        <w:rPr>
          <w:rFonts w:ascii="Times New Roman" w:hAnsi="Times New Roman"/>
          <w:b/>
          <w:bCs/>
          <w:sz w:val="24"/>
        </w:rPr>
        <w:t>đậm đặc</w:t>
      </w:r>
      <w:r w:rsidRPr="005948B1">
        <w:rPr>
          <w:rFonts w:ascii="Times New Roman" w:hAnsi="Times New Roman"/>
          <w:bCs/>
          <w:sz w:val="24"/>
        </w:rPr>
        <w:t>. Đặ</w:t>
      </w:r>
      <w:r w:rsidR="006B0D7E">
        <w:rPr>
          <w:rFonts w:ascii="Times New Roman" w:hAnsi="Times New Roman"/>
          <w:bCs/>
          <w:sz w:val="24"/>
        </w:rPr>
        <w:t>t Teflon vào hotblock</w:t>
      </w:r>
      <w:r w:rsidRPr="005948B1">
        <w:rPr>
          <w:rFonts w:ascii="Times New Roman" w:hAnsi="Times New Roman"/>
          <w:bCs/>
          <w:sz w:val="24"/>
        </w:rPr>
        <w:t xml:space="preserve">, </w:t>
      </w:r>
      <w:r w:rsidR="006B0D7E">
        <w:rPr>
          <w:rFonts w:ascii="Times New Roman" w:hAnsi="Times New Roman"/>
          <w:bCs/>
          <w:sz w:val="24"/>
        </w:rPr>
        <w:t>gia nhiệt</w:t>
      </w:r>
      <w:r w:rsidRPr="005948B1">
        <w:rPr>
          <w:rFonts w:ascii="Times New Roman" w:hAnsi="Times New Roman"/>
          <w:bCs/>
          <w:sz w:val="24"/>
        </w:rPr>
        <w:t xml:space="preserve"> ở 150</w:t>
      </w:r>
      <w:r w:rsidRPr="005948B1">
        <w:rPr>
          <w:rFonts w:ascii="Times New Roman" w:hAnsi="Times New Roman"/>
          <w:bCs/>
          <w:sz w:val="24"/>
          <w:vertAlign w:val="superscript"/>
        </w:rPr>
        <w:t>o</w:t>
      </w:r>
      <w:r w:rsidR="006B0D7E">
        <w:rPr>
          <w:rFonts w:ascii="Times New Roman" w:hAnsi="Times New Roman"/>
          <w:bCs/>
          <w:sz w:val="24"/>
        </w:rPr>
        <w:t xml:space="preserve">C (không được </w:t>
      </w:r>
      <w:r w:rsidRPr="005948B1">
        <w:rPr>
          <w:rFonts w:ascii="Times New Roman" w:hAnsi="Times New Roman"/>
          <w:bCs/>
          <w:sz w:val="24"/>
        </w:rPr>
        <w:t>vượt quá 250</w:t>
      </w:r>
      <w:r w:rsidRPr="005948B1">
        <w:rPr>
          <w:rFonts w:ascii="Times New Roman" w:hAnsi="Times New Roman"/>
          <w:bCs/>
          <w:sz w:val="24"/>
          <w:vertAlign w:val="superscript"/>
        </w:rPr>
        <w:t>o</w:t>
      </w:r>
      <w:r w:rsidRPr="005948B1">
        <w:rPr>
          <w:rFonts w:ascii="Times New Roman" w:hAnsi="Times New Roman"/>
          <w:bCs/>
          <w:sz w:val="24"/>
        </w:rPr>
        <w:t xml:space="preserve">C) trong 2 giờ, lấy ra, để nguội. Dùng pipet chuyển mẫu ra bình </w:t>
      </w:r>
      <w:r w:rsidRPr="005948B1">
        <w:rPr>
          <w:rFonts w:ascii="Times New Roman" w:hAnsi="Times New Roman"/>
          <w:b/>
          <w:bCs/>
          <w:sz w:val="24"/>
        </w:rPr>
        <w:t xml:space="preserve">định mức </w:t>
      </w:r>
      <w:r w:rsidR="00B70A25">
        <w:rPr>
          <w:rFonts w:ascii="Times New Roman" w:hAnsi="Times New Roman"/>
          <w:b/>
          <w:bCs/>
          <w:sz w:val="24"/>
        </w:rPr>
        <w:t>25</w:t>
      </w:r>
      <w:bookmarkStart w:id="0" w:name="_GoBack"/>
      <w:bookmarkEnd w:id="0"/>
      <w:r w:rsidRPr="005948B1">
        <w:rPr>
          <w:rFonts w:ascii="Times New Roman" w:hAnsi="Times New Roman"/>
          <w:b/>
          <w:bCs/>
          <w:sz w:val="24"/>
        </w:rPr>
        <w:t xml:space="preserve"> mL</w:t>
      </w:r>
      <w:r w:rsidRPr="005948B1">
        <w:rPr>
          <w:rFonts w:ascii="Times New Roman" w:hAnsi="Times New Roman"/>
          <w:bCs/>
          <w:sz w:val="24"/>
        </w:rPr>
        <w:t xml:space="preserve">. Tráng bình Teflon nhiều lần bằng nước cất khử ion và cho vào bình định mức, định mức đến vách bằng nước cất. Lọc mẫu vào ống nhựa </w:t>
      </w:r>
      <w:r>
        <w:rPr>
          <w:rFonts w:ascii="Times New Roman" w:hAnsi="Times New Roman"/>
          <w:bCs/>
          <w:sz w:val="24"/>
        </w:rPr>
        <w:t>15</w:t>
      </w:r>
      <w:r w:rsidRPr="005948B1">
        <w:rPr>
          <w:rFonts w:ascii="Times New Roman" w:hAnsi="Times New Roman"/>
          <w:bCs/>
          <w:sz w:val="24"/>
        </w:rPr>
        <w:t xml:space="preserve"> mL (bỏ 3-5mL đầu) và phân tích trên ICP-MS.</w:t>
      </w:r>
    </w:p>
    <w:p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7924" w:type="dxa"/>
        <w:jc w:val="center"/>
        <w:tblLook w:val="04A0" w:firstRow="1" w:lastRow="0" w:firstColumn="1" w:lastColumn="0" w:noHBand="0" w:noVBand="1"/>
      </w:tblPr>
      <w:tblGrid>
        <w:gridCol w:w="1035"/>
        <w:gridCol w:w="1027"/>
        <w:gridCol w:w="1060"/>
        <w:gridCol w:w="1532"/>
        <w:gridCol w:w="1825"/>
        <w:gridCol w:w="1494"/>
      </w:tblGrid>
      <w:tr w:rsidR="007D2D45" w:rsidRPr="00595192" w:rsidTr="007D2D45">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595192" w:rsidRDefault="005451B2" w:rsidP="00DB1438">
            <w:pPr>
              <w:jc w:val="center"/>
              <w:rPr>
                <w:rFonts w:ascii="Times New Roman" w:hAnsi="Times New Roman"/>
                <w:b/>
                <w:bCs/>
              </w:rPr>
            </w:pPr>
            <w:r>
              <w:rPr>
                <w:rFonts w:ascii="Times New Roman" w:hAnsi="Times New Roman"/>
                <w:b/>
                <w:bCs/>
              </w:rPr>
              <w:t>A</w:t>
            </w:r>
            <w:r w:rsidR="003F5244" w:rsidRPr="00595192">
              <w:rPr>
                <w:rFonts w:ascii="Times New Roman" w:hAnsi="Times New Roman"/>
                <w:b/>
                <w:bCs/>
              </w:rPr>
              <w:t>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595192" w:rsidRDefault="003F5244" w:rsidP="005451B2">
            <w:pPr>
              <w:jc w:val="center"/>
              <w:rPr>
                <w:rFonts w:ascii="Times New Roman" w:hAnsi="Times New Roman"/>
                <w:b/>
                <w:bCs/>
              </w:rPr>
            </w:pPr>
            <w:r w:rsidRPr="00595192">
              <w:rPr>
                <w:rFonts w:ascii="Times New Roman" w:hAnsi="Times New Roman"/>
                <w:b/>
                <w:bCs/>
              </w:rPr>
              <w:t xml:space="preserve"> </w:t>
            </w:r>
            <w:r w:rsidRPr="00595192">
              <w:rPr>
                <w:rFonts w:ascii="Times New Roman" w:hAnsi="Times New Roman"/>
                <w:b/>
                <w:bCs/>
              </w:rPr>
              <w:br/>
            </w:r>
            <w:r w:rsidR="005451B2">
              <w:rPr>
                <w:rFonts w:ascii="Times New Roman" w:hAnsi="Times New Roman"/>
                <w:b/>
                <w:bCs/>
              </w:rPr>
              <w:t>I</w:t>
            </w:r>
            <w:r w:rsidRPr="00595192">
              <w:rPr>
                <w:rFonts w:ascii="Times New Roman" w:hAnsi="Times New Roman"/>
                <w:b/>
                <w:bCs/>
              </w:rPr>
              <w:t xml:space="preserve">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 xml:space="preserve">Internal </w:t>
            </w:r>
            <w:r w:rsidRPr="00595192">
              <w:rPr>
                <w:rFonts w:ascii="Times New Roman" w:hAnsi="Times New Roman"/>
                <w:b/>
                <w:bCs/>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Interferences</w:t>
            </w:r>
          </w:p>
        </w:tc>
        <w:tc>
          <w:tcPr>
            <w:tcW w:w="149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Corrections</w:t>
            </w:r>
          </w:p>
        </w:tc>
      </w:tr>
      <w:tr w:rsidR="003F5244" w:rsidRPr="00595192" w:rsidTr="005451B2">
        <w:trPr>
          <w:trHeight w:val="503"/>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595192" w:rsidRDefault="005451B2" w:rsidP="00DB1438">
            <w:pPr>
              <w:jc w:val="center"/>
              <w:rPr>
                <w:rFonts w:ascii="Times New Roman" w:hAnsi="Times New Roman"/>
                <w:b/>
                <w:bCs/>
                <w:color w:val="000000"/>
              </w:rPr>
            </w:pPr>
            <w:r>
              <w:rPr>
                <w:rFonts w:ascii="Times New Roman" w:hAnsi="Times New Roman"/>
                <w:b/>
                <w:bCs/>
                <w:color w:val="000000"/>
              </w:rPr>
              <w:t>B</w:t>
            </w:r>
            <w:r w:rsidR="003F5244" w:rsidRPr="00595192">
              <w:rPr>
                <w:rFonts w:ascii="Times New Roman" w:hAnsi="Times New Roman"/>
                <w:b/>
                <w:bCs/>
                <w:color w:val="000000"/>
              </w:rPr>
              <w:t>ackground</w:t>
            </w:r>
            <w:r w:rsidR="003F5244" w:rsidRPr="00595192">
              <w:rPr>
                <w:rFonts w:ascii="Times New Roman" w:hAnsi="Times New Roman"/>
                <w:b/>
                <w:bCs/>
                <w:color w:val="00000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595192" w:rsidRDefault="005451B2" w:rsidP="00DB1438">
            <w:pPr>
              <w:jc w:val="center"/>
              <w:rPr>
                <w:rFonts w:ascii="Times New Roman" w:hAnsi="Times New Roman"/>
                <w:b/>
                <w:bCs/>
                <w:color w:val="000000"/>
              </w:rPr>
            </w:pPr>
            <w:r>
              <w:rPr>
                <w:rFonts w:ascii="Times New Roman" w:hAnsi="Times New Roman"/>
                <w:b/>
                <w:bCs/>
                <w:color w:val="000000"/>
              </w:rPr>
              <w:t>M</w:t>
            </w:r>
            <w:r w:rsidR="003F5244" w:rsidRPr="00595192">
              <w:rPr>
                <w:rFonts w:ascii="Times New Roman" w:hAnsi="Times New Roman"/>
                <w:b/>
                <w:bCs/>
                <w:color w:val="000000"/>
              </w:rPr>
              <w:t>atrix</w:t>
            </w:r>
            <w:r w:rsidR="003F5244" w:rsidRPr="00595192">
              <w:rPr>
                <w:rFonts w:ascii="Times New Roman" w:hAnsi="Times New Roman"/>
                <w:b/>
                <w:bCs/>
                <w:color w:val="000000"/>
              </w:rPr>
              <w:br/>
              <w:t>molecular ions</w:t>
            </w:r>
          </w:p>
        </w:tc>
        <w:tc>
          <w:tcPr>
            <w:tcW w:w="1494"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r>
      <w:tr w:rsidR="00E71AB3" w:rsidRPr="00595192" w:rsidTr="005451B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595192" w:rsidRDefault="005948B1" w:rsidP="00E71AB3">
            <w:pPr>
              <w:pStyle w:val="BodyText"/>
              <w:spacing w:before="0" w:after="0"/>
              <w:jc w:val="center"/>
              <w:rPr>
                <w:rFonts w:ascii="Times New Roman" w:hAnsi="Times New Roman"/>
                <w:b/>
                <w:sz w:val="22"/>
                <w:szCs w:val="22"/>
                <w:lang w:val="da-DK"/>
              </w:rPr>
            </w:pPr>
            <w:r w:rsidRPr="00595192">
              <w:rPr>
                <w:rFonts w:ascii="Times New Roman" w:hAnsi="Times New Roman"/>
                <w:b/>
                <w:sz w:val="22"/>
                <w:szCs w:val="22"/>
                <w:lang w:val="da-DK"/>
              </w:rPr>
              <w:t>Sn</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5451B2" w:rsidP="00E71AB3">
            <w:pPr>
              <w:jc w:val="center"/>
              <w:rPr>
                <w:rFonts w:ascii="Times New Roman" w:hAnsi="Times New Roman"/>
                <w:b/>
                <w:bCs/>
                <w:color w:val="000000"/>
              </w:rPr>
            </w:pPr>
            <w:r>
              <w:rPr>
                <w:rFonts w:ascii="Times New Roman" w:hAnsi="Times New Roman"/>
                <w:b/>
                <w:bCs/>
                <w:color w:val="000000"/>
              </w:rPr>
              <w:t>118</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E71AB3" w:rsidRPr="00595192" w:rsidRDefault="00E71AB3"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r>
      <w:tr w:rsidR="005451B2" w:rsidRPr="00595192" w:rsidTr="005451B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5451B2" w:rsidRPr="00595192" w:rsidRDefault="005451B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Sn</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5451B2" w:rsidRDefault="005451B2" w:rsidP="00E71AB3">
            <w:pPr>
              <w:jc w:val="center"/>
              <w:rPr>
                <w:rFonts w:ascii="Times New Roman" w:hAnsi="Times New Roman"/>
                <w:b/>
                <w:bCs/>
                <w:color w:val="000000"/>
              </w:rPr>
            </w:pPr>
            <w:r>
              <w:rPr>
                <w:rFonts w:ascii="Times New Roman" w:hAnsi="Times New Roman"/>
                <w:b/>
                <w:bCs/>
                <w:color w:val="000000"/>
              </w:rPr>
              <w:t>120</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5451B2" w:rsidRPr="00595192" w:rsidRDefault="005451B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5451B2" w:rsidRPr="00595192" w:rsidRDefault="005451B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5451B2" w:rsidRPr="00595192" w:rsidRDefault="005451B2" w:rsidP="00E71AB3">
            <w:pPr>
              <w:rPr>
                <w:rFonts w:ascii="Times New Roman" w:hAnsi="Times New Roman"/>
                <w:color w:val="00000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5451B2" w:rsidRPr="00595192" w:rsidRDefault="005451B2" w:rsidP="00E71AB3">
            <w:pPr>
              <w:rPr>
                <w:rFonts w:ascii="Times New Roman" w:hAnsi="Times New Roman"/>
                <w:color w:val="000000"/>
              </w:rPr>
            </w:pPr>
          </w:p>
        </w:tc>
      </w:tr>
    </w:tbl>
    <w:p w:rsidR="003F5244" w:rsidRPr="00595192" w:rsidRDefault="003F5244" w:rsidP="003F5244">
      <w:pPr>
        <w:pStyle w:val="ListParagraph"/>
        <w:ind w:left="0"/>
        <w:jc w:val="both"/>
        <w:rPr>
          <w:rFonts w:ascii="Times New Roman" w:hAnsi="Times New Roman"/>
          <w:color w:val="00B0F0"/>
        </w:rPr>
      </w:pPr>
    </w:p>
    <w:p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lastRenderedPageBreak/>
        <w:t>Chạy đường chuẩn từ thấp đến cao gồm các nguyên tố cần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B70A25"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5451B2">
        <w:rPr>
          <w:rFonts w:ascii="Times New Roman" w:hAnsi="Times New Roman"/>
          <w:i/>
          <w:color w:val="auto"/>
          <w:sz w:val="22"/>
        </w:rPr>
        <w:t>hân tích dựa trên đường chuẩn, µ</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5B7" w:rsidRDefault="00B905B7" w:rsidP="00DB45A7">
      <w:pPr>
        <w:spacing w:after="0" w:line="240" w:lineRule="auto"/>
      </w:pPr>
      <w:r>
        <w:separator/>
      </w:r>
    </w:p>
  </w:endnote>
  <w:endnote w:type="continuationSeparator" w:id="0">
    <w:p w:rsidR="00B905B7" w:rsidRDefault="00B905B7"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5B7" w:rsidRDefault="00B905B7" w:rsidP="00DB45A7">
      <w:pPr>
        <w:spacing w:after="0" w:line="240" w:lineRule="auto"/>
      </w:pPr>
      <w:r>
        <w:separator/>
      </w:r>
    </w:p>
  </w:footnote>
  <w:footnote w:type="continuationSeparator" w:id="0">
    <w:p w:rsidR="00B905B7" w:rsidRDefault="00B905B7"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E128F6">
            <w:rPr>
              <w:rFonts w:ascii="Times New Roman" w:hAnsi="Times New Roman"/>
              <w:color w:val="00B0F0"/>
              <w:sz w:val="24"/>
              <w:szCs w:val="24"/>
            </w:rPr>
            <w:t>220</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B70A25">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B70A25">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64BC"/>
    <w:rsid w:val="000D2FE9"/>
    <w:rsid w:val="00155A07"/>
    <w:rsid w:val="002679A6"/>
    <w:rsid w:val="00274663"/>
    <w:rsid w:val="003700E3"/>
    <w:rsid w:val="0037757C"/>
    <w:rsid w:val="003B4C71"/>
    <w:rsid w:val="003C68FE"/>
    <w:rsid w:val="003F5244"/>
    <w:rsid w:val="00435FA2"/>
    <w:rsid w:val="00462322"/>
    <w:rsid w:val="004C05E0"/>
    <w:rsid w:val="0051413E"/>
    <w:rsid w:val="005451B2"/>
    <w:rsid w:val="00585CB3"/>
    <w:rsid w:val="005948B1"/>
    <w:rsid w:val="00595192"/>
    <w:rsid w:val="005E6F75"/>
    <w:rsid w:val="005F20AA"/>
    <w:rsid w:val="0060110C"/>
    <w:rsid w:val="00604CE1"/>
    <w:rsid w:val="006B0D7E"/>
    <w:rsid w:val="006C3E84"/>
    <w:rsid w:val="006F310D"/>
    <w:rsid w:val="00791791"/>
    <w:rsid w:val="007D2D45"/>
    <w:rsid w:val="00800F60"/>
    <w:rsid w:val="0085481C"/>
    <w:rsid w:val="00871BAD"/>
    <w:rsid w:val="00896455"/>
    <w:rsid w:val="008B354B"/>
    <w:rsid w:val="008D0D62"/>
    <w:rsid w:val="008E6DB3"/>
    <w:rsid w:val="008F2224"/>
    <w:rsid w:val="00940AED"/>
    <w:rsid w:val="00963F1F"/>
    <w:rsid w:val="00995FC0"/>
    <w:rsid w:val="009C172B"/>
    <w:rsid w:val="00A14078"/>
    <w:rsid w:val="00AA0D54"/>
    <w:rsid w:val="00AA1D63"/>
    <w:rsid w:val="00AA6DB2"/>
    <w:rsid w:val="00AF140F"/>
    <w:rsid w:val="00B27A58"/>
    <w:rsid w:val="00B70A25"/>
    <w:rsid w:val="00B905B7"/>
    <w:rsid w:val="00BB1F20"/>
    <w:rsid w:val="00BD17A7"/>
    <w:rsid w:val="00C16CE0"/>
    <w:rsid w:val="00D06D61"/>
    <w:rsid w:val="00D23B99"/>
    <w:rsid w:val="00DB45A7"/>
    <w:rsid w:val="00E128F6"/>
    <w:rsid w:val="00E15B60"/>
    <w:rsid w:val="00E71AB3"/>
    <w:rsid w:val="00E71E80"/>
    <w:rsid w:val="00E73399"/>
    <w:rsid w:val="00EC1DD6"/>
    <w:rsid w:val="00ED7EA9"/>
    <w:rsid w:val="00EE4AC5"/>
    <w:rsid w:val="00EF0AED"/>
    <w:rsid w:val="00EF4027"/>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1E23"/>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8B3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5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32</cp:revision>
  <cp:lastPrinted>2018-04-03T01:42:00Z</cp:lastPrinted>
  <dcterms:created xsi:type="dcterms:W3CDTF">2017-12-29T04:19:00Z</dcterms:created>
  <dcterms:modified xsi:type="dcterms:W3CDTF">2018-08-06T03:03:00Z</dcterms:modified>
</cp:coreProperties>
</file>