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Application Login Interface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114300" distT="114300" distL="114300" distR="114300">
            <wp:extent cx="2726085" cy="30575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08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Registered Device Interface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114300" distT="114300" distL="114300" distR="114300">
            <wp:extent cx="2715518" cy="3390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518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