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Phần mềm quản lý dịch vụ thú y cá Koi của trung tâm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Trang chủ giới thiệu thông tin về trung tâm, tin tức, dịch vụ thú y cá Koi, thông tin bác sĩ thú y, câu hỏi thường gặp, liên hệ, ...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Quản lý quá trình đặt dịch vụ tư vấn trực tuyến với bác sĩ thú y để tư vấn.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Quản lý quá trình đặt dịch vụ hẹn để bác sĩ thú y tới tận nhà đánh giá chất lượng hồ cá Koi và tư vấn cải thiện hồ cá đạt chuẩn.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Quản lý quá trình đặt dịch vụ điều trị bệnh cho cá và kê đơn thuốc (nếu cần), dịch vụ này có thể thực hiện tại nhà khách hoặc ở trung tâm.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Quá trình đặt dịch vụ sẽ quản lý theo các bước.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&lt;&lt; Khách hàng đặt dịch vụ, khách hàng có thể chỉ định bác sĩ --&gt; Trung tâm phân công bác sĩ thực hiện dịch vụ (khi khách hàng không chỉ định)  --&gt; Bác sĩ thực hiện dịch vụ và ghi nhận kết quả thực hiện --&gt; Khách hàng đánh giá kết quả thực hiện dịch vụ &gt;&gt;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Quản lý lịch làm việc của bác sĩ để khách hàng có khả năng đặt dịch vụ khi cần chỉ định bác sĩ.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Quản lý bảng giá cho từng dịch vụ, bảng giá có tính chi phí di chuyển đến nơi khách chỉ định khi thực hiện dịch vụ.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Quản lý rating, feedback.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Quản lý hồ sơ khách hàng, lịch sử đơn đặt dịch vụ.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Dashboard &amp; Report.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