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6D6494">
      <w:pPr>
        <w:spacing w:before="2400"/>
        <w:jc w:val="center"/>
      </w:pPr>
    </w:p>
    <w:p w14:paraId="44F65127">
      <w:pPr>
        <w:spacing w:after="200"/>
        <w:jc w:val="center"/>
      </w:pPr>
      <w:r>
        <w:rPr>
          <w:rFonts w:ascii="Arial" w:hAnsi="Arial" w:eastAsia="Arial" w:cs="Arial"/>
          <w:b/>
          <w:bCs/>
          <w:color w:val="2B5797"/>
          <w:sz w:val="48"/>
          <w:szCs w:val="48"/>
        </w:rPr>
        <w:t>Deep Learning — Final Exam Report</w:t>
      </w:r>
    </w:p>
    <w:p w14:paraId="471C3956">
      <w:pPr>
        <w:spacing w:after="100"/>
        <w:jc w:val="center"/>
      </w:pPr>
      <w:r>
        <w:rPr>
          <w:rFonts w:ascii="Arial" w:hAnsi="Arial" w:eastAsia="Arial" w:cs="Arial"/>
          <w:color w:val="444444"/>
          <w:sz w:val="32"/>
          <w:szCs w:val="32"/>
        </w:rPr>
        <w:t>WideResNet-28-4 + SE Attention</w:t>
      </w:r>
    </w:p>
    <w:p w14:paraId="04691570">
      <w:pPr>
        <w:spacing w:after="100"/>
        <w:jc w:val="center"/>
      </w:pPr>
      <w:r>
        <w:rPr>
          <w:rFonts w:ascii="Arial" w:hAnsi="Arial" w:eastAsia="Arial" w:cs="Arial"/>
          <w:color w:val="666666"/>
          <w:sz w:val="28"/>
          <w:szCs w:val="28"/>
        </w:rPr>
        <w:t>Training on CIFAR-10 and CIFAR-100</w:t>
      </w:r>
    </w:p>
    <w:p w14:paraId="581AB4A6">
      <w:pPr>
        <w:spacing w:after="600"/>
        <w:jc w:val="center"/>
      </w:pPr>
      <w:r>
        <w:rPr>
          <w:rFonts w:ascii="Arial" w:hAnsi="Arial" w:eastAsia="Arial" w:cs="Arial"/>
          <w:color w:val="888888"/>
          <w:sz w:val="22"/>
          <w:szCs w:val="22"/>
        </w:rPr>
        <w:t>200 Epochs | SGD + CosineAnnealing | AutoAugment + Cutout</w:t>
      </w:r>
    </w:p>
    <w:p w14:paraId="60085B7D">
      <w:pPr>
        <w:spacing w:before="1200"/>
        <w:jc w:val="center"/>
      </w:pPr>
      <w:bookmarkStart w:id="0" w:name="_GoBack"/>
      <w:bookmarkEnd w:id="0"/>
    </w:p>
    <w:p w14:paraId="0D166F83">
      <w:pPr>
        <w:spacing w:after="200"/>
        <w:jc w:val="center"/>
      </w:pPr>
      <w:r>
        <w:rPr>
          <w:rFonts w:ascii="Arial" w:hAnsi="Arial" w:eastAsia="Arial" w:cs="Arial"/>
          <w:color w:val="666666"/>
          <w:sz w:val="24"/>
          <w:szCs w:val="24"/>
        </w:rPr>
        <w:t>HCMUTE — 2026</w:t>
      </w:r>
    </w:p>
    <w:p w14:paraId="6721EBC7">
      <w:r>
        <w:br w:type="page"/>
      </w:r>
    </w:p>
    <w:p w14:paraId="26172CAC">
      <w:pPr>
        <w:pStyle w:val="2"/>
      </w:pPr>
      <w:r>
        <w:t>1. Model Architecture</w:t>
      </w:r>
    </w:p>
    <w:p w14:paraId="607EB915">
      <w:pPr>
        <w:spacing w:after="120"/>
      </w:pPr>
      <w:r>
        <w:t xml:space="preserve">The model M2 is a </w:t>
      </w:r>
      <w:r>
        <w:rPr>
          <w:b/>
          <w:bCs/>
        </w:rPr>
        <w:t>WideResNet-28-4</w:t>
      </w:r>
      <w:r>
        <w:t xml:space="preserve"> with </w:t>
      </w:r>
      <w:r>
        <w:rPr>
          <w:b/>
          <w:bCs/>
        </w:rPr>
        <w:t>Squeeze-and-Excitation (SE) Attention</w:t>
      </w:r>
      <w:r>
        <w:t xml:space="preserve"> blocks. This architecture uses pre-activation residual blocks with widening factor 4, resulting in a deep and wide network suitable for image classification tasks.</w:t>
      </w:r>
    </w:p>
    <w:p w14:paraId="60D5BC89">
      <w:pPr>
        <w:pStyle w:val="3"/>
      </w:pPr>
      <w:r>
        <w:t>Architecture Details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00"/>
        <w:gridCol w:w="5860"/>
      </w:tblGrid>
      <w:tr w14:paraId="30D3B1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AAAAAA" w:sz="0" w:space="0"/>
              <w:left w:val="single" w:color="AAAAAA" w:sz="0" w:space="0"/>
              <w:bottom w:val="single" w:color="AAAAAA" w:sz="0" w:space="0"/>
              <w:right w:val="single" w:color="AAAAAA" w:sz="0" w:space="0"/>
            </w:tcBorders>
            <w:shd w:val="clear" w:color="auto" w:fill="2B5797"/>
            <w:tcMar>
              <w:top w:w="80" w:type="dxa"/>
              <w:left w:w="120" w:type="dxa"/>
              <w:bottom w:w="80" w:type="dxa"/>
              <w:right w:w="120" w:type="dxa"/>
            </w:tcMar>
            <w:vAlign w:val="center"/>
          </w:tcPr>
          <w:p w14:paraId="5404B2C3">
            <w:pPr>
              <w:jc w:val="center"/>
            </w:pPr>
            <w:r>
              <w:rPr>
                <w:rFonts w:ascii="Arial" w:hAnsi="Arial" w:eastAsia="Arial" w:cs="Arial"/>
                <w:b/>
                <w:bCs/>
                <w:color w:val="FFFFFF"/>
                <w:sz w:val="22"/>
                <w:szCs w:val="22"/>
              </w:rPr>
              <w:t>Component</w:t>
            </w:r>
          </w:p>
        </w:tc>
        <w:tc>
          <w:tcPr>
            <w:tcW w:w="5860" w:type="dxa"/>
            <w:tcBorders>
              <w:top w:val="single" w:color="AAAAAA" w:sz="0" w:space="0"/>
              <w:left w:val="single" w:color="AAAAAA" w:sz="0" w:space="0"/>
              <w:bottom w:val="single" w:color="AAAAAA" w:sz="0" w:space="0"/>
              <w:right w:val="single" w:color="AAAAAA" w:sz="0" w:space="0"/>
            </w:tcBorders>
            <w:shd w:val="clear" w:color="auto" w:fill="2B5797"/>
            <w:tcMar>
              <w:top w:w="80" w:type="dxa"/>
              <w:left w:w="120" w:type="dxa"/>
              <w:bottom w:w="80" w:type="dxa"/>
              <w:right w:w="120" w:type="dxa"/>
            </w:tcMar>
            <w:vAlign w:val="center"/>
          </w:tcPr>
          <w:p w14:paraId="10F3E7DB">
            <w:pPr>
              <w:jc w:val="center"/>
            </w:pPr>
            <w:r>
              <w:rPr>
                <w:rFonts w:ascii="Arial" w:hAnsi="Arial" w:eastAsia="Arial" w:cs="Arial"/>
                <w:b/>
                <w:bCs/>
                <w:color w:val="FFFFFF"/>
                <w:sz w:val="22"/>
                <w:szCs w:val="22"/>
              </w:rPr>
              <w:t>Description</w:t>
            </w:r>
          </w:p>
        </w:tc>
      </w:tr>
      <w:tr w14:paraId="239042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0B5C40D4">
            <w:pPr>
              <w:jc w:val="left"/>
            </w:pPr>
            <w:r>
              <w:rPr>
                <w:rFonts w:ascii="Arial" w:hAnsi="Arial" w:eastAsia="Arial" w:cs="Arial"/>
                <w:sz w:val="22"/>
                <w:szCs w:val="22"/>
              </w:rPr>
              <w:t>Network Type</w:t>
            </w:r>
          </w:p>
        </w:tc>
        <w:tc>
          <w:tcPr>
            <w:tcW w:w="586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4E7ED93C">
            <w:pPr>
              <w:jc w:val="left"/>
            </w:pPr>
            <w:r>
              <w:rPr>
                <w:rFonts w:ascii="Arial" w:hAnsi="Arial" w:eastAsia="Arial" w:cs="Arial"/>
                <w:sz w:val="22"/>
                <w:szCs w:val="22"/>
              </w:rPr>
              <w:t>WideResNet (Pre-activation ResNet)</w:t>
            </w:r>
          </w:p>
        </w:tc>
      </w:tr>
      <w:tr w14:paraId="2DBC3F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074772F7">
            <w:pPr>
              <w:jc w:val="left"/>
            </w:pPr>
            <w:r>
              <w:rPr>
                <w:rFonts w:ascii="Arial" w:hAnsi="Arial" w:eastAsia="Arial" w:cs="Arial"/>
                <w:sz w:val="22"/>
                <w:szCs w:val="22"/>
              </w:rPr>
              <w:t>Depth</w:t>
            </w:r>
          </w:p>
        </w:tc>
        <w:tc>
          <w:tcPr>
            <w:tcW w:w="58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7A877C0">
            <w:pPr>
              <w:jc w:val="left"/>
            </w:pPr>
            <w:r>
              <w:rPr>
                <w:rFonts w:ascii="Arial" w:hAnsi="Arial" w:eastAsia="Arial" w:cs="Arial"/>
                <w:sz w:val="22"/>
                <w:szCs w:val="22"/>
              </w:rPr>
              <w:t>28 layers (4 blocks per group x 3 groups)</w:t>
            </w:r>
          </w:p>
        </w:tc>
      </w:tr>
      <w:tr w14:paraId="01F689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1DBF048F">
            <w:pPr>
              <w:jc w:val="left"/>
            </w:pPr>
            <w:r>
              <w:rPr>
                <w:rFonts w:ascii="Arial" w:hAnsi="Arial" w:eastAsia="Arial" w:cs="Arial"/>
                <w:sz w:val="22"/>
                <w:szCs w:val="22"/>
              </w:rPr>
              <w:t>Widen Factor</w:t>
            </w:r>
          </w:p>
        </w:tc>
        <w:tc>
          <w:tcPr>
            <w:tcW w:w="586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108FD4AB">
            <w:pPr>
              <w:jc w:val="left"/>
            </w:pPr>
            <w:r>
              <w:rPr>
                <w:rFonts w:ascii="Arial" w:hAnsi="Arial" w:eastAsia="Arial" w:cs="Arial"/>
                <w:sz w:val="22"/>
                <w:szCs w:val="22"/>
              </w:rPr>
              <w:t>4 (channels: 16 → 64 → 128 → 256)</w:t>
            </w:r>
          </w:p>
        </w:tc>
      </w:tr>
      <w:tr w14:paraId="5226B2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59B7A963">
            <w:pPr>
              <w:jc w:val="left"/>
            </w:pPr>
            <w:r>
              <w:rPr>
                <w:rFonts w:ascii="Arial" w:hAnsi="Arial" w:eastAsia="Arial" w:cs="Arial"/>
                <w:sz w:val="22"/>
                <w:szCs w:val="22"/>
              </w:rPr>
              <w:t>Attention</w:t>
            </w:r>
          </w:p>
        </w:tc>
        <w:tc>
          <w:tcPr>
            <w:tcW w:w="58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29DDE4D7">
            <w:pPr>
              <w:jc w:val="left"/>
            </w:pPr>
            <w:r>
              <w:rPr>
                <w:rFonts w:ascii="Arial" w:hAnsi="Arial" w:eastAsia="Arial" w:cs="Arial"/>
                <w:sz w:val="22"/>
                <w:szCs w:val="22"/>
              </w:rPr>
              <w:t>SE Block (reduction=16) after each residual block</w:t>
            </w:r>
          </w:p>
        </w:tc>
      </w:tr>
      <w:tr w14:paraId="56853D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6EEB7DEF">
            <w:pPr>
              <w:jc w:val="left"/>
            </w:pPr>
            <w:r>
              <w:rPr>
                <w:rFonts w:ascii="Arial" w:hAnsi="Arial" w:eastAsia="Arial" w:cs="Arial"/>
                <w:sz w:val="22"/>
                <w:szCs w:val="22"/>
              </w:rPr>
              <w:t>Pooling</w:t>
            </w:r>
          </w:p>
        </w:tc>
        <w:tc>
          <w:tcPr>
            <w:tcW w:w="586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6FC82E1E">
            <w:pPr>
              <w:jc w:val="left"/>
            </w:pPr>
            <w:r>
              <w:rPr>
                <w:rFonts w:ascii="Arial" w:hAnsi="Arial" w:eastAsia="Arial" w:cs="Arial"/>
                <w:sz w:val="22"/>
                <w:szCs w:val="22"/>
              </w:rPr>
              <w:t>Adaptive Average Pooling → FC layer</w:t>
            </w:r>
          </w:p>
        </w:tc>
      </w:tr>
      <w:tr w14:paraId="07704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2D0F00E6">
            <w:pPr>
              <w:jc w:val="left"/>
            </w:pPr>
            <w:r>
              <w:rPr>
                <w:rFonts w:ascii="Arial" w:hAnsi="Arial" w:eastAsia="Arial" w:cs="Arial"/>
                <w:sz w:val="22"/>
                <w:szCs w:val="22"/>
              </w:rPr>
              <w:t>Dropout</w:t>
            </w:r>
          </w:p>
        </w:tc>
        <w:tc>
          <w:tcPr>
            <w:tcW w:w="58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323ABED3">
            <w:pPr>
              <w:jc w:val="left"/>
            </w:pPr>
            <w:r>
              <w:rPr>
                <w:rFonts w:ascii="Arial" w:hAnsi="Arial" w:eastAsia="Arial" w:cs="Arial"/>
                <w:sz w:val="22"/>
                <w:szCs w:val="22"/>
              </w:rPr>
              <w:t>0.3 (between conv layers in each block)</w:t>
            </w:r>
          </w:p>
        </w:tc>
      </w:tr>
      <w:tr w14:paraId="49BB2A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29FD8239">
            <w:pPr>
              <w:jc w:val="left"/>
            </w:pPr>
            <w:r>
              <w:rPr>
                <w:rFonts w:ascii="Arial" w:hAnsi="Arial" w:eastAsia="Arial" w:cs="Arial"/>
                <w:sz w:val="22"/>
                <w:szCs w:val="22"/>
              </w:rPr>
              <w:t>Weight Init</w:t>
            </w:r>
          </w:p>
        </w:tc>
        <w:tc>
          <w:tcPr>
            <w:tcW w:w="586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108D5ABB">
            <w:pPr>
              <w:jc w:val="left"/>
            </w:pPr>
            <w:r>
              <w:rPr>
                <w:rFonts w:ascii="Arial" w:hAnsi="Arial" w:eastAsia="Arial" w:cs="Arial"/>
                <w:sz w:val="22"/>
                <w:szCs w:val="22"/>
              </w:rPr>
              <w:t>Kaiming Normal (Conv), Xavier Normal (FC)</w:t>
            </w:r>
          </w:p>
        </w:tc>
      </w:tr>
      <w:tr w14:paraId="257F52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5C939AE3">
            <w:pPr>
              <w:jc w:val="left"/>
            </w:pPr>
            <w:r>
              <w:rPr>
                <w:rFonts w:ascii="Arial" w:hAnsi="Arial" w:eastAsia="Arial" w:cs="Arial"/>
                <w:sz w:val="22"/>
                <w:szCs w:val="22"/>
              </w:rPr>
              <w:t>Parameters (CIFAR-10)</w:t>
            </w:r>
          </w:p>
        </w:tc>
        <w:tc>
          <w:tcPr>
            <w:tcW w:w="58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E724BEB">
            <w:pPr>
              <w:jc w:val="left"/>
            </w:pPr>
            <w:r>
              <w:rPr>
                <w:rFonts w:ascii="Arial" w:hAnsi="Arial" w:eastAsia="Arial" w:cs="Arial"/>
                <w:sz w:val="22"/>
                <w:szCs w:val="22"/>
              </w:rPr>
              <w:t>5,893,962</w:t>
            </w:r>
          </w:p>
        </w:tc>
      </w:tr>
      <w:tr w14:paraId="039B23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652183E0">
            <w:pPr>
              <w:jc w:val="left"/>
            </w:pPr>
            <w:r>
              <w:rPr>
                <w:rFonts w:ascii="Arial" w:hAnsi="Arial" w:eastAsia="Arial" w:cs="Arial"/>
                <w:sz w:val="22"/>
                <w:szCs w:val="22"/>
              </w:rPr>
              <w:t>Parameters (CIFAR-100)</w:t>
            </w:r>
          </w:p>
        </w:tc>
        <w:tc>
          <w:tcPr>
            <w:tcW w:w="586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574A9629">
            <w:pPr>
              <w:jc w:val="left"/>
            </w:pPr>
            <w:r>
              <w:rPr>
                <w:rFonts w:ascii="Arial" w:hAnsi="Arial" w:eastAsia="Arial" w:cs="Arial"/>
                <w:sz w:val="22"/>
                <w:szCs w:val="22"/>
              </w:rPr>
              <w:t>5,917,092</w:t>
            </w:r>
          </w:p>
        </w:tc>
      </w:tr>
    </w:tbl>
    <w:p w14:paraId="0452A397">
      <w:pPr>
        <w:pStyle w:val="2"/>
      </w:pPr>
      <w:r>
        <w:t>2. Training Configuration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3080"/>
        <w:gridCol w:w="3080"/>
      </w:tblGrid>
      <w:tr w14:paraId="1C77B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AAAAA" w:sz="0" w:space="0"/>
              <w:left w:val="single" w:color="AAAAAA" w:sz="0" w:space="0"/>
              <w:bottom w:val="single" w:color="AAAAAA" w:sz="0" w:space="0"/>
              <w:right w:val="single" w:color="AAAAAA" w:sz="0" w:space="0"/>
            </w:tcBorders>
            <w:shd w:val="clear" w:color="auto" w:fill="2B5797"/>
            <w:tcMar>
              <w:top w:w="80" w:type="dxa"/>
              <w:left w:w="120" w:type="dxa"/>
              <w:bottom w:w="80" w:type="dxa"/>
              <w:right w:w="120" w:type="dxa"/>
            </w:tcMar>
            <w:vAlign w:val="center"/>
          </w:tcPr>
          <w:p w14:paraId="0BA27DA9">
            <w:pPr>
              <w:jc w:val="center"/>
            </w:pPr>
            <w:r>
              <w:rPr>
                <w:rFonts w:ascii="Arial" w:hAnsi="Arial" w:eastAsia="Arial" w:cs="Arial"/>
                <w:b/>
                <w:bCs/>
                <w:color w:val="FFFFFF"/>
                <w:sz w:val="22"/>
                <w:szCs w:val="22"/>
              </w:rPr>
              <w:t>Setting</w:t>
            </w:r>
          </w:p>
        </w:tc>
        <w:tc>
          <w:tcPr>
            <w:tcW w:w="3080" w:type="dxa"/>
            <w:tcBorders>
              <w:top w:val="single" w:color="AAAAAA" w:sz="0" w:space="0"/>
              <w:left w:val="single" w:color="AAAAAA" w:sz="0" w:space="0"/>
              <w:bottom w:val="single" w:color="AAAAAA" w:sz="0" w:space="0"/>
              <w:right w:val="single" w:color="AAAAAA" w:sz="0" w:space="0"/>
            </w:tcBorders>
            <w:shd w:val="clear" w:color="auto" w:fill="2B5797"/>
            <w:tcMar>
              <w:top w:w="80" w:type="dxa"/>
              <w:left w:w="120" w:type="dxa"/>
              <w:bottom w:w="80" w:type="dxa"/>
              <w:right w:w="120" w:type="dxa"/>
            </w:tcMar>
            <w:vAlign w:val="center"/>
          </w:tcPr>
          <w:p w14:paraId="092E6647">
            <w:pPr>
              <w:jc w:val="center"/>
            </w:pPr>
            <w:r>
              <w:rPr>
                <w:rFonts w:ascii="Arial" w:hAnsi="Arial" w:eastAsia="Arial" w:cs="Arial"/>
                <w:b/>
                <w:bCs/>
                <w:color w:val="FFFFFF"/>
                <w:sz w:val="22"/>
                <w:szCs w:val="22"/>
              </w:rPr>
              <w:t>CIFAR-10</w:t>
            </w:r>
          </w:p>
        </w:tc>
        <w:tc>
          <w:tcPr>
            <w:tcW w:w="3080" w:type="dxa"/>
            <w:tcBorders>
              <w:top w:val="single" w:color="AAAAAA" w:sz="0" w:space="0"/>
              <w:left w:val="single" w:color="AAAAAA" w:sz="0" w:space="0"/>
              <w:bottom w:val="single" w:color="AAAAAA" w:sz="0" w:space="0"/>
              <w:right w:val="single" w:color="AAAAAA" w:sz="0" w:space="0"/>
            </w:tcBorders>
            <w:shd w:val="clear" w:color="auto" w:fill="2B5797"/>
            <w:tcMar>
              <w:top w:w="80" w:type="dxa"/>
              <w:left w:w="120" w:type="dxa"/>
              <w:bottom w:w="80" w:type="dxa"/>
              <w:right w:w="120" w:type="dxa"/>
            </w:tcMar>
            <w:vAlign w:val="center"/>
          </w:tcPr>
          <w:p w14:paraId="2B9A9A57">
            <w:pPr>
              <w:jc w:val="center"/>
            </w:pPr>
            <w:r>
              <w:rPr>
                <w:rFonts w:ascii="Arial" w:hAnsi="Arial" w:eastAsia="Arial" w:cs="Arial"/>
                <w:b/>
                <w:bCs/>
                <w:color w:val="FFFFFF"/>
                <w:sz w:val="22"/>
                <w:szCs w:val="22"/>
              </w:rPr>
              <w:t>CIFAR-100</w:t>
            </w:r>
          </w:p>
        </w:tc>
      </w:tr>
      <w:tr w14:paraId="6A5F93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0982917D">
            <w:pPr>
              <w:jc w:val="left"/>
            </w:pPr>
            <w:r>
              <w:rPr>
                <w:rFonts w:ascii="Arial" w:hAnsi="Arial" w:eastAsia="Arial" w:cs="Arial"/>
                <w:sz w:val="22"/>
                <w:szCs w:val="22"/>
              </w:rPr>
              <w:t>Epochs</w:t>
            </w:r>
          </w:p>
        </w:tc>
        <w:tc>
          <w:tcPr>
            <w:tcW w:w="308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77BA3002">
            <w:pPr>
              <w:jc w:val="center"/>
            </w:pPr>
            <w:r>
              <w:rPr>
                <w:rFonts w:ascii="Arial" w:hAnsi="Arial" w:eastAsia="Arial" w:cs="Arial"/>
                <w:sz w:val="22"/>
                <w:szCs w:val="22"/>
              </w:rPr>
              <w:t>200</w:t>
            </w:r>
          </w:p>
        </w:tc>
        <w:tc>
          <w:tcPr>
            <w:tcW w:w="308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73728BF1">
            <w:pPr>
              <w:jc w:val="center"/>
            </w:pPr>
            <w:r>
              <w:rPr>
                <w:rFonts w:ascii="Arial" w:hAnsi="Arial" w:eastAsia="Arial" w:cs="Arial"/>
                <w:sz w:val="22"/>
                <w:szCs w:val="22"/>
              </w:rPr>
              <w:t>200</w:t>
            </w:r>
          </w:p>
        </w:tc>
      </w:tr>
      <w:tr w14:paraId="3203C7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19BE388A">
            <w:pPr>
              <w:jc w:val="left"/>
            </w:pPr>
            <w:r>
              <w:rPr>
                <w:rFonts w:ascii="Arial" w:hAnsi="Arial" w:eastAsia="Arial" w:cs="Arial"/>
                <w:sz w:val="22"/>
                <w:szCs w:val="22"/>
              </w:rPr>
              <w:t>Batch Size</w:t>
            </w:r>
          </w:p>
        </w:tc>
        <w:tc>
          <w:tcPr>
            <w:tcW w:w="308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50C9DDD3">
            <w:pPr>
              <w:jc w:val="center"/>
            </w:pPr>
            <w:r>
              <w:rPr>
                <w:rFonts w:ascii="Arial" w:hAnsi="Arial" w:eastAsia="Arial" w:cs="Arial"/>
                <w:sz w:val="22"/>
                <w:szCs w:val="22"/>
              </w:rPr>
              <w:t>128</w:t>
            </w:r>
          </w:p>
        </w:tc>
        <w:tc>
          <w:tcPr>
            <w:tcW w:w="308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2675849B">
            <w:pPr>
              <w:jc w:val="center"/>
            </w:pPr>
            <w:r>
              <w:rPr>
                <w:rFonts w:ascii="Arial" w:hAnsi="Arial" w:eastAsia="Arial" w:cs="Arial"/>
                <w:sz w:val="22"/>
                <w:szCs w:val="22"/>
              </w:rPr>
              <w:t>128</w:t>
            </w:r>
          </w:p>
        </w:tc>
      </w:tr>
      <w:tr w14:paraId="7D5FEB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734CB800">
            <w:pPr>
              <w:jc w:val="left"/>
            </w:pPr>
            <w:r>
              <w:rPr>
                <w:rFonts w:ascii="Arial" w:hAnsi="Arial" w:eastAsia="Arial" w:cs="Arial"/>
                <w:sz w:val="22"/>
                <w:szCs w:val="22"/>
              </w:rPr>
              <w:t>Optimizer</w:t>
            </w:r>
          </w:p>
        </w:tc>
        <w:tc>
          <w:tcPr>
            <w:tcW w:w="308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0E1D2A42">
            <w:pPr>
              <w:jc w:val="center"/>
            </w:pPr>
            <w:r>
              <w:rPr>
                <w:rFonts w:ascii="Arial" w:hAnsi="Arial" w:eastAsia="Arial" w:cs="Arial"/>
                <w:sz w:val="22"/>
                <w:szCs w:val="22"/>
              </w:rPr>
              <w:t>SGD (Nesterov)</w:t>
            </w:r>
          </w:p>
        </w:tc>
        <w:tc>
          <w:tcPr>
            <w:tcW w:w="308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5B04ECA9">
            <w:pPr>
              <w:jc w:val="center"/>
            </w:pPr>
            <w:r>
              <w:rPr>
                <w:rFonts w:ascii="Arial" w:hAnsi="Arial" w:eastAsia="Arial" w:cs="Arial"/>
                <w:sz w:val="22"/>
                <w:szCs w:val="22"/>
              </w:rPr>
              <w:t>SGD (Nesterov)</w:t>
            </w:r>
          </w:p>
        </w:tc>
      </w:tr>
      <w:tr w14:paraId="3B2E9B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2F430481">
            <w:pPr>
              <w:jc w:val="left"/>
            </w:pPr>
            <w:r>
              <w:rPr>
                <w:rFonts w:ascii="Arial" w:hAnsi="Arial" w:eastAsia="Arial" w:cs="Arial"/>
                <w:sz w:val="22"/>
                <w:szCs w:val="22"/>
              </w:rPr>
              <w:t>Learning Rate</w:t>
            </w:r>
          </w:p>
        </w:tc>
        <w:tc>
          <w:tcPr>
            <w:tcW w:w="308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5EB28CA4">
            <w:pPr>
              <w:jc w:val="center"/>
            </w:pPr>
            <w:r>
              <w:rPr>
                <w:rFonts w:ascii="Arial" w:hAnsi="Arial" w:eastAsia="Arial" w:cs="Arial"/>
                <w:sz w:val="22"/>
                <w:szCs w:val="22"/>
              </w:rPr>
              <w:t>0.1</w:t>
            </w:r>
          </w:p>
        </w:tc>
        <w:tc>
          <w:tcPr>
            <w:tcW w:w="308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35BF8E26">
            <w:pPr>
              <w:jc w:val="center"/>
            </w:pPr>
            <w:r>
              <w:rPr>
                <w:rFonts w:ascii="Arial" w:hAnsi="Arial" w:eastAsia="Arial" w:cs="Arial"/>
                <w:sz w:val="22"/>
                <w:szCs w:val="22"/>
              </w:rPr>
              <w:t>0.1</w:t>
            </w:r>
          </w:p>
        </w:tc>
      </w:tr>
      <w:tr w14:paraId="506978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63460065">
            <w:pPr>
              <w:jc w:val="left"/>
            </w:pPr>
            <w:r>
              <w:rPr>
                <w:rFonts w:ascii="Arial" w:hAnsi="Arial" w:eastAsia="Arial" w:cs="Arial"/>
                <w:sz w:val="22"/>
                <w:szCs w:val="22"/>
              </w:rPr>
              <w:t>Momentum</w:t>
            </w:r>
          </w:p>
        </w:tc>
        <w:tc>
          <w:tcPr>
            <w:tcW w:w="308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4CDFE25B">
            <w:pPr>
              <w:jc w:val="center"/>
            </w:pPr>
            <w:r>
              <w:rPr>
                <w:rFonts w:ascii="Arial" w:hAnsi="Arial" w:eastAsia="Arial" w:cs="Arial"/>
                <w:sz w:val="22"/>
                <w:szCs w:val="22"/>
              </w:rPr>
              <w:t>0.9</w:t>
            </w:r>
          </w:p>
        </w:tc>
        <w:tc>
          <w:tcPr>
            <w:tcW w:w="308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5FFEB251">
            <w:pPr>
              <w:jc w:val="center"/>
            </w:pPr>
            <w:r>
              <w:rPr>
                <w:rFonts w:ascii="Arial" w:hAnsi="Arial" w:eastAsia="Arial" w:cs="Arial"/>
                <w:sz w:val="22"/>
                <w:szCs w:val="22"/>
              </w:rPr>
              <w:t>0.9</w:t>
            </w:r>
          </w:p>
        </w:tc>
      </w:tr>
      <w:tr w14:paraId="368FC1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29EF50F7">
            <w:pPr>
              <w:jc w:val="left"/>
            </w:pPr>
            <w:r>
              <w:rPr>
                <w:rFonts w:ascii="Arial" w:hAnsi="Arial" w:eastAsia="Arial" w:cs="Arial"/>
                <w:sz w:val="22"/>
                <w:szCs w:val="22"/>
              </w:rPr>
              <w:t>Weight Decay</w:t>
            </w:r>
          </w:p>
        </w:tc>
        <w:tc>
          <w:tcPr>
            <w:tcW w:w="308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73EFE8D6">
            <w:pPr>
              <w:jc w:val="center"/>
            </w:pPr>
            <w:r>
              <w:rPr>
                <w:rFonts w:ascii="Arial" w:hAnsi="Arial" w:eastAsia="Arial" w:cs="Arial"/>
                <w:sz w:val="22"/>
                <w:szCs w:val="22"/>
              </w:rPr>
              <w:t>5e-4</w:t>
            </w:r>
          </w:p>
        </w:tc>
        <w:tc>
          <w:tcPr>
            <w:tcW w:w="308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0D428339">
            <w:pPr>
              <w:jc w:val="center"/>
            </w:pPr>
            <w:r>
              <w:rPr>
                <w:rFonts w:ascii="Arial" w:hAnsi="Arial" w:eastAsia="Arial" w:cs="Arial"/>
                <w:sz w:val="22"/>
                <w:szCs w:val="22"/>
              </w:rPr>
              <w:t>5e-4</w:t>
            </w:r>
          </w:p>
        </w:tc>
      </w:tr>
      <w:tr w14:paraId="45F7A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229B7690">
            <w:pPr>
              <w:jc w:val="left"/>
            </w:pPr>
            <w:r>
              <w:rPr>
                <w:rFonts w:ascii="Arial" w:hAnsi="Arial" w:eastAsia="Arial" w:cs="Arial"/>
                <w:sz w:val="22"/>
                <w:szCs w:val="22"/>
              </w:rPr>
              <w:t>Scheduler</w:t>
            </w:r>
          </w:p>
        </w:tc>
        <w:tc>
          <w:tcPr>
            <w:tcW w:w="308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12895C12">
            <w:pPr>
              <w:jc w:val="center"/>
            </w:pPr>
            <w:r>
              <w:rPr>
                <w:rFonts w:ascii="Arial" w:hAnsi="Arial" w:eastAsia="Arial" w:cs="Arial"/>
                <w:sz w:val="22"/>
                <w:szCs w:val="22"/>
              </w:rPr>
              <w:t>CosineAnnealingLR</w:t>
            </w:r>
          </w:p>
        </w:tc>
        <w:tc>
          <w:tcPr>
            <w:tcW w:w="308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3B6B8CBF">
            <w:pPr>
              <w:jc w:val="center"/>
            </w:pPr>
            <w:r>
              <w:rPr>
                <w:rFonts w:ascii="Arial" w:hAnsi="Arial" w:eastAsia="Arial" w:cs="Arial"/>
                <w:sz w:val="22"/>
                <w:szCs w:val="22"/>
              </w:rPr>
              <w:t>CosineAnnealingLR</w:t>
            </w:r>
          </w:p>
        </w:tc>
      </w:tr>
      <w:tr w14:paraId="6AC765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73E4E2C8">
            <w:pPr>
              <w:jc w:val="left"/>
            </w:pPr>
            <w:r>
              <w:rPr>
                <w:rFonts w:ascii="Arial" w:hAnsi="Arial" w:eastAsia="Arial" w:cs="Arial"/>
                <w:sz w:val="22"/>
                <w:szCs w:val="22"/>
              </w:rPr>
              <w:t>Label Smoothing</w:t>
            </w:r>
          </w:p>
        </w:tc>
        <w:tc>
          <w:tcPr>
            <w:tcW w:w="308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1556CB1D">
            <w:pPr>
              <w:jc w:val="center"/>
            </w:pPr>
            <w:r>
              <w:rPr>
                <w:rFonts w:ascii="Arial" w:hAnsi="Arial" w:eastAsia="Arial" w:cs="Arial"/>
                <w:sz w:val="22"/>
                <w:szCs w:val="22"/>
              </w:rPr>
              <w:t>0.1</w:t>
            </w:r>
          </w:p>
        </w:tc>
        <w:tc>
          <w:tcPr>
            <w:tcW w:w="308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3EF24A0F">
            <w:pPr>
              <w:jc w:val="center"/>
            </w:pPr>
            <w:r>
              <w:rPr>
                <w:rFonts w:ascii="Arial" w:hAnsi="Arial" w:eastAsia="Arial" w:cs="Arial"/>
                <w:sz w:val="22"/>
                <w:szCs w:val="22"/>
              </w:rPr>
              <w:t>0.1</w:t>
            </w:r>
          </w:p>
        </w:tc>
      </w:tr>
      <w:tr w14:paraId="28FE03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759E2B91">
            <w:pPr>
              <w:jc w:val="left"/>
            </w:pPr>
            <w:r>
              <w:rPr>
                <w:rFonts w:ascii="Arial" w:hAnsi="Arial" w:eastAsia="Arial" w:cs="Arial"/>
                <w:sz w:val="22"/>
                <w:szCs w:val="22"/>
              </w:rPr>
              <w:t>Cutout Size</w:t>
            </w:r>
          </w:p>
        </w:tc>
        <w:tc>
          <w:tcPr>
            <w:tcW w:w="308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61D9C835">
            <w:pPr>
              <w:jc w:val="center"/>
            </w:pPr>
            <w:r>
              <w:rPr>
                <w:rFonts w:ascii="Arial" w:hAnsi="Arial" w:eastAsia="Arial" w:cs="Arial"/>
                <w:sz w:val="22"/>
                <w:szCs w:val="22"/>
              </w:rPr>
              <w:t>16</w:t>
            </w:r>
          </w:p>
        </w:tc>
        <w:tc>
          <w:tcPr>
            <w:tcW w:w="308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7D8D6287">
            <w:pPr>
              <w:jc w:val="center"/>
            </w:pPr>
            <w:r>
              <w:rPr>
                <w:rFonts w:ascii="Arial" w:hAnsi="Arial" w:eastAsia="Arial" w:cs="Arial"/>
                <w:sz w:val="22"/>
                <w:szCs w:val="22"/>
              </w:rPr>
              <w:t>8</w:t>
            </w:r>
          </w:p>
        </w:tc>
      </w:tr>
      <w:tr w14:paraId="4FEFA3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570A1BA">
            <w:pPr>
              <w:jc w:val="left"/>
            </w:pPr>
            <w:r>
              <w:rPr>
                <w:rFonts w:ascii="Arial" w:hAnsi="Arial" w:eastAsia="Arial" w:cs="Arial"/>
                <w:sz w:val="22"/>
                <w:szCs w:val="22"/>
              </w:rPr>
              <w:t>Augmentation</w:t>
            </w:r>
          </w:p>
        </w:tc>
        <w:tc>
          <w:tcPr>
            <w:tcW w:w="308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08A5CCEA">
            <w:pPr>
              <w:jc w:val="center"/>
            </w:pPr>
            <w:r>
              <w:rPr>
                <w:rFonts w:ascii="Arial" w:hAnsi="Arial" w:eastAsia="Arial" w:cs="Arial"/>
                <w:sz w:val="22"/>
                <w:szCs w:val="22"/>
              </w:rPr>
              <w:t>RandomCrop + HFlip + AutoAugment + Cutout</w:t>
            </w:r>
          </w:p>
        </w:tc>
        <w:tc>
          <w:tcPr>
            <w:tcW w:w="308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7C0F1B8">
            <w:pPr>
              <w:jc w:val="center"/>
            </w:pPr>
            <w:r>
              <w:rPr>
                <w:rFonts w:ascii="Arial" w:hAnsi="Arial" w:eastAsia="Arial" w:cs="Arial"/>
                <w:sz w:val="22"/>
                <w:szCs w:val="22"/>
              </w:rPr>
              <w:t>RandomCrop + HFlip + AutoAugment + Cutout</w:t>
            </w:r>
          </w:p>
        </w:tc>
      </w:tr>
    </w:tbl>
    <w:p w14:paraId="7CA161AF">
      <w:r>
        <w:br w:type="page"/>
      </w:r>
    </w:p>
    <w:p w14:paraId="1B8FA9B2">
      <w:pPr>
        <w:pStyle w:val="2"/>
      </w:pPr>
      <w:r>
        <w:t>3. Results on CIFAR-10</w:t>
      </w:r>
    </w:p>
    <w:p w14:paraId="15075E1B">
      <w:pPr>
        <w:spacing w:after="120"/>
      </w:pPr>
      <w:r>
        <w:t xml:space="preserve">CIFAR-10 consists of 60,000 32x32 color images in 10 classes (50,000 train / 10,000 test). The model achieved a best test accuracy of </w:t>
      </w:r>
      <w:r>
        <w:rPr>
          <w:b/>
          <w:bCs/>
        </w:rPr>
        <w:t>96.36%</w:t>
      </w:r>
      <w:r>
        <w:t>.</w:t>
      </w:r>
    </w:p>
    <w:p w14:paraId="6A9B9BED">
      <w:pPr>
        <w:pStyle w:val="3"/>
      </w:pPr>
      <w:r>
        <w:t>Training Curves</w:t>
      </w:r>
    </w:p>
    <w:p w14:paraId="22A40E3F">
      <w:pPr>
        <w:spacing w:after="200"/>
        <w:jc w:val="center"/>
      </w:pPr>
      <w:r>
        <w:drawing>
          <wp:inline distT="0" distB="0" distL="0" distR="0">
            <wp:extent cx="5905500" cy="1905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4"/>
                    <a:srcRect/>
                    <a:stretch>
                      <a:fillRect/>
                    </a:stretch>
                  </pic:blipFill>
                  <pic:spPr>
                    <a:xfrm>
                      <a:off x="0" y="0"/>
                      <a:ext cx="5905500" cy="1905000"/>
                    </a:xfrm>
                    <a:prstGeom prst="rect">
                      <a:avLst/>
                    </a:prstGeom>
                  </pic:spPr>
                </pic:pic>
              </a:graphicData>
            </a:graphic>
          </wp:inline>
        </w:drawing>
      </w:r>
    </w:p>
    <w:p w14:paraId="5D743F43">
      <w:pPr>
        <w:spacing w:after="200"/>
        <w:jc w:val="center"/>
      </w:pPr>
      <w:r>
        <w:rPr>
          <w:i/>
          <w:iCs/>
          <w:color w:val="666666"/>
          <w:sz w:val="20"/>
          <w:szCs w:val="20"/>
        </w:rPr>
        <w:t>Figure 1: Loss and Accuracy curves for CIFAR-10 (200 epochs)</w:t>
      </w:r>
    </w:p>
    <w:p w14:paraId="03C177F3">
      <w:pPr>
        <w:pStyle w:val="2"/>
      </w:pPr>
      <w:r>
        <w:t>4. Results on CIFAR-100</w:t>
      </w:r>
    </w:p>
    <w:p w14:paraId="4BF5253E">
      <w:pPr>
        <w:spacing w:after="120"/>
      </w:pPr>
      <w:r>
        <w:t xml:space="preserve">CIFAR-100 consists of 60,000 32x32 color images in 100 classes (50,000 train / 10,000 test). The model achieved a best test accuracy of </w:t>
      </w:r>
      <w:r>
        <w:rPr>
          <w:b/>
          <w:bCs/>
        </w:rPr>
        <w:t>79.67%</w:t>
      </w:r>
      <w:r>
        <w:t>.</w:t>
      </w:r>
    </w:p>
    <w:p w14:paraId="35E52758">
      <w:pPr>
        <w:pStyle w:val="3"/>
      </w:pPr>
      <w:r>
        <w:t>Training Curves</w:t>
      </w:r>
    </w:p>
    <w:p w14:paraId="7C5725B3">
      <w:pPr>
        <w:spacing w:after="200"/>
        <w:jc w:val="center"/>
      </w:pPr>
      <w:r>
        <w:drawing>
          <wp:inline distT="0" distB="0" distL="0" distR="0">
            <wp:extent cx="5905500" cy="1905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5"/>
                    <a:srcRect/>
                    <a:stretch>
                      <a:fillRect/>
                    </a:stretch>
                  </pic:blipFill>
                  <pic:spPr>
                    <a:xfrm>
                      <a:off x="0" y="0"/>
                      <a:ext cx="5905500" cy="1905000"/>
                    </a:xfrm>
                    <a:prstGeom prst="rect">
                      <a:avLst/>
                    </a:prstGeom>
                  </pic:spPr>
                </pic:pic>
              </a:graphicData>
            </a:graphic>
          </wp:inline>
        </w:drawing>
      </w:r>
    </w:p>
    <w:p w14:paraId="6BA7E52E">
      <w:pPr>
        <w:spacing w:after="200"/>
        <w:jc w:val="center"/>
      </w:pPr>
      <w:r>
        <w:rPr>
          <w:i/>
          <w:iCs/>
          <w:color w:val="666666"/>
          <w:sz w:val="20"/>
          <w:szCs w:val="20"/>
        </w:rPr>
        <w:t>Figure 2: Loss and Accuracy curves for CIFAR-100 (200 epochs)</w:t>
      </w:r>
    </w:p>
    <w:p w14:paraId="057B15D1">
      <w:pPr>
        <w:pStyle w:val="2"/>
      </w:pPr>
      <w:r>
        <w:t>5. Best Results Summary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3120"/>
        <w:gridCol w:w="3120"/>
      </w:tblGrid>
      <w:tr w14:paraId="78043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AAAAAA" w:sz="0" w:space="0"/>
              <w:left w:val="single" w:color="AAAAAA" w:sz="0" w:space="0"/>
              <w:bottom w:val="single" w:color="AAAAAA" w:sz="0" w:space="0"/>
              <w:right w:val="single" w:color="AAAAAA" w:sz="0" w:space="0"/>
            </w:tcBorders>
            <w:shd w:val="clear" w:color="auto" w:fill="2B5797"/>
            <w:tcMar>
              <w:top w:w="80" w:type="dxa"/>
              <w:left w:w="120" w:type="dxa"/>
              <w:bottom w:w="80" w:type="dxa"/>
              <w:right w:w="120" w:type="dxa"/>
            </w:tcMar>
            <w:vAlign w:val="center"/>
          </w:tcPr>
          <w:p w14:paraId="0D1B284A">
            <w:pPr>
              <w:jc w:val="center"/>
            </w:pPr>
            <w:r>
              <w:rPr>
                <w:rFonts w:ascii="Arial" w:hAnsi="Arial" w:eastAsia="Arial" w:cs="Arial"/>
                <w:b/>
                <w:bCs/>
                <w:color w:val="FFFFFF"/>
                <w:sz w:val="22"/>
                <w:szCs w:val="22"/>
              </w:rPr>
              <w:t>Dataset</w:t>
            </w:r>
          </w:p>
        </w:tc>
        <w:tc>
          <w:tcPr>
            <w:tcW w:w="3120" w:type="dxa"/>
            <w:tcBorders>
              <w:top w:val="single" w:color="AAAAAA" w:sz="0" w:space="0"/>
              <w:left w:val="single" w:color="AAAAAA" w:sz="0" w:space="0"/>
              <w:bottom w:val="single" w:color="AAAAAA" w:sz="0" w:space="0"/>
              <w:right w:val="single" w:color="AAAAAA" w:sz="0" w:space="0"/>
            </w:tcBorders>
            <w:shd w:val="clear" w:color="auto" w:fill="2B5797"/>
            <w:tcMar>
              <w:top w:w="80" w:type="dxa"/>
              <w:left w:w="120" w:type="dxa"/>
              <w:bottom w:w="80" w:type="dxa"/>
              <w:right w:w="120" w:type="dxa"/>
            </w:tcMar>
            <w:vAlign w:val="center"/>
          </w:tcPr>
          <w:p w14:paraId="23F9EF0C">
            <w:pPr>
              <w:jc w:val="center"/>
            </w:pPr>
            <w:r>
              <w:rPr>
                <w:rFonts w:ascii="Arial" w:hAnsi="Arial" w:eastAsia="Arial" w:cs="Arial"/>
                <w:b/>
                <w:bCs/>
                <w:color w:val="FFFFFF"/>
                <w:sz w:val="22"/>
                <w:szCs w:val="22"/>
              </w:rPr>
              <w:t>Best Test Accuracy</w:t>
            </w:r>
          </w:p>
        </w:tc>
        <w:tc>
          <w:tcPr>
            <w:tcW w:w="3120" w:type="dxa"/>
            <w:tcBorders>
              <w:top w:val="single" w:color="AAAAAA" w:sz="0" w:space="0"/>
              <w:left w:val="single" w:color="AAAAAA" w:sz="0" w:space="0"/>
              <w:bottom w:val="single" w:color="AAAAAA" w:sz="0" w:space="0"/>
              <w:right w:val="single" w:color="AAAAAA" w:sz="0" w:space="0"/>
            </w:tcBorders>
            <w:shd w:val="clear" w:color="auto" w:fill="2B5797"/>
            <w:tcMar>
              <w:top w:w="80" w:type="dxa"/>
              <w:left w:w="120" w:type="dxa"/>
              <w:bottom w:w="80" w:type="dxa"/>
              <w:right w:w="120" w:type="dxa"/>
            </w:tcMar>
            <w:vAlign w:val="center"/>
          </w:tcPr>
          <w:p w14:paraId="7E86802E">
            <w:pPr>
              <w:jc w:val="center"/>
            </w:pPr>
            <w:r>
              <w:rPr>
                <w:rFonts w:ascii="Arial" w:hAnsi="Arial" w:eastAsia="Arial" w:cs="Arial"/>
                <w:b/>
                <w:bCs/>
                <w:color w:val="FFFFFF"/>
                <w:sz w:val="22"/>
                <w:szCs w:val="22"/>
              </w:rPr>
              <w:t>Best Epoch</w:t>
            </w:r>
          </w:p>
        </w:tc>
      </w:tr>
      <w:tr w14:paraId="1E2F4E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4D0916BA">
            <w:pPr>
              <w:jc w:val="left"/>
            </w:pPr>
            <w:r>
              <w:rPr>
                <w:rFonts w:ascii="Arial" w:hAnsi="Arial" w:eastAsia="Arial" w:cs="Arial"/>
                <w:b/>
                <w:bCs/>
                <w:sz w:val="22"/>
                <w:szCs w:val="22"/>
              </w:rPr>
              <w:t>CIFAR-10</w:t>
            </w:r>
          </w:p>
        </w:tc>
        <w:tc>
          <w:tcPr>
            <w:tcW w:w="312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7CAF0A8B">
            <w:pPr>
              <w:jc w:val="center"/>
            </w:pPr>
            <w:r>
              <w:rPr>
                <w:rFonts w:ascii="Arial" w:hAnsi="Arial" w:eastAsia="Arial" w:cs="Arial"/>
                <w:b/>
                <w:bCs/>
                <w:sz w:val="22"/>
                <w:szCs w:val="22"/>
              </w:rPr>
              <w:t>96.36%</w:t>
            </w:r>
          </w:p>
        </w:tc>
        <w:tc>
          <w:tcPr>
            <w:tcW w:w="3120" w:type="dxa"/>
            <w:tcBorders>
              <w:top w:val="single" w:color="AAAAAA" w:sz="0" w:space="0"/>
              <w:left w:val="single" w:color="AAAAAA" w:sz="0" w:space="0"/>
              <w:bottom w:val="single" w:color="AAAAAA" w:sz="0" w:space="0"/>
              <w:right w:val="single" w:color="AAAAAA" w:sz="0" w:space="0"/>
            </w:tcBorders>
            <w:shd w:val="clear" w:color="auto" w:fill="F2F7FB"/>
            <w:tcMar>
              <w:top w:w="80" w:type="dxa"/>
              <w:left w:w="120" w:type="dxa"/>
              <w:bottom w:w="80" w:type="dxa"/>
              <w:right w:w="120" w:type="dxa"/>
            </w:tcMar>
          </w:tcPr>
          <w:p w14:paraId="6C6EC559">
            <w:pPr>
              <w:jc w:val="center"/>
            </w:pPr>
            <w:r>
              <w:rPr>
                <w:rFonts w:ascii="Arial" w:hAnsi="Arial" w:eastAsia="Arial" w:cs="Arial"/>
                <w:sz w:val="22"/>
                <w:szCs w:val="22"/>
              </w:rPr>
              <w:t>194</w:t>
            </w:r>
          </w:p>
        </w:tc>
      </w:tr>
      <w:tr w14:paraId="2792D1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5FF30CF8">
            <w:pPr>
              <w:jc w:val="left"/>
            </w:pPr>
            <w:r>
              <w:rPr>
                <w:rFonts w:ascii="Arial" w:hAnsi="Arial" w:eastAsia="Arial" w:cs="Arial"/>
                <w:b/>
                <w:bCs/>
                <w:sz w:val="22"/>
                <w:szCs w:val="22"/>
              </w:rPr>
              <w:t>CIFAR-100</w:t>
            </w:r>
          </w:p>
        </w:tc>
        <w:tc>
          <w:tcPr>
            <w:tcW w:w="31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0319F38E">
            <w:pPr>
              <w:jc w:val="center"/>
            </w:pPr>
            <w:r>
              <w:rPr>
                <w:rFonts w:ascii="Arial" w:hAnsi="Arial" w:eastAsia="Arial" w:cs="Arial"/>
                <w:b/>
                <w:bCs/>
                <w:sz w:val="22"/>
                <w:szCs w:val="22"/>
              </w:rPr>
              <w:t>79.67%</w:t>
            </w:r>
          </w:p>
        </w:tc>
        <w:tc>
          <w:tcPr>
            <w:tcW w:w="31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5901991">
            <w:pPr>
              <w:jc w:val="center"/>
            </w:pPr>
            <w:r>
              <w:rPr>
                <w:rFonts w:ascii="Arial" w:hAnsi="Arial" w:eastAsia="Arial" w:cs="Arial"/>
                <w:sz w:val="22"/>
                <w:szCs w:val="22"/>
              </w:rPr>
              <w:t>194</w:t>
            </w:r>
          </w:p>
        </w:tc>
      </w:tr>
    </w:tbl>
    <w:p w14:paraId="132CBB16">
      <w:pPr>
        <w:spacing w:before="300" w:after="120"/>
      </w:pPr>
      <w:r>
        <w:t>Both models converge well with CosineAnnealingLR scheduler, showing consistent improvement throughout the 200 epochs. The SE attention mechanism helps the model focus on important feature channels, contributing to strong performance on both datasets.</w:t>
      </w:r>
    </w:p>
    <w:p w14:paraId="2E46121B">
      <w:pPr>
        <w:spacing w:after="120"/>
      </w:pPr>
      <w:r>
        <w:t>On CIFAR-10, the val accuracy surpasses train accuracy early on due to heavy data augmentation (AutoAugment + Cutout) applied only during training, which is a well-known regularization effect. On CIFAR-100, the gap between train and val accuracy remains small, indicating good generalization with minimal overfitting.</w:t>
      </w:r>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4"/>
  <w:displayBackgroundShape w:val="1"/>
  <w:documentProtection w:enforcement="0"/>
  <w:compat>
    <w:compatSetting w:name="compatibilityMode" w:uri="http://schemas.microsoft.com/office/word" w:val="15"/>
  </w:compat>
  <w:rsids>
    <w:rsidRoot w:val="00000000"/>
    <w:rsid w:val="0A3060D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4"/>
      <w:szCs w:val="24"/>
    </w:rPr>
  </w:style>
  <w:style w:type="paragraph" w:styleId="2">
    <w:name w:val="heading 1"/>
    <w:next w:val="1"/>
    <w:qFormat/>
    <w:uiPriority w:val="0"/>
    <w:pPr>
      <w:spacing w:before="360" w:after="200"/>
      <w:outlineLvl w:val="0"/>
    </w:pPr>
    <w:rPr>
      <w:rFonts w:ascii="Arial" w:hAnsi="Arial" w:eastAsia="Arial" w:cs="Arial"/>
      <w:b/>
      <w:bCs/>
      <w:color w:val="2B5797"/>
      <w:sz w:val="36"/>
      <w:szCs w:val="36"/>
    </w:rPr>
  </w:style>
  <w:style w:type="paragraph" w:styleId="3">
    <w:name w:val="heading 2"/>
    <w:next w:val="1"/>
    <w:qFormat/>
    <w:uiPriority w:val="0"/>
    <w:pPr>
      <w:spacing w:before="240" w:after="160"/>
      <w:outlineLvl w:val="1"/>
    </w:pPr>
    <w:rPr>
      <w:rFonts w:ascii="Arial" w:hAnsi="Arial" w:eastAsia="Arial" w:cs="Arial"/>
      <w:b/>
      <w:bCs/>
      <w:color w:val="2B5797"/>
      <w:sz w:val="28"/>
      <w:szCs w:val="28"/>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4"/>
      <w:szCs w:val="24"/>
    </w:rPr>
  </w:style>
  <w:style w:type="paragraph" w:styleId="6">
    <w:name w:val="heading 5"/>
    <w:next w:val="1"/>
    <w:qFormat/>
    <w:uiPriority w:val="0"/>
    <w:rPr>
      <w:rFonts w:ascii="Arial" w:hAnsi="Arial" w:eastAsia="Arial" w:cs="Arial"/>
      <w:color w:val="2E74B5"/>
      <w:sz w:val="24"/>
      <w:szCs w:val="24"/>
    </w:rPr>
  </w:style>
  <w:style w:type="paragraph" w:styleId="7">
    <w:name w:val="heading 6"/>
    <w:next w:val="1"/>
    <w:qFormat/>
    <w:uiPriority w:val="0"/>
    <w:rPr>
      <w:rFonts w:ascii="Arial" w:hAnsi="Arial" w:eastAsia="Arial" w:cs="Arial"/>
      <w:color w:val="1F4D78"/>
      <w:sz w:val="24"/>
      <w:szCs w:val="24"/>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Arial" w:hAnsi="Arial" w:eastAsia="Arial" w:cs="Arial"/>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Arial" w:hAnsi="Arial" w:eastAsia="Arial" w:cs="Arial"/>
      <w:sz w:val="20"/>
      <w:szCs w:val="20"/>
    </w:rPr>
  </w:style>
  <w:style w:type="character" w:styleId="14">
    <w:name w:val="Hyperlink"/>
    <w:unhideWhenUsed/>
    <w:qFormat/>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4"/>
      <w:szCs w:val="24"/>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TotalTime>1</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2026-04-02T04:38:00Z</dcterms:created>
  <dc:creator>Un-named</dc:creator>
  <cp:lastModifiedBy>Văn Công Toàn</cp:lastModifiedBy>
  <dcterms:modified xsi:type="dcterms:W3CDTF">2026-04-02T04:48:26Z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95FC96ECB2C341428AB0B4EF7D1212FB_12</vt:lpwstr>
  </property>
</Properties>
</file>