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2B5797"/>
          <w:sz w:val="48"/>
          <w:szCs w:val="48"/>
        </w:rPr>
        <w:t xml:space="preserve">Deep Learning — Midterm Report</w:t>
      </w:r>
    </w:p>
    <w:p>
      <w:pPr>
        <w:spacing w:after="100"/>
        <w:jc w:val="center"/>
      </w:pPr>
      <w:r>
        <w:rPr>
          <w:rFonts w:ascii="Arial" w:cs="Arial" w:eastAsia="Arial" w:hAnsi="Arial"/>
          <w:color w:val="444444"/>
          <w:sz w:val="32"/>
          <w:szCs w:val="32"/>
        </w:rPr>
        <w:t xml:space="preserve">WideResNet-16-2 + SE Attention</w:t>
      </w:r>
    </w:p>
    <w:p>
      <w:pPr>
        <w:spacing w:after="100"/>
        <w:jc w:val="center"/>
      </w:pPr>
      <w:r>
        <w:rPr>
          <w:rFonts w:ascii="Arial" w:cs="Arial" w:eastAsia="Arial" w:hAnsi="Arial"/>
          <w:color w:val="666666"/>
          <w:sz w:val="28"/>
          <w:szCs w:val="28"/>
        </w:rPr>
        <w:t xml:space="preserve">Training on Animals-5 Custom Dataset</w:t>
      </w:r>
    </w:p>
    <w:p>
      <w:pPr>
        <w:spacing w:after="600"/>
        <w:jc w:val="center"/>
      </w:pPr>
      <w:r>
        <w:rPr>
          <w:rFonts w:ascii="Arial" w:cs="Arial" w:eastAsia="Arial" w:hAnsi="Arial"/>
          <w:color w:val="888888"/>
          <w:sz w:val="22"/>
          <w:szCs w:val="22"/>
        </w:rPr>
        <w:t xml:space="preserve">224x224 and 32x32 | 100 Epochs | SGD + CosineAnnealing</w:t>
      </w:r>
    </w:p>
    <w:p>
      <w:pPr>
        <w:spacing w:after="100"/>
        <w:jc w:val="center"/>
      </w:pPr>
      <w:r>
        <w:rPr>
          <w:rFonts w:ascii="Arial" w:cs="Arial" w:eastAsia="Arial" w:hAnsi="Arial"/>
          <w:sz w:val="28"/>
          <w:szCs w:val="28"/>
        </w:rPr>
        <w:t xml:space="preserve">Van Cong Toan — Phan Dinh Trung</w:t>
      </w:r>
    </w:p>
    <w:p>
      <w:pPr>
        <w:spacing w:after="120"/>
        <w:jc w:val="center"/>
      </w:pPr>
      <w:r>
        <w:rPr>
          <w:rFonts w:ascii="Arial" w:cs="Arial" w:eastAsia="Arial" w:hAnsi="Arial"/>
          <w:color w:val="666666"/>
          <w:sz w:val="24"/>
          <w:szCs w:val="24"/>
        </w:rPr>
        <w:t xml:space="preserve">HCMUTE — 2026</w:t>
      </w:r>
    </w:p>
    <w:p>
      <w:r>
        <w:br w:type="page"/>
      </w:r>
    </w:p>
    <w:p>
      <w:pPr>
        <w:pStyle w:val="Heading1"/>
      </w:pPr>
      <w:r>
        <w:t xml:space="preserve">1. Dataset</w:t>
      </w:r>
    </w:p>
    <w:p>
      <w:pPr>
        <w:spacing w:after="120"/>
      </w:pPr>
      <w:r>
        <w:rPr>
          <w:rFonts w:ascii="Arial" w:cs="Arial" w:eastAsia="Arial" w:hAnsi="Arial"/>
          <w:sz w:val="24"/>
          <w:szCs w:val="24"/>
        </w:rPr>
        <w:t xml:space="preserve">The dataset D is a custom subset of Animals-10 from Kaggle, consisting of 5 classes: butterfly, cat, chicken, dog, horse. Images were deduplicated using MD5 hashing before splitting.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2B579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Property</w:t>
            </w:r>
          </w:p>
        </w:tc>
        <w:tc>
          <w:tcPr>
            <w:tcW w:type="dxa" w:w="5860"/>
            <w:tcBorders>
              <w:top w:val="single" w:color="AAAAAA" w:sz="1"/>
              <w:left w:val="single" w:color="AAAAAA" w:sz="1"/>
              <w:bottom w:val="single" w:color="AAAAAA" w:sz="1"/>
              <w:right w:val="single" w:color="AAAAAA" w:sz="1"/>
            </w:tcBorders>
            <w:shd w:fill="2B579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Value</w:t>
            </w:r>
          </w:p>
        </w:tc>
      </w:tr>
      <w:tr>
        <w:tc>
          <w:tcPr>
            <w:tcW w:type="dxa" w:w="35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sz w:val="22"/>
                <w:szCs w:val="22"/>
              </w:rPr>
              <w:t xml:space="preserve">Source</w:t>
            </w:r>
          </w:p>
        </w:tc>
        <w:tc>
          <w:tcPr>
            <w:tcW w:type="dxa" w:w="58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sz w:val="22"/>
                <w:szCs w:val="22"/>
              </w:rPr>
              <w:t xml:space="preserve">Animals-10 (Kaggle) — 5 selected classes</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2"/>
                <w:szCs w:val="22"/>
              </w:rPr>
              <w:t xml:space="preserve">Classes</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2"/>
                <w:szCs w:val="22"/>
              </w:rPr>
              <w:t xml:space="preserve">butterfly, cat, chicken, dog, horse</w:t>
            </w:r>
          </w:p>
        </w:tc>
      </w:tr>
      <w:tr>
        <w:tc>
          <w:tcPr>
            <w:tcW w:type="dxa" w:w="35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sz w:val="22"/>
                <w:szCs w:val="22"/>
              </w:rPr>
              <w:t xml:space="preserve">Train samples</w:t>
            </w:r>
          </w:p>
        </w:tc>
        <w:tc>
          <w:tcPr>
            <w:tcW w:type="dxa" w:w="58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sz w:val="22"/>
                <w:szCs w:val="22"/>
              </w:rPr>
              <w:t xml:space="preserve">500 images/class x 5 = 2,500 images</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2"/>
                <w:szCs w:val="22"/>
              </w:rPr>
              <w:t xml:space="preserve">Test samples</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2"/>
                <w:szCs w:val="22"/>
              </w:rPr>
              <w:t xml:space="preserve">50 images/class x 5 = 250 images</w:t>
            </w:r>
          </w:p>
        </w:tc>
      </w:tr>
      <w:tr>
        <w:tc>
          <w:tcPr>
            <w:tcW w:type="dxa" w:w="35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sz w:val="22"/>
                <w:szCs w:val="22"/>
              </w:rPr>
              <w:t xml:space="preserve">Deduplication</w:t>
            </w:r>
          </w:p>
        </w:tc>
        <w:tc>
          <w:tcPr>
            <w:tcW w:type="dxa" w:w="58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sz w:val="22"/>
                <w:szCs w:val="22"/>
              </w:rPr>
              <w:t xml:space="preserve">MD5 hash to remove duplicate images</w:t>
            </w:r>
          </w:p>
        </w:tc>
      </w:tr>
    </w:tbl>
    <w:p>
      <w:pPr>
        <w:pStyle w:val="Heading1"/>
      </w:pPr>
      <w:r>
        <w:t xml:space="preserve">2. Model Architecture</w:t>
      </w:r>
    </w:p>
    <w:p>
      <w:pPr>
        <w:spacing w:after="120"/>
      </w:pPr>
      <w:r>
        <w:t xml:space="preserve">The model M1 is a </w:t>
      </w:r>
      <w:r>
        <w:rPr>
          <w:rFonts w:ascii="Arial" w:cs="Arial" w:eastAsia="Arial" w:hAnsi="Arial"/>
          <w:b/>
          <w:bCs/>
          <w:sz w:val="24"/>
          <w:szCs w:val="24"/>
        </w:rPr>
        <w:t xml:space="preserve">WideResNet-16-2</w:t>
      </w:r>
      <w:r>
        <w:rPr>
          <w:rFonts w:ascii="Arial" w:cs="Arial" w:eastAsia="Arial" w:hAnsi="Arial"/>
          <w:sz w:val="24"/>
          <w:szCs w:val="24"/>
        </w:rPr>
        <w:t xml:space="preserve"> with </w:t>
      </w:r>
      <w:r>
        <w:rPr>
          <w:rFonts w:ascii="Arial" w:cs="Arial" w:eastAsia="Arial" w:hAnsi="Arial"/>
          <w:b/>
          <w:bCs/>
          <w:sz w:val="24"/>
          <w:szCs w:val="24"/>
        </w:rPr>
        <w:t xml:space="preserve">Squeeze-and-Excitation (SE) Attention</w:t>
      </w:r>
      <w:r>
        <w:rPr>
          <w:rFonts w:ascii="Arial" w:cs="Arial" w:eastAsia="Arial" w:hAnsi="Arial"/>
          <w:sz w:val="24"/>
          <w:szCs w:val="24"/>
        </w:rPr>
        <w:t xml:space="preserve"> blocks. WRN-16-2 was chosen instead of WRN-28-4 (used in the final exam) because the dataset is small (2,500 images). A smaller model (0.7M vs 5.9M parameters) reduces overfitting on limited data.</w:t>
      </w:r>
    </w:p>
    <w:p>
      <w:pPr>
        <w:pStyle w:val="Heading2"/>
      </w:pPr>
      <w:r>
        <w:t xml:space="preserve">Architecture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2B579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Component</w:t>
            </w:r>
          </w:p>
        </w:tc>
        <w:tc>
          <w:tcPr>
            <w:tcW w:type="dxa" w:w="5860"/>
            <w:tcBorders>
              <w:top w:val="single" w:color="AAAAAA" w:sz="1"/>
              <w:left w:val="single" w:color="AAAAAA" w:sz="1"/>
              <w:bottom w:val="single" w:color="AAAAAA" w:sz="1"/>
              <w:right w:val="single" w:color="AAAAAA" w:sz="1"/>
            </w:tcBorders>
            <w:shd w:fill="2B579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35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sz w:val="22"/>
                <w:szCs w:val="22"/>
              </w:rPr>
              <w:t xml:space="preserve">Network Type</w:t>
            </w:r>
          </w:p>
        </w:tc>
        <w:tc>
          <w:tcPr>
            <w:tcW w:type="dxa" w:w="58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sz w:val="22"/>
                <w:szCs w:val="22"/>
              </w:rPr>
              <w:t xml:space="preserve">WideResNet (Pre-activation ResNet)</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2"/>
                <w:szCs w:val="22"/>
              </w:rPr>
              <w:t xml:space="preserve">Depth</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2"/>
                <w:szCs w:val="22"/>
              </w:rPr>
              <w:t xml:space="preserve">16 layers (2 blocks per group x 3 groups)</w:t>
            </w:r>
          </w:p>
        </w:tc>
      </w:tr>
      <w:tr>
        <w:tc>
          <w:tcPr>
            <w:tcW w:type="dxa" w:w="35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sz w:val="22"/>
                <w:szCs w:val="22"/>
              </w:rPr>
              <w:t xml:space="preserve">Widen Factor</w:t>
            </w:r>
          </w:p>
        </w:tc>
        <w:tc>
          <w:tcPr>
            <w:tcW w:type="dxa" w:w="58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sz w:val="22"/>
                <w:szCs w:val="22"/>
              </w:rPr>
              <w:t xml:space="preserve">2 (channels: 16 -&gt; 32 -&gt; 64 -&gt; 128)</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2"/>
                <w:szCs w:val="22"/>
              </w:rPr>
              <w:t xml:space="preserve">Attention</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2"/>
                <w:szCs w:val="22"/>
              </w:rPr>
              <w:t xml:space="preserve">SE Block (reduction=16) after each residual block</w:t>
            </w:r>
          </w:p>
        </w:tc>
      </w:tr>
      <w:tr>
        <w:tc>
          <w:tcPr>
            <w:tcW w:type="dxa" w:w="35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sz w:val="22"/>
                <w:szCs w:val="22"/>
              </w:rPr>
              <w:t xml:space="preserve">Pooling</w:t>
            </w:r>
          </w:p>
        </w:tc>
        <w:tc>
          <w:tcPr>
            <w:tcW w:type="dxa" w:w="58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sz w:val="22"/>
                <w:szCs w:val="22"/>
              </w:rPr>
              <w:t xml:space="preserve">Adaptive Average Pooling -&gt; FC layer</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2"/>
                <w:szCs w:val="22"/>
              </w:rPr>
              <w:t xml:space="preserve">Dropout</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2"/>
                <w:szCs w:val="22"/>
              </w:rPr>
              <w:t xml:space="preserve">0.3 (between conv layers in each block)</w:t>
            </w:r>
          </w:p>
        </w:tc>
      </w:tr>
      <w:tr>
        <w:tc>
          <w:tcPr>
            <w:tcW w:type="dxa" w:w="35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sz w:val="22"/>
                <w:szCs w:val="22"/>
              </w:rPr>
              <w:t xml:space="preserve">Weight Init</w:t>
            </w:r>
          </w:p>
        </w:tc>
        <w:tc>
          <w:tcPr>
            <w:tcW w:type="dxa" w:w="58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sz w:val="22"/>
                <w:szCs w:val="22"/>
              </w:rPr>
              <w:t xml:space="preserve">Kaiming Normal (Conv), Xavier Normal (FC)</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2"/>
                <w:szCs w:val="22"/>
              </w:rPr>
              <w:t xml:space="preserve">Total Parameters</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2"/>
                <w:szCs w:val="22"/>
              </w:rPr>
              <w:t xml:space="preserve">696,881</w:t>
            </w:r>
          </w:p>
        </w:tc>
      </w:tr>
    </w:tbl>
    <w:p>
      <w:pPr>
        <w:pStyle w:val="Heading1"/>
      </w:pPr>
      <w:r>
        <w:t xml:space="preserve">3.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AAAAAA" w:sz="1"/>
              <w:left w:val="single" w:color="AAAAAA" w:sz="1"/>
              <w:bottom w:val="single" w:color="AAAAAA" w:sz="1"/>
              <w:right w:val="single" w:color="AAAAAA" w:sz="1"/>
            </w:tcBorders>
            <w:shd w:fill="2B579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Setting</w:t>
            </w:r>
          </w:p>
        </w:tc>
        <w:tc>
          <w:tcPr>
            <w:tcW w:type="dxa" w:w="3080"/>
            <w:tcBorders>
              <w:top w:val="single" w:color="AAAAAA" w:sz="1"/>
              <w:left w:val="single" w:color="AAAAAA" w:sz="1"/>
              <w:bottom w:val="single" w:color="AAAAAA" w:sz="1"/>
              <w:right w:val="single" w:color="AAAAAA" w:sz="1"/>
            </w:tcBorders>
            <w:shd w:fill="2B579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224x224</w:t>
            </w:r>
          </w:p>
        </w:tc>
        <w:tc>
          <w:tcPr>
            <w:tcW w:type="dxa" w:w="3080"/>
            <w:tcBorders>
              <w:top w:val="single" w:color="AAAAAA" w:sz="1"/>
              <w:left w:val="single" w:color="AAAAAA" w:sz="1"/>
              <w:bottom w:val="single" w:color="AAAAAA" w:sz="1"/>
              <w:right w:val="single" w:color="AAAAAA" w:sz="1"/>
            </w:tcBorders>
            <w:shd w:fill="2B579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32x32</w:t>
            </w:r>
          </w:p>
        </w:tc>
      </w:tr>
      <w:tr>
        <w:tc>
          <w:tcPr>
            <w:tcW w:type="dxa" w:w="3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sz w:val="22"/>
                <w:szCs w:val="22"/>
              </w:rPr>
              <w:t xml:space="preserve">Epochs</w:t>
            </w:r>
          </w:p>
        </w:tc>
        <w:tc>
          <w:tcPr>
            <w:tcW w:type="dxa" w:w="30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sz w:val="22"/>
                <w:szCs w:val="22"/>
              </w:rPr>
              <w:t xml:space="preserve">100</w:t>
            </w:r>
          </w:p>
        </w:tc>
        <w:tc>
          <w:tcPr>
            <w:tcW w:type="dxa" w:w="30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sz w:val="22"/>
                <w:szCs w:val="22"/>
              </w:rPr>
              <w:t xml:space="preserve">100</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2"/>
                <w:szCs w:val="22"/>
              </w:rPr>
              <w:t xml:space="preserve">Batch Size</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sz w:val="22"/>
                <w:szCs w:val="22"/>
              </w:rPr>
              <w:t xml:space="preserve">32</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sz w:val="22"/>
                <w:szCs w:val="22"/>
              </w:rPr>
              <w:t xml:space="preserve">128</w:t>
            </w:r>
          </w:p>
        </w:tc>
      </w:tr>
      <w:tr>
        <w:tc>
          <w:tcPr>
            <w:tcW w:type="dxa" w:w="3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sz w:val="22"/>
                <w:szCs w:val="22"/>
              </w:rPr>
              <w:t xml:space="preserve">Optimizer</w:t>
            </w:r>
          </w:p>
        </w:tc>
        <w:tc>
          <w:tcPr>
            <w:tcW w:type="dxa" w:w="30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sz w:val="22"/>
                <w:szCs w:val="22"/>
              </w:rPr>
              <w:t xml:space="preserve">SGD (Nesterov)</w:t>
            </w:r>
          </w:p>
        </w:tc>
        <w:tc>
          <w:tcPr>
            <w:tcW w:type="dxa" w:w="30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sz w:val="22"/>
                <w:szCs w:val="22"/>
              </w:rPr>
              <w:t xml:space="preserve">SGD (Nesterov)</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2"/>
                <w:szCs w:val="22"/>
              </w:rPr>
              <w:t xml:space="preserve">Learning Rate</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sz w:val="22"/>
                <w:szCs w:val="22"/>
              </w:rPr>
              <w:t xml:space="preserve">0.1</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sz w:val="22"/>
                <w:szCs w:val="22"/>
              </w:rPr>
              <w:t xml:space="preserve">0.1</w:t>
            </w:r>
          </w:p>
        </w:tc>
      </w:tr>
      <w:tr>
        <w:tc>
          <w:tcPr>
            <w:tcW w:type="dxa" w:w="3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sz w:val="22"/>
                <w:szCs w:val="22"/>
              </w:rPr>
              <w:t xml:space="preserve">Momentum</w:t>
            </w:r>
          </w:p>
        </w:tc>
        <w:tc>
          <w:tcPr>
            <w:tcW w:type="dxa" w:w="30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sz w:val="22"/>
                <w:szCs w:val="22"/>
              </w:rPr>
              <w:t xml:space="preserve">0.9</w:t>
            </w:r>
          </w:p>
        </w:tc>
        <w:tc>
          <w:tcPr>
            <w:tcW w:type="dxa" w:w="30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sz w:val="22"/>
                <w:szCs w:val="22"/>
              </w:rPr>
              <w:t xml:space="preserve">0.9</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2"/>
                <w:szCs w:val="22"/>
              </w:rPr>
              <w:t xml:space="preserve">Weight Decay</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sz w:val="22"/>
                <w:szCs w:val="22"/>
              </w:rPr>
              <w:t xml:space="preserve">5e-4</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sz w:val="22"/>
                <w:szCs w:val="22"/>
              </w:rPr>
              <w:t xml:space="preserve">5e-4</w:t>
            </w:r>
          </w:p>
        </w:tc>
      </w:tr>
      <w:tr>
        <w:tc>
          <w:tcPr>
            <w:tcW w:type="dxa" w:w="3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sz w:val="22"/>
                <w:szCs w:val="22"/>
              </w:rPr>
              <w:t xml:space="preserve">Scheduler</w:t>
            </w:r>
          </w:p>
        </w:tc>
        <w:tc>
          <w:tcPr>
            <w:tcW w:type="dxa" w:w="30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sz w:val="22"/>
                <w:szCs w:val="22"/>
              </w:rPr>
              <w:t xml:space="preserve">CosineAnnealingLR</w:t>
            </w:r>
          </w:p>
        </w:tc>
        <w:tc>
          <w:tcPr>
            <w:tcW w:type="dxa" w:w="30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sz w:val="22"/>
                <w:szCs w:val="22"/>
              </w:rPr>
              <w:t xml:space="preserve">CosineAnnealingLR</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2"/>
                <w:szCs w:val="22"/>
              </w:rPr>
              <w:t xml:space="preserve">Label Smoothing</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sz w:val="22"/>
                <w:szCs w:val="22"/>
              </w:rPr>
              <w:t xml:space="preserve">0.1</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sz w:val="22"/>
                <w:szCs w:val="22"/>
              </w:rPr>
              <w:t xml:space="preserve">0.1</w:t>
            </w:r>
          </w:p>
        </w:tc>
      </w:tr>
      <w:tr>
        <w:tc>
          <w:tcPr>
            <w:tcW w:type="dxa" w:w="3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sz w:val="22"/>
                <w:szCs w:val="22"/>
              </w:rPr>
              <w:t xml:space="preserve">Cutout Size</w:t>
            </w:r>
          </w:p>
        </w:tc>
        <w:tc>
          <w:tcPr>
            <w:tcW w:type="dxa" w:w="30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sz w:val="22"/>
                <w:szCs w:val="22"/>
              </w:rPr>
              <w:t xml:space="preserve">56 (IMG/4)</w:t>
            </w:r>
          </w:p>
        </w:tc>
        <w:tc>
          <w:tcPr>
            <w:tcW w:type="dxa" w:w="30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sz w:val="22"/>
                <w:szCs w:val="22"/>
              </w:rPr>
              <w:t xml:space="preserve">8 (IMG/4)</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sz w:val="22"/>
                <w:szCs w:val="22"/>
              </w:rPr>
              <w:t xml:space="preserve">Augmentation</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sz w:val="22"/>
                <w:szCs w:val="22"/>
              </w:rPr>
              <w:t xml:space="preserve">Resize + RandomCrop + HFlip + ColorJitter + Cutout</w:t>
            </w:r>
          </w:p>
        </w:tc>
        <w:tc>
          <w:tcPr>
            <w:tcW w:type="dxa" w:w="30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sz w:val="22"/>
                <w:szCs w:val="22"/>
              </w:rPr>
              <w:t xml:space="preserve">Resize + RandomCrop + HFlip + ColorJitter + Cutout</w:t>
            </w:r>
          </w:p>
        </w:tc>
      </w:tr>
      <w:tr>
        <w:tc>
          <w:tcPr>
            <w:tcW w:type="dxa" w:w="3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left"/>
            </w:pPr>
            <w:r>
              <w:rPr>
                <w:rFonts w:ascii="Arial" w:cs="Arial" w:eastAsia="Arial" w:hAnsi="Arial"/>
                <w:sz w:val="22"/>
                <w:szCs w:val="22"/>
              </w:rPr>
              <w:t xml:space="preserve">Normalization</w:t>
            </w:r>
          </w:p>
        </w:tc>
        <w:tc>
          <w:tcPr>
            <w:tcW w:type="dxa" w:w="30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sz w:val="22"/>
                <w:szCs w:val="22"/>
              </w:rPr>
              <w:t xml:space="preserve">ImageNet mean/std</w:t>
            </w:r>
          </w:p>
        </w:tc>
        <w:tc>
          <w:tcPr>
            <w:tcW w:type="dxa" w:w="30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sz w:val="22"/>
                <w:szCs w:val="22"/>
              </w:rPr>
              <w:t xml:space="preserve">ImageNet mean/std</w:t>
            </w:r>
          </w:p>
        </w:tc>
      </w:tr>
    </w:tbl>
    <w:p>
      <w:r>
        <w:br w:type="page"/>
      </w:r>
    </w:p>
    <w:p>
      <w:pPr>
        <w:pStyle w:val="Heading1"/>
      </w:pPr>
      <w:r>
        <w:t xml:space="preserve">4. Results on 224x224</w:t>
      </w:r>
    </w:p>
    <w:p>
      <w:pPr>
        <w:spacing w:after="120"/>
      </w:pPr>
      <w:r>
        <w:rPr>
          <w:rFonts w:ascii="Arial" w:cs="Arial" w:eastAsia="Arial" w:hAnsi="Arial"/>
          <w:sz w:val="24"/>
          <w:szCs w:val="24"/>
        </w:rPr>
        <w:t xml:space="preserve">The model was trained on images resized to 224x224. With batch size 32 and 100 epochs, the model achieved a best test accuracy of </w:t>
      </w:r>
      <w:r>
        <w:rPr>
          <w:rFonts w:ascii="Arial" w:cs="Arial" w:eastAsia="Arial" w:hAnsi="Arial"/>
          <w:b/>
          <w:bCs/>
          <w:sz w:val="24"/>
          <w:szCs w:val="24"/>
        </w:rPr>
        <w:t xml:space="preserve">80.40%</w:t>
      </w:r>
      <w:r>
        <w:rPr>
          <w:rFonts w:ascii="Arial" w:cs="Arial" w:eastAsia="Arial" w:hAnsi="Arial"/>
          <w:sz w:val="24"/>
          <w:szCs w:val="24"/>
        </w:rPr>
        <w:t xml:space="preserve"> at epoch 73.</w:t>
      </w:r>
    </w:p>
    <w:p>
      <w:pPr>
        <w:pStyle w:val="Heading2"/>
      </w:pPr>
      <w:r>
        <w:t xml:space="preserve">Training Curves</w:t>
      </w:r>
    </w:p>
    <w:p>
      <w:pPr>
        <w:spacing w:after="200"/>
        <w:jc w:val="center"/>
      </w:pPr>
      <w:r>
        <w:drawing>
          <wp:inline distT="0" distB="0" distL="0" distR="0">
            <wp:extent cx="5905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905000"/>
                    </a:xfrm>
                    <a:prstGeom prst="rect">
                      <a:avLst/>
                    </a:prstGeom>
                  </pic:spPr>
                </pic:pic>
              </a:graphicData>
            </a:graphic>
          </wp:inline>
        </w:drawing>
      </w:r>
    </w:p>
    <w:p>
      <w:pPr>
        <w:spacing w:after="120"/>
        <w:jc w:val="center"/>
      </w:pPr>
      <w:r>
        <w:rPr>
          <w:rFonts w:ascii="Arial" w:cs="Arial" w:eastAsia="Arial" w:hAnsi="Arial"/>
          <w:i/>
          <w:iCs/>
          <w:color w:val="666666"/>
          <w:sz w:val="20"/>
          <w:szCs w:val="20"/>
        </w:rPr>
        <w:t xml:space="preserve">Figure 1: Loss and Accuracy curves for Animals-5 at 224x224 (100 epochs)</w:t>
      </w:r>
    </w:p>
    <w:p>
      <w:pPr>
        <w:pStyle w:val="Heading1"/>
      </w:pPr>
      <w:r>
        <w:t xml:space="preserve">5. Results on 32x32</w:t>
      </w:r>
    </w:p>
    <w:p>
      <w:pPr>
        <w:spacing w:after="120"/>
      </w:pPr>
      <w:r>
        <w:rPr>
          <w:rFonts w:ascii="Arial" w:cs="Arial" w:eastAsia="Arial" w:hAnsi="Arial"/>
          <w:sz w:val="24"/>
          <w:szCs w:val="24"/>
        </w:rPr>
        <w:t xml:space="preserve">The same model was trained on images resized to 32x32. With batch size 128 and 100 epochs, the model achieved a best test accuracy of </w:t>
      </w:r>
      <w:r>
        <w:rPr>
          <w:rFonts w:ascii="Arial" w:cs="Arial" w:eastAsia="Arial" w:hAnsi="Arial"/>
          <w:b/>
          <w:bCs/>
          <w:sz w:val="24"/>
          <w:szCs w:val="24"/>
        </w:rPr>
        <w:t xml:space="preserve">78.80%</w:t>
      </w:r>
      <w:r>
        <w:rPr>
          <w:rFonts w:ascii="Arial" w:cs="Arial" w:eastAsia="Arial" w:hAnsi="Arial"/>
          <w:sz w:val="24"/>
          <w:szCs w:val="24"/>
        </w:rPr>
        <w:t xml:space="preserve"> at epoch 58.</w:t>
      </w:r>
    </w:p>
    <w:p>
      <w:pPr>
        <w:pStyle w:val="Heading2"/>
      </w:pPr>
      <w:r>
        <w:t xml:space="preserve">Training Curves</w:t>
      </w:r>
    </w:p>
    <w:p>
      <w:pPr>
        <w:spacing w:after="200"/>
        <w:jc w:val="center"/>
      </w:pPr>
      <w:r>
        <w:drawing>
          <wp:inline distT="0" distB="0" distL="0" distR="0">
            <wp:extent cx="5905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905000"/>
                    </a:xfrm>
                    <a:prstGeom prst="rect">
                      <a:avLst/>
                    </a:prstGeom>
                  </pic:spPr>
                </pic:pic>
              </a:graphicData>
            </a:graphic>
          </wp:inline>
        </w:drawing>
      </w:r>
    </w:p>
    <w:p>
      <w:pPr>
        <w:spacing w:after="120"/>
        <w:jc w:val="center"/>
      </w:pPr>
      <w:r>
        <w:rPr>
          <w:rFonts w:ascii="Arial" w:cs="Arial" w:eastAsia="Arial" w:hAnsi="Arial"/>
          <w:i/>
          <w:iCs/>
          <w:color w:val="666666"/>
          <w:sz w:val="20"/>
          <w:szCs w:val="20"/>
        </w:rPr>
        <w:t xml:space="preserve">Figure 2: Loss and Accuracy curves for Animals-5 at 32x32 (100 epochs)</w:t>
      </w:r>
    </w:p>
    <w:p>
      <w:pPr>
        <w:pStyle w:val="Heading1"/>
      </w:pPr>
      <w:r>
        <w:t xml:space="preserve">6. Best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2B579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Image Size</w:t>
            </w:r>
          </w:p>
        </w:tc>
        <w:tc>
          <w:tcPr>
            <w:tcW w:type="dxa" w:w="2340"/>
            <w:tcBorders>
              <w:top w:val="single" w:color="AAAAAA" w:sz="1"/>
              <w:left w:val="single" w:color="AAAAAA" w:sz="1"/>
              <w:bottom w:val="single" w:color="AAAAAA" w:sz="1"/>
              <w:right w:val="single" w:color="AAAAAA" w:sz="1"/>
            </w:tcBorders>
            <w:shd w:fill="2B579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Best Test Acc</w:t>
            </w:r>
          </w:p>
        </w:tc>
        <w:tc>
          <w:tcPr>
            <w:tcW w:type="dxa" w:w="2340"/>
            <w:tcBorders>
              <w:top w:val="single" w:color="AAAAAA" w:sz="1"/>
              <w:left w:val="single" w:color="AAAAAA" w:sz="1"/>
              <w:bottom w:val="single" w:color="AAAAAA" w:sz="1"/>
              <w:right w:val="single" w:color="AAAAAA" w:sz="1"/>
            </w:tcBorders>
            <w:shd w:fill="2B579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Train Acc (final)</w:t>
            </w:r>
          </w:p>
        </w:tc>
        <w:tc>
          <w:tcPr>
            <w:tcW w:type="dxa" w:w="2340"/>
            <w:tcBorders>
              <w:top w:val="single" w:color="AAAAAA" w:sz="1"/>
              <w:left w:val="single" w:color="AAAAAA" w:sz="1"/>
              <w:bottom w:val="single" w:color="AAAAAA" w:sz="1"/>
              <w:right w:val="single" w:color="AAAAAA" w:sz="1"/>
            </w:tcBorders>
            <w:shd w:fill="2B5797"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Gap</w:t>
            </w:r>
          </w:p>
        </w:tc>
      </w:tr>
      <w:tr>
        <w:tc>
          <w:tcPr>
            <w:tcW w:type="dxa" w:w="234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bCs/>
                <w:sz w:val="22"/>
                <w:szCs w:val="22"/>
              </w:rPr>
              <w:t xml:space="preserve">224x224</w:t>
            </w:r>
          </w:p>
        </w:tc>
        <w:tc>
          <w:tcPr>
            <w:tcW w:type="dxa" w:w="234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b/>
                <w:bCs/>
                <w:sz w:val="22"/>
                <w:szCs w:val="22"/>
              </w:rPr>
              <w:t xml:space="preserve">80.40%</w:t>
            </w:r>
          </w:p>
        </w:tc>
        <w:tc>
          <w:tcPr>
            <w:tcW w:type="dxa" w:w="234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sz w:val="22"/>
                <w:szCs w:val="22"/>
              </w:rPr>
              <w:t xml:space="preserve">92.28%</w:t>
            </w:r>
          </w:p>
        </w:tc>
        <w:tc>
          <w:tcPr>
            <w:tcW w:type="dxa" w:w="234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center"/>
            </w:pPr>
            <w:r>
              <w:rPr>
                <w:rFonts w:ascii="Arial" w:cs="Arial" w:eastAsia="Arial" w:hAnsi="Arial"/>
                <w:sz w:val="22"/>
                <w:szCs w:val="22"/>
              </w:rPr>
              <w:t xml:space="preserve">~12%</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sz w:val="22"/>
                <w:szCs w:val="22"/>
              </w:rPr>
              <w:t xml:space="preserve">32x32</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bCs/>
                <w:sz w:val="22"/>
                <w:szCs w:val="22"/>
              </w:rPr>
              <w:t xml:space="preserve">78.80%</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sz w:val="22"/>
                <w:szCs w:val="22"/>
              </w:rPr>
              <w:t xml:space="preserve">94.64%</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sz w:val="22"/>
                <w:szCs w:val="22"/>
              </w:rPr>
              <w:t xml:space="preserve">~16%</w:t>
            </w:r>
          </w:p>
        </w:tc>
      </w:tr>
    </w:tbl>
    <w:p>
      <w:pPr>
        <w:pStyle w:val="Heading1"/>
      </w:pPr>
      <w:r>
        <w:t xml:space="preserve">7. Analysis</w:t>
      </w:r>
    </w:p>
    <w:p>
      <w:pPr>
        <w:pStyle w:val="Heading2"/>
      </w:pPr>
      <w:r>
        <w:t xml:space="preserve">224x224 vs 32x32</w:t>
      </w:r>
    </w:p>
    <w:p>
      <w:pPr>
        <w:spacing w:after="120"/>
      </w:pPr>
      <w:r>
        <w:rPr>
          <w:rFonts w:ascii="Arial" w:cs="Arial" w:eastAsia="Arial" w:hAnsi="Arial"/>
          <w:sz w:val="24"/>
          <w:szCs w:val="24"/>
        </w:rPr>
        <w:t xml:space="preserve">The 224x224 resolution achieved slightly higher best test accuracy (80.40% vs 78.80%). At 224x224, the model can exploit finer spatial details (textures, shapes) that are lost when downscaling to 32x32. However, 224x224 training is more volatile (val acc fluctuates more) due to the smaller effective batch and stronger augmentation at higher resolution.</w:t>
      </w:r>
    </w:p>
    <w:p>
      <w:pPr>
        <w:pStyle w:val="Heading2"/>
      </w:pPr>
      <w:r>
        <w:t xml:space="preserve">Overfitting</w:t>
      </w:r>
    </w:p>
    <w:p>
      <w:pPr>
        <w:spacing w:after="120"/>
      </w:pPr>
      <w:r>
        <w:rPr>
          <w:rFonts w:ascii="Arial" w:cs="Arial" w:eastAsia="Arial" w:hAnsi="Arial"/>
          <w:sz w:val="24"/>
          <w:szCs w:val="24"/>
        </w:rPr>
        <w:t xml:space="preserve">Both resolutions show overfitting: train accuracy reaches 92-94% while test accuracy plateaus around 73-80%. This is expected given the small dataset size (2,500 train images) relative to the model capacity (696K parameters). The gap is moderate (12-16%) and acceptable for a dataset of this size.</w:t>
      </w:r>
    </w:p>
    <w:p>
      <w:pPr>
        <w:pStyle w:val="Heading2"/>
      </w:pPr>
      <w:r>
        <w:t xml:space="preserve">Model Selection: WRN-16-2 vs WRN-28-4</w:t>
      </w:r>
    </w:p>
    <w:p>
      <w:pPr>
        <w:spacing w:after="120"/>
      </w:pPr>
      <w:r>
        <w:rPr>
          <w:rFonts w:ascii="Arial" w:cs="Arial" w:eastAsia="Arial" w:hAnsi="Arial"/>
          <w:sz w:val="24"/>
          <w:szCs w:val="24"/>
        </w:rPr>
        <w:t xml:space="preserve">Initially, WRN-28-4 (5.9M parameters) was tested on the 32x32 dataset. It produced severe overfitting: train accuracy 98% vs test accuracy 73% (gap of 30%). Switching to WRN-16-2 (0.7M parameters) reduced the gap to 16% and improved best test accuracy from 73% to 78.80%. The architecture (WideResNet + SE Attention) remains identical to the final exam model, only differing in depth (16 vs 28) and widen factor (2 vs 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797"/>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B579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bbe7dc255c23b6b9d962ebb905142ebdde82ca5.png"/><Relationship Id="rId8" Type="http://schemas.openxmlformats.org/officeDocument/2006/relationships/image" Target="media/f191436fa38d3fda0fcdf2d59c394b0073e5dd8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2026-04-02T09:33:45.649Z</dcterms:created>
  <dcterms:modified xsi:type="dcterms:W3CDTF">2026-04-02T09:33:45.650Z</dcterms:modified>
</cp:coreProperties>
</file>

<file path=docProps/custom.xml><?xml version="1.0" encoding="utf-8"?>
<Properties xmlns="http://schemas.openxmlformats.org/officeDocument/2006/custom-properties" xmlns:vt="http://schemas.openxmlformats.org/officeDocument/2006/docPropsVTypes"/>
</file>