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935" w:topFromText="0" w:vertAnchor="margin"/>
        <w:tblW w:w="16091"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8" w:type="dxa"/>
          <w:left w:w="53" w:type="dxa"/>
          <w:bottom w:w="58" w:type="dxa"/>
          <w:right w:w="58" w:type="dxa"/>
        </w:tblCellMar>
        <w:tblLook w:val="01e0"/>
      </w:tblPr>
      <w:tblGrid>
        <w:gridCol w:w="4310"/>
        <w:gridCol w:w="3238"/>
        <w:gridCol w:w="1440"/>
        <w:gridCol w:w="2830"/>
        <w:gridCol w:w="1140"/>
        <w:gridCol w:w="3132"/>
      </w:tblGrid>
      <w:tr>
        <w:trPr/>
        <w:tc>
          <w:tcPr>
            <w:tcW w:w="160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rFonts w:cs="Arial"/>
                <w:color w:val="FFFFFF" w:themeColor="background1"/>
                <w:sz w:val="48"/>
                <w:szCs w:val="48"/>
              </w:rPr>
            </w:pPr>
            <w:r>
              <w:rPr>
                <w:rFonts w:cs="Arial"/>
                <w:color w:val="FFFFFF" w:themeColor="background1"/>
                <w:sz w:val="48"/>
                <w:szCs w:val="48"/>
              </w:rPr>
              <w:t>Risk Assessment</w:t>
            </w:r>
          </w:p>
        </w:tc>
      </w:tr>
      <w:tr>
        <w:trPr/>
        <w:tc>
          <w:tcPr>
            <w:tcW w:w="1609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ListParagraph"/>
              <w:spacing w:before="0" w:after="120"/>
              <w:ind w:left="360" w:hanging="0"/>
              <w:contextualSpacing/>
              <w:rPr>
                <w:rFonts w:ascii="Arial" w:hAnsi="Arial" w:cs="Arial"/>
                <w:b/>
                <w:b/>
                <w:color w:val="17365D" w:themeColor="text2" w:themeShade="bf"/>
                <w:sz w:val="16"/>
                <w:szCs w:val="16"/>
              </w:rPr>
            </w:pPr>
            <w:r>
              <w:rPr>
                <w:rFonts w:cs="Arial" w:ascii="Arial" w:hAnsi="Arial"/>
                <w:b/>
                <w:color w:val="17365D" w:themeColor="text2" w:themeShade="bf"/>
                <w:sz w:val="16"/>
                <w:szCs w:val="16"/>
              </w:rPr>
              <w:t>PROCEDURE:</w:t>
            </w:r>
          </w:p>
          <w:p>
            <w:pPr>
              <w:pStyle w:val="ListParagraph"/>
              <w:numPr>
                <w:ilvl w:val="0"/>
                <w:numId w:val="1"/>
              </w:numPr>
              <w:spacing w:before="0" w:after="120"/>
              <w:ind w:left="720" w:hanging="360"/>
              <w:contextualSpacing/>
              <w:rPr>
                <w:rFonts w:ascii="Arial" w:hAnsi="Arial" w:cs="Arial"/>
                <w:color w:val="17365D" w:themeColor="text2" w:themeShade="bf"/>
                <w:sz w:val="16"/>
                <w:szCs w:val="16"/>
              </w:rPr>
            </w:pPr>
            <w:r>
              <w:rPr>
                <w:rFonts w:cs="Arial" w:ascii="Arial" w:hAnsi="Arial"/>
                <w:color w:val="17365D" w:themeColor="text2" w:themeShade="bf"/>
                <w:sz w:val="16"/>
                <w:szCs w:val="16"/>
              </w:rPr>
              <w:t xml:space="preserve">Complete risk assessment  in consultation with PI/Supervisor and technical staff as appropriate. </w:t>
            </w:r>
          </w:p>
          <w:p>
            <w:pPr>
              <w:pStyle w:val="ListParagraph"/>
              <w:numPr>
                <w:ilvl w:val="0"/>
                <w:numId w:val="1"/>
              </w:numPr>
              <w:spacing w:before="0" w:after="120"/>
              <w:ind w:left="720" w:hanging="360"/>
              <w:contextualSpacing/>
              <w:rPr>
                <w:rFonts w:ascii="Arial" w:hAnsi="Arial" w:cs="Arial"/>
                <w:color w:val="17365D" w:themeColor="text2" w:themeShade="bf"/>
                <w:sz w:val="16"/>
                <w:szCs w:val="16"/>
              </w:rPr>
            </w:pPr>
            <w:r>
              <w:rPr>
                <w:rFonts w:cs="Arial" w:ascii="Arial" w:hAnsi="Arial"/>
                <w:color w:val="17365D" w:themeColor="text2" w:themeShade="bf"/>
                <w:sz w:val="16"/>
                <w:szCs w:val="16"/>
              </w:rPr>
              <w:t>Risk assessment checked and signed by PI/Supervisor</w:t>
            </w:r>
          </w:p>
          <w:p>
            <w:pPr>
              <w:pStyle w:val="ListParagraph"/>
              <w:numPr>
                <w:ilvl w:val="0"/>
                <w:numId w:val="1"/>
              </w:numPr>
              <w:spacing w:before="0" w:after="120"/>
              <w:ind w:left="720" w:hanging="360"/>
              <w:contextualSpacing/>
              <w:rPr>
                <w:rFonts w:ascii="Arial" w:hAnsi="Arial" w:cs="Arial"/>
                <w:color w:val="17365D" w:themeColor="text2" w:themeShade="bf"/>
                <w:sz w:val="16"/>
                <w:szCs w:val="16"/>
              </w:rPr>
            </w:pPr>
            <w:r>
              <w:rPr>
                <w:rFonts w:cs="Arial" w:ascii="Arial" w:hAnsi="Arial"/>
                <w:color w:val="17365D" w:themeColor="text2" w:themeShade="bf"/>
                <w:sz w:val="16"/>
                <w:szCs w:val="16"/>
              </w:rPr>
              <w:t>A copy or scan of the signed document  to be given to the lab technician, School Safety Adviser and PI/Supervisor.</w:t>
            </w:r>
          </w:p>
          <w:p>
            <w:pPr>
              <w:pStyle w:val="Normal"/>
              <w:ind w:left="360" w:hanging="0"/>
              <w:rPr>
                <w:rFonts w:cs="Arial"/>
                <w:b/>
                <w:b/>
                <w:color w:val="17365D" w:themeColor="text2" w:themeShade="bf"/>
                <w:sz w:val="16"/>
                <w:szCs w:val="16"/>
              </w:rPr>
            </w:pPr>
            <w:r>
              <w:rPr>
                <w:rFonts w:cs="Arial"/>
                <w:b/>
                <w:color w:val="17365D" w:themeColor="text2" w:themeShade="bf"/>
                <w:sz w:val="16"/>
                <w:szCs w:val="16"/>
              </w:rPr>
              <w:t>NOTES:</w:t>
            </w:r>
          </w:p>
          <w:p>
            <w:pPr>
              <w:pStyle w:val="Normal"/>
              <w:numPr>
                <w:ilvl w:val="0"/>
                <w:numId w:val="2"/>
              </w:numPr>
              <w:ind w:left="720" w:hanging="360"/>
              <w:rPr>
                <w:rFonts w:cs="Arial"/>
                <w:color w:val="17365D" w:themeColor="text2" w:themeShade="bf"/>
                <w:sz w:val="16"/>
                <w:szCs w:val="16"/>
              </w:rPr>
            </w:pPr>
            <w:r>
              <w:rPr>
                <w:rFonts w:cs="Arial"/>
                <w:color w:val="17365D" w:themeColor="text2" w:themeShade="bf"/>
                <w:sz w:val="16"/>
                <w:szCs w:val="16"/>
              </w:rPr>
              <w:t>No laboratory work is to commence without a risk assessment signed by the PI/Supervisor.</w:t>
            </w:r>
          </w:p>
          <w:p>
            <w:pPr>
              <w:pStyle w:val="Normal"/>
              <w:numPr>
                <w:ilvl w:val="0"/>
                <w:numId w:val="2"/>
              </w:numPr>
              <w:ind w:left="720" w:hanging="360"/>
              <w:rPr>
                <w:rFonts w:cs="Arial"/>
                <w:color w:val="17365D" w:themeColor="text2" w:themeShade="bf"/>
                <w:sz w:val="16"/>
                <w:szCs w:val="16"/>
              </w:rPr>
            </w:pPr>
            <w:r>
              <w:rPr>
                <w:rFonts w:cs="Arial"/>
                <w:color w:val="17365D" w:themeColor="text2" w:themeShade="bf"/>
                <w:sz w:val="16"/>
                <w:szCs w:val="16"/>
              </w:rPr>
              <w:t>The risk assessment must be reviewed when any changes are made to the equipment, materials, procedure or personnel.</w:t>
            </w:r>
          </w:p>
          <w:p>
            <w:pPr>
              <w:pStyle w:val="Normal"/>
              <w:numPr>
                <w:ilvl w:val="0"/>
                <w:numId w:val="2"/>
              </w:numPr>
              <w:ind w:left="720" w:hanging="360"/>
              <w:rPr>
                <w:rFonts w:cs="Arial"/>
                <w:color w:val="17365D" w:themeColor="text2" w:themeShade="bf"/>
                <w:sz w:val="16"/>
                <w:szCs w:val="16"/>
              </w:rPr>
            </w:pPr>
            <w:r>
              <w:rPr>
                <w:rFonts w:cs="Arial"/>
                <w:color w:val="17365D" w:themeColor="text2" w:themeShade="bf"/>
                <w:sz w:val="16"/>
                <w:szCs w:val="16"/>
              </w:rPr>
              <w:t>Technical staff can stop work if no risk assessment is in place or if, in their opinion, there is a risk to safety.</w:t>
            </w:r>
          </w:p>
          <w:p>
            <w:pPr>
              <w:pStyle w:val="Normal"/>
              <w:numPr>
                <w:ilvl w:val="0"/>
                <w:numId w:val="2"/>
              </w:numPr>
              <w:ind w:left="720" w:hanging="360"/>
              <w:rPr/>
            </w:pPr>
            <w:r>
              <w:rPr>
                <w:rFonts w:cs="Arial"/>
                <w:color w:val="17365D" w:themeColor="text2" w:themeShade="bf"/>
                <w:sz w:val="16"/>
                <w:szCs w:val="16"/>
              </w:rPr>
              <w:t xml:space="preserve">Examples of how to complete this form are available at </w:t>
            </w:r>
            <w:hyperlink r:id="rId2">
              <w:r>
                <w:rPr>
                  <w:rStyle w:val="InternetLink"/>
                  <w:rFonts w:cs="Arial"/>
                  <w:sz w:val="16"/>
                  <w:szCs w:val="16"/>
                </w:rPr>
                <w:t>www.hse.gov.uk/risk/casestudies/</w:t>
              </w:r>
            </w:hyperlink>
            <w:r>
              <w:rPr>
                <w:rFonts w:cs="Arial"/>
                <w:color w:val="17365D" w:themeColor="text2" w:themeShade="bf"/>
                <w:sz w:val="16"/>
                <w:szCs w:val="16"/>
              </w:rPr>
              <w:t xml:space="preserve"> </w:t>
            </w:r>
          </w:p>
        </w:tc>
      </w:tr>
      <w:tr>
        <w:trPr>
          <w:trHeight w:val="81" w:hRule="atLeast"/>
        </w:trPr>
        <w:tc>
          <w:tcPr>
            <w:tcW w:w="4310" w:type="dxa"/>
            <w:tcBorders>
              <w:top w:val="single" w:sz="4" w:space="0" w:color="00000A"/>
            </w:tcBorders>
            <w:shd w:fill="auto" w:val="clear"/>
          </w:tcPr>
          <w:p>
            <w:pPr>
              <w:pStyle w:val="Normal"/>
              <w:jc w:val="right"/>
              <w:rPr>
                <w:rFonts w:ascii="Arial Bold" w:hAnsi="Arial Bold"/>
                <w:b/>
                <w:b/>
                <w:color w:val="0D2456"/>
                <w:sz w:val="16"/>
                <w:szCs w:val="16"/>
              </w:rPr>
            </w:pPr>
            <w:r>
              <w:rPr>
                <w:rFonts w:ascii="Arial Bold" w:hAnsi="Arial Bold"/>
                <w:b/>
                <w:color w:val="0D2456"/>
                <w:sz w:val="16"/>
                <w:szCs w:val="16"/>
              </w:rPr>
            </w:r>
          </w:p>
        </w:tc>
        <w:tc>
          <w:tcPr>
            <w:tcW w:w="3238" w:type="dxa"/>
            <w:tcBorders>
              <w:top w:val="single" w:sz="4" w:space="0" w:color="00000A"/>
              <w:bottom w:val="single" w:sz="4" w:space="0" w:color="00000A"/>
              <w:insideH w:val="single" w:sz="4" w:space="0" w:color="00000A"/>
            </w:tcBorders>
            <w:shd w:color="auto" w:fill="auto" w:val="clear"/>
          </w:tcPr>
          <w:p>
            <w:pPr>
              <w:pStyle w:val="Normal"/>
              <w:rPr>
                <w:sz w:val="16"/>
                <w:szCs w:val="16"/>
              </w:rPr>
            </w:pPr>
            <w:r>
              <w:rPr>
                <w:sz w:val="16"/>
                <w:szCs w:val="16"/>
              </w:rPr>
            </w:r>
          </w:p>
        </w:tc>
        <w:tc>
          <w:tcPr>
            <w:tcW w:w="4270" w:type="dxa"/>
            <w:gridSpan w:val="2"/>
            <w:tcBorders>
              <w:top w:val="single" w:sz="4" w:space="0" w:color="00000A"/>
              <w:bottom w:val="single" w:sz="4" w:space="0" w:color="00000A"/>
              <w:insideH w:val="single" w:sz="4" w:space="0" w:color="00000A"/>
            </w:tcBorders>
            <w:shd w:fill="auto" w:val="clear"/>
          </w:tcPr>
          <w:p>
            <w:pPr>
              <w:pStyle w:val="Normal"/>
              <w:rPr>
                <w:sz w:val="16"/>
                <w:szCs w:val="16"/>
              </w:rPr>
            </w:pPr>
            <w:r>
              <w:rPr>
                <w:sz w:val="16"/>
                <w:szCs w:val="16"/>
              </w:rPr>
            </w:r>
          </w:p>
        </w:tc>
        <w:tc>
          <w:tcPr>
            <w:tcW w:w="4272" w:type="dxa"/>
            <w:gridSpan w:val="2"/>
            <w:tcBorders>
              <w:top w:val="single" w:sz="4" w:space="0" w:color="00000A"/>
              <w:bottom w:val="single" w:sz="4" w:space="0" w:color="00000A"/>
              <w:insideH w:val="single" w:sz="4" w:space="0" w:color="00000A"/>
            </w:tcBorders>
            <w:shd w:fill="auto" w:val="clear"/>
          </w:tcPr>
          <w:p>
            <w:pPr>
              <w:pStyle w:val="Normal"/>
              <w:rPr>
                <w:sz w:val="16"/>
                <w:szCs w:val="16"/>
              </w:rPr>
            </w:pPr>
            <w:r>
              <w:rPr>
                <w:sz w:val="16"/>
                <w:szCs w:val="16"/>
              </w:rPr>
            </w:r>
          </w:p>
        </w:tc>
      </w:tr>
      <w:tr>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Project name:</w:t>
            </w:r>
          </w:p>
        </w:tc>
        <w:tc>
          <w:tcPr>
            <w:tcW w:w="117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0"/>
                <w:szCs w:val="20"/>
              </w:rPr>
            </w:pPr>
            <w:r>
              <w:rPr>
                <w:sz w:val="20"/>
                <w:szCs w:val="20"/>
              </w:rPr>
              <w:t>EX3502 Separation processes 1 – Laboratory assessment</w:t>
            </w:r>
          </w:p>
        </w:tc>
      </w:tr>
      <w:tr>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Location of work:</w:t>
            </w:r>
          </w:p>
        </w:tc>
        <w:tc>
          <w:tcPr>
            <w:tcW w:w="117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0"/>
                <w:szCs w:val="20"/>
              </w:rPr>
            </w:pPr>
            <w:r>
              <w:rPr>
                <w:sz w:val="20"/>
                <w:szCs w:val="20"/>
              </w:rPr>
              <w:t>FN049 and Chemical teaching lab</w:t>
            </w:r>
          </w:p>
        </w:tc>
      </w:tr>
      <w:tr>
        <w:trPr>
          <w:trHeight w:val="394" w:hRule="atLeast"/>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Principal Investigator/Supervisor:</w:t>
            </w:r>
          </w:p>
        </w:tc>
        <w:tc>
          <w:tcPr>
            <w:tcW w:w="46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0"/>
                <w:szCs w:val="20"/>
              </w:rPr>
            </w:pPr>
            <w:r>
              <w:rPr>
                <w:sz w:val="20"/>
                <w:szCs w:val="20"/>
              </w:rPr>
              <w:t>Dr Marcus Bannerman</w:t>
            </w:r>
          </w:p>
        </w:tc>
        <w:tc>
          <w:tcPr>
            <w:tcW w:w="397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16"/>
                <w:szCs w:val="16"/>
              </w:rPr>
            </w:pPr>
            <w:r>
              <w:rPr>
                <w:sz w:val="16"/>
                <w:szCs w:val="16"/>
              </w:rPr>
              <w:t>Signed:</w:t>
            </w:r>
          </w:p>
        </w:tc>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sz w:val="16"/>
                <w:szCs w:val="16"/>
              </w:rPr>
              <w:t>Date:</w:t>
            </w:r>
            <w:r>
              <w:rPr>
                <w:sz w:val="16"/>
                <w:szCs w:val="16"/>
              </w:rPr>
              <w:t>21/02/2017</w:t>
            </w:r>
          </w:p>
        </w:tc>
      </w:tr>
      <w:tr>
        <w:trPr>
          <w:trHeight w:val="445" w:hRule="atLeast"/>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Assessment Prepared by:</w:t>
            </w:r>
          </w:p>
        </w:tc>
        <w:tc>
          <w:tcPr>
            <w:tcW w:w="46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0"/>
                <w:szCs w:val="20"/>
              </w:rPr>
            </w:pPr>
            <w:r>
              <w:rPr>
                <w:sz w:val="20"/>
                <w:szCs w:val="20"/>
              </w:rPr>
              <w:t>Dr Marcus Bannerman</w:t>
            </w:r>
          </w:p>
        </w:tc>
        <w:tc>
          <w:tcPr>
            <w:tcW w:w="397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16"/>
                <w:szCs w:val="16"/>
              </w:rPr>
            </w:pPr>
            <w:r>
              <w:rPr>
                <w:sz w:val="16"/>
                <w:szCs w:val="16"/>
              </w:rPr>
              <w:t>Signed:</w:t>
            </w:r>
          </w:p>
        </w:tc>
        <w:tc>
          <w:tcPr>
            <w:tcW w:w="3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sz w:val="16"/>
                <w:szCs w:val="16"/>
              </w:rPr>
              <w:t>Date:</w:t>
            </w:r>
            <w:r>
              <w:rPr>
                <w:sz w:val="16"/>
                <w:szCs w:val="16"/>
              </w:rPr>
              <w:t>21/02/2017</w:t>
            </w:r>
          </w:p>
        </w:tc>
      </w:tr>
      <w:tr>
        <w:trPr>
          <w:trHeight w:val="1882" w:hRule="atLeast"/>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Outline description of the work:</w:t>
            </w:r>
          </w:p>
        </w:tc>
        <w:tc>
          <w:tcPr>
            <w:tcW w:w="117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0"/>
                <w:szCs w:val="20"/>
              </w:rPr>
            </w:pPr>
            <w:r>
              <w:rPr>
                <w:sz w:val="20"/>
                <w:szCs w:val="20"/>
              </w:rPr>
              <w:t xml:space="preserve">As part of the EX3502 lab, undergraduate students will carry out experiments on the  GUNT CE600 and CE400 units. </w:t>
            </w:r>
            <w:r>
              <w:rPr>
                <w:sz w:val="20"/>
                <w:szCs w:val="20"/>
              </w:rPr>
              <w:t>The lab procedure is attached.</w:t>
            </w:r>
          </w:p>
        </w:tc>
      </w:tr>
      <w:tr>
        <w:trPr>
          <w:trHeight w:val="2173" w:hRule="atLeast"/>
        </w:trPr>
        <w:tc>
          <w:tcPr>
            <w:tcW w:w="4310" w:type="dxa"/>
            <w:tcBorders>
              <w:right w:val="single" w:sz="4" w:space="0" w:color="00000A"/>
              <w:insideV w:val="single" w:sz="4" w:space="0" w:color="00000A"/>
            </w:tcBorders>
            <w:shd w:fill="auto" w:val="clear"/>
          </w:tcPr>
          <w:p>
            <w:pPr>
              <w:pStyle w:val="Normal"/>
              <w:jc w:val="right"/>
              <w:rPr>
                <w:rFonts w:ascii="Arial Bold" w:hAnsi="Arial Bold"/>
                <w:b/>
                <w:b/>
                <w:color w:val="0D2456"/>
                <w:sz w:val="24"/>
              </w:rPr>
            </w:pPr>
            <w:r>
              <w:rPr>
                <w:rFonts w:ascii="Arial Bold" w:hAnsi="Arial Bold"/>
                <w:b/>
                <w:color w:val="0D2456"/>
                <w:sz w:val="24"/>
              </w:rPr>
              <w:t>Names of persons carrying out the work:</w:t>
            </w:r>
          </w:p>
        </w:tc>
        <w:tc>
          <w:tcPr>
            <w:tcW w:w="117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rFonts w:cs="Arial"/>
                <w:color w:val="000000"/>
                <w:sz w:val="20"/>
                <w:szCs w:val="20"/>
              </w:rPr>
            </w:pPr>
            <w:r>
              <w:rPr>
                <w:rFonts w:cs="Arial"/>
                <w:color w:val="000000"/>
                <w:sz w:val="20"/>
                <w:szCs w:val="20"/>
              </w:rPr>
              <w:t>Marcus Bannerman, demonstrators, technicians, and undergraduate students.</w:t>
            </w:r>
          </w:p>
        </w:tc>
      </w:tr>
    </w:tbl>
    <w:p>
      <w:pPr>
        <w:pStyle w:val="Normal"/>
        <w:rPr>
          <w:b/>
          <w:b/>
          <w:color w:val="0000FF"/>
        </w:rPr>
      </w:pPr>
      <w:r>
        <w:rPr>
          <w:b/>
          <w:color w:val="0000FF"/>
        </w:rPr>
      </w:r>
    </w:p>
    <w:p>
      <w:pPr>
        <w:pStyle w:val="Normal"/>
        <w:rPr/>
      </w:pPr>
      <w:r>
        <w:rPr/>
      </w:r>
      <w:r>
        <mc:AlternateContent>
          <mc:Choice Requires="wps">
            <w:drawing>
              <wp:anchor behindDoc="0" distT="0" distB="0" distL="114300" distR="114300" simplePos="0" locked="0" layoutInCell="1" allowOverlap="1" relativeHeight="2">
                <wp:simplePos x="0" y="0"/>
                <wp:positionH relativeFrom="margin">
                  <wp:posOffset>-40005</wp:posOffset>
                </wp:positionH>
                <wp:positionV relativeFrom="margin">
                  <wp:posOffset>-571500</wp:posOffset>
                </wp:positionV>
                <wp:extent cx="10143490" cy="6832600"/>
                <wp:effectExtent l="0" t="0" r="0" b="0"/>
                <wp:wrapSquare wrapText="bothSides"/>
                <wp:docPr id="1" name="Frame1"/>
                <a:graphic xmlns:a="http://schemas.openxmlformats.org/drawingml/2006/main">
                  <a:graphicData uri="http://schemas.microsoft.com/office/word/2010/wordprocessingShape">
                    <wps:wsp>
                      <wps:cNvSpPr txBox="1"/>
                      <wps:spPr>
                        <a:xfrm>
                          <a:off x="0" y="0"/>
                          <a:ext cx="10143490" cy="6832600"/>
                        </a:xfrm>
                        <a:prstGeom prst="rect"/>
                      </wps:spPr>
                      <wps:txbx>
                        <w:txbxContent>
                          <w:tbl>
                            <w:tblPr>
                              <w:tblpPr w:bottomFromText="0" w:horzAnchor="margin" w:leftFromText="180" w:rightFromText="180" w:tblpX="0" w:tblpY="-900" w:topFromText="0" w:vertAnchor="margin"/>
                              <w:tblW w:w="5000" w:type="pct"/>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8" w:type="dxa"/>
                                <w:left w:w="53" w:type="dxa"/>
                                <w:bottom w:w="58" w:type="dxa"/>
                                <w:right w:w="58" w:type="dxa"/>
                              </w:tblCellMar>
                              <w:tblLook w:val="01e0"/>
                            </w:tblPr>
                            <w:tblGrid>
                              <w:gridCol w:w="2710"/>
                              <w:gridCol w:w="2447"/>
                              <w:gridCol w:w="4294"/>
                              <w:gridCol w:w="3556"/>
                              <w:gridCol w:w="1195"/>
                              <w:gridCol w:w="965"/>
                              <w:gridCol w:w="806"/>
                            </w:tblGrid>
                            <w:tr>
                              <w:trPr>
                                <w:tblHeader w:val="true"/>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pageBreakBefore/>
                                    <w:rPr/>
                                  </w:pPr>
                                  <w:r>
                                    <w:rPr>
                                      <w:rFonts w:ascii="Arial Bold" w:hAnsi="Arial Bold"/>
                                      <w:b/>
                                      <w:color w:val="FFFFFF" w:themeColor="background1"/>
                                    </w:rPr>
                                    <w:t>What are the hazards?</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Who might be harmed and how?</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What are you already doing?</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Do you need to do anything else to manage this risk?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Action by whom?</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Action by when?</w:t>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Done</w:t>
                                  </w:r>
                                </w:p>
                              </w:tc>
                            </w:tr>
                            <w:tr>
                              <w:trPr>
                                <w:trHeight w:val="592"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burns on CE600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Operators of the CE600 might come into contact with the apparatus accidentally. </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Locations which become hot are marked clearly and are covered with insulation where practical. Operation of the equipment and hot areas are highlighted at the start of each lab session to the operators.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588"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Rotating parts on CE400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The fan on the refridgeration plant of the CE400 is in continuous operation </w:t>
                                  </w:r>
                                  <w:r>
                                    <w:rPr>
                                      <w:sz w:val="20"/>
                                      <w:szCs w:val="20"/>
                                    </w:rPr>
                                    <w:t>which may harm operators if hair or fingers are inserted.</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The fan has a guard </w:t>
                                  </w:r>
                                  <w:r>
                                    <w:rPr>
                                      <w:sz w:val="20"/>
                                      <w:szCs w:val="20"/>
                                    </w:rPr>
                                    <w:t>to prevent operators approaching it and is out of the usual areas of operation. Operators are warned of its operation at the start of the lab.</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25"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Electrical components on CE400/CE600 </w:t>
                                  </w:r>
                                  <w:r>
                                    <w:rPr>
                                      <w:sz w:val="20"/>
                                      <w:szCs w:val="20"/>
                                    </w:rPr>
                                    <w:t>and use of liquids.</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Within the control cabinets for the equipment are a range of high and low voltage devices </w:t>
                                  </w:r>
                                  <w:r>
                                    <w:rPr>
                                      <w:sz w:val="20"/>
                                      <w:szCs w:val="20"/>
                                    </w:rPr>
                                    <w:t>which may shock users if wet.</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Cabinets containing high voltage parts are locked shut and only opened by the lab coordinator. Electrical work </w:t>
                                  </w:r>
                                  <w:r>
                                    <w:rPr>
                                      <w:sz w:val="20"/>
                                      <w:szCs w:val="20"/>
                                    </w:rPr>
                                    <w:t>is only performed by a qualified technician. Water drainage is carefully monitored to ensure there are no leaks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24"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scalding on CE600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The CE600 contains boiling liquids which may scald the operators</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Operators are not permitted to drain the evaporator containing the boiling liquids. Valves have safety locks to ensure accidental opening is unlikely. System is drained only once it has reached safe temperatures.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41"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explosion</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The CE600 apparatus has isopropyl alcohol which is flammable.</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At no point is the ignition temperature of the chemicals reached. Concentrations of IPA is low generally, except at the reflux drum. Here the temperature is low and volumes are small. Vapours are contained using the condenser, which is significantly oversized for this purpose and is in operation during and after the lab. </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697"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Overcrowding or lack of supervision</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Any of the above might apply or be exacerbated by this.</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The number of students is limited to 5 students per piece of process equipment. </w:t>
                                  </w:r>
                                  <w:r>
                                    <w:rPr>
                                      <w:sz w:val="20"/>
                                      <w:szCs w:val="20"/>
                                    </w:rPr>
                                    <w:t>A demonstrator is present for each piece of process equipment, as well as the lecturer and the technical staff.</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05"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13"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0" w:name="__UnoMark__233_174426195"/>
                                  <w:bookmarkStart w:id="1" w:name="__UnoMark__232_174426195"/>
                                  <w:bookmarkStart w:id="2" w:name="__UnoMark__233_174426195"/>
                                  <w:bookmarkStart w:id="3" w:name="__UnoMark__232_174426195"/>
                                  <w:bookmarkEnd w:id="2"/>
                                  <w:bookmarkEnd w:id="3"/>
                                  <w:r>
                                    <w:rPr>
                                      <w:sz w:val="20"/>
                                      <w:szCs w:val="20"/>
                                    </w:rPr>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4" w:name="__UnoMark__235_174426195"/>
                                  <w:bookmarkStart w:id="5" w:name="__UnoMark__234_174426195"/>
                                  <w:bookmarkStart w:id="6" w:name="__UnoMark__235_174426195"/>
                                  <w:bookmarkStart w:id="7" w:name="__UnoMark__234_174426195"/>
                                  <w:bookmarkEnd w:id="6"/>
                                  <w:bookmarkEnd w:id="7"/>
                                  <w:r>
                                    <w:rPr>
                                      <w:sz w:val="20"/>
                                      <w:szCs w:val="20"/>
                                    </w:rPr>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8" w:name="__UnoMark__237_174426195"/>
                                  <w:bookmarkStart w:id="9" w:name="__UnoMark__236_174426195"/>
                                  <w:bookmarkStart w:id="10" w:name="__UnoMark__237_174426195"/>
                                  <w:bookmarkStart w:id="11" w:name="__UnoMark__236_174426195"/>
                                  <w:bookmarkEnd w:id="10"/>
                                  <w:bookmarkEnd w:id="11"/>
                                  <w:r>
                                    <w:rPr>
                                      <w:sz w:val="20"/>
                                      <w:szCs w:val="20"/>
                                    </w:rPr>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12" w:name="__UnoMark__239_174426195"/>
                                  <w:bookmarkStart w:id="13" w:name="__UnoMark__238_174426195"/>
                                  <w:bookmarkStart w:id="14" w:name="__UnoMark__239_174426195"/>
                                  <w:bookmarkStart w:id="15" w:name="__UnoMark__238_174426195"/>
                                  <w:bookmarkEnd w:id="14"/>
                                  <w:bookmarkEnd w:id="15"/>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16" w:name="__UnoMark__241_174426195"/>
                                  <w:bookmarkStart w:id="17" w:name="__UnoMark__240_174426195"/>
                                  <w:bookmarkStart w:id="18" w:name="__UnoMark__241_174426195"/>
                                  <w:bookmarkStart w:id="19" w:name="__UnoMark__240_174426195"/>
                                  <w:bookmarkEnd w:id="18"/>
                                  <w:bookmarkEnd w:id="19"/>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20" w:name="__UnoMark__243_174426195"/>
                                  <w:bookmarkStart w:id="21" w:name="__UnoMark__242_174426195"/>
                                  <w:bookmarkStart w:id="22" w:name="__UnoMark__243_174426195"/>
                                  <w:bookmarkStart w:id="23" w:name="__UnoMark__242_174426195"/>
                                  <w:bookmarkEnd w:id="22"/>
                                  <w:bookmarkEnd w:id="23"/>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24" w:name="__UnoMark__244_174426195"/>
                                  <w:bookmarkStart w:id="25" w:name="__UnoMark__244_174426195"/>
                                  <w:bookmarkEnd w:id="25"/>
                                  <w:r>
                                    <w:rPr>
                                      <w:sz w:val="20"/>
                                      <w:szCs w:val="20"/>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798.7pt;height:538pt;mso-wrap-distance-left:9pt;mso-wrap-distance-right:9pt;mso-wrap-distance-top:0pt;mso-wrap-distance-bottom:0pt;margin-top:-45pt;mso-position-vertical-relative:margin;margin-left:-3.15pt;mso-position-horizontal-relative:margin">
                <v:textbox inset="0in,0in,0in,0in">
                  <w:txbxContent>
                    <w:tbl>
                      <w:tblPr>
                        <w:tblpPr w:bottomFromText="0" w:horzAnchor="margin" w:leftFromText="180" w:rightFromText="180" w:tblpX="0" w:tblpY="-900" w:topFromText="0" w:vertAnchor="margin"/>
                        <w:tblW w:w="5000" w:type="pct"/>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8" w:type="dxa"/>
                          <w:left w:w="53" w:type="dxa"/>
                          <w:bottom w:w="58" w:type="dxa"/>
                          <w:right w:w="58" w:type="dxa"/>
                        </w:tblCellMar>
                        <w:tblLook w:val="01e0"/>
                      </w:tblPr>
                      <w:tblGrid>
                        <w:gridCol w:w="2710"/>
                        <w:gridCol w:w="2447"/>
                        <w:gridCol w:w="4294"/>
                        <w:gridCol w:w="3556"/>
                        <w:gridCol w:w="1195"/>
                        <w:gridCol w:w="965"/>
                        <w:gridCol w:w="806"/>
                      </w:tblGrid>
                      <w:tr>
                        <w:trPr>
                          <w:tblHeader w:val="true"/>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pageBreakBefore/>
                              <w:rPr/>
                            </w:pPr>
                            <w:r>
                              <w:rPr>
                                <w:rFonts w:ascii="Arial Bold" w:hAnsi="Arial Bold"/>
                                <w:b/>
                                <w:color w:val="FFFFFF" w:themeColor="background1"/>
                              </w:rPr>
                              <w:t>What are the hazards?</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Who might be harmed and how?</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What are you already doing?</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Do you need to do anything else to manage this risk?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Action by whom?</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Action by when?</w:t>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7365D" w:themeFill="text2" w:themeFillShade="bf" w:val="clear"/>
                            <w:tcMar>
                              <w:left w:w="53" w:type="dxa"/>
                            </w:tcMar>
                          </w:tcPr>
                          <w:p>
                            <w:pPr>
                              <w:pStyle w:val="Normal"/>
                              <w:rPr/>
                            </w:pPr>
                            <w:r>
                              <w:rPr>
                                <w:rFonts w:ascii="Arial Bold" w:hAnsi="Arial Bold"/>
                                <w:b/>
                                <w:color w:val="FFFFFF" w:themeColor="background1"/>
                              </w:rPr>
                              <w:t>Done</w:t>
                            </w:r>
                          </w:p>
                        </w:tc>
                      </w:tr>
                      <w:tr>
                        <w:trPr>
                          <w:trHeight w:val="592"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burns on CE600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Operators of the CE600 might come into contact with the apparatus accidentally. </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Locations which become hot are marked clearly and are covered with insulation where practical. Operation of the equipment and hot areas are highlighted at the start of each lab session to the operators.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588"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Rotating parts on CE400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The fan on the refridgeration plant of the CE400 is in continuous operation </w:t>
                            </w:r>
                            <w:r>
                              <w:rPr>
                                <w:sz w:val="20"/>
                                <w:szCs w:val="20"/>
                              </w:rPr>
                              <w:t>which may harm operators if hair or fingers are inserted.</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The fan has a guard </w:t>
                            </w:r>
                            <w:r>
                              <w:rPr>
                                <w:sz w:val="20"/>
                                <w:szCs w:val="20"/>
                              </w:rPr>
                              <w:t>to prevent operators approaching it and is out of the usual areas of operation. Operators are warned of its operation at the start of the lab.</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25"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Electrical components on CE400/CE600 </w:t>
                            </w:r>
                            <w:r>
                              <w:rPr>
                                <w:sz w:val="20"/>
                                <w:szCs w:val="20"/>
                              </w:rPr>
                              <w:t>and use of liquids.</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Within the control cabinets for the equipment are a range of high and low voltage devices </w:t>
                            </w:r>
                            <w:r>
                              <w:rPr>
                                <w:sz w:val="20"/>
                                <w:szCs w:val="20"/>
                              </w:rPr>
                              <w:t>which may shock users if wet.</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Cabinets containing high voltage parts are locked shut and only opened by the lab coordinator. Electrical work </w:t>
                            </w:r>
                            <w:r>
                              <w:rPr>
                                <w:sz w:val="20"/>
                                <w:szCs w:val="20"/>
                              </w:rPr>
                              <w:t>is only performed by a qualified technician. Water drainage is carefully monitored to ensure there are no leaks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24"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scalding on CE600</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The CE600 contains boiling liquids which may scald the operators</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Operators are not permitted to drain the evaporator containing the boiling liquids. Valves have safety locks to ensure accidental opening is unlikely. System is drained only once it has reached safe temperatures.</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41"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Risk of explosion</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The CE600 apparatus has isopropyl alcohol which is flammable.</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 xml:space="preserve">At no point is the ignition temperature of the chemicals reached. Concentrations of IPA is low generally, except at the reflux drum. Here the temperature is low and volumes are small. Vapours are contained using the condenser, which is significantly oversized for this purpose and is in operation during and after the lab. </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No</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697"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Overcrowding or lack of supervision</w:t>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t>Any of the above might apply or be exacerbated by this.</w:t>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sz w:val="20"/>
                                <w:szCs w:val="20"/>
                              </w:rPr>
                            </w:pPr>
                            <w:r>
                              <w:rPr>
                                <w:sz w:val="20"/>
                                <w:szCs w:val="20"/>
                              </w:rPr>
                              <w:t xml:space="preserve">The number of students is limited to 5 students per piece of process equipment. </w:t>
                            </w:r>
                            <w:r>
                              <w:rPr>
                                <w:sz w:val="20"/>
                                <w:szCs w:val="20"/>
                              </w:rPr>
                              <w:t>A demonstrator is present for each piece of process equipment, as well as the lecturer and the technical staff.</w:t>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05"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r>
                              <w:rPr>
                                <w:sz w:val="20"/>
                                <w:szCs w:val="20"/>
                              </w:rPr>
                            </w:r>
                          </w:p>
                        </w:tc>
                      </w:tr>
                      <w:tr>
                        <w:trPr>
                          <w:trHeight w:val="713" w:hRule="atLeast"/>
                        </w:trPr>
                        <w:tc>
                          <w:tcPr>
                            <w:tcW w:w="2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26" w:name="__UnoMark__233_174426195"/>
                            <w:bookmarkStart w:id="27" w:name="__UnoMark__232_174426195"/>
                            <w:bookmarkStart w:id="28" w:name="__UnoMark__233_174426195"/>
                            <w:bookmarkStart w:id="29" w:name="__UnoMark__232_174426195"/>
                            <w:bookmarkEnd w:id="28"/>
                            <w:bookmarkEnd w:id="29"/>
                            <w:r>
                              <w:rPr>
                                <w:sz w:val="20"/>
                                <w:szCs w:val="20"/>
                              </w:rPr>
                            </w:r>
                          </w:p>
                        </w:tc>
                        <w:tc>
                          <w:tcPr>
                            <w:tcW w:w="2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30" w:name="__UnoMark__235_174426195"/>
                            <w:bookmarkStart w:id="31" w:name="__UnoMark__234_174426195"/>
                            <w:bookmarkStart w:id="32" w:name="__UnoMark__235_174426195"/>
                            <w:bookmarkStart w:id="33" w:name="__UnoMark__234_174426195"/>
                            <w:bookmarkEnd w:id="32"/>
                            <w:bookmarkEnd w:id="33"/>
                            <w:r>
                              <w:rPr>
                                <w:sz w:val="20"/>
                                <w:szCs w:val="20"/>
                              </w:rPr>
                            </w:r>
                          </w:p>
                        </w:tc>
                        <w:tc>
                          <w:tcPr>
                            <w:tcW w:w="42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34" w:name="__UnoMark__237_174426195"/>
                            <w:bookmarkStart w:id="35" w:name="__UnoMark__236_174426195"/>
                            <w:bookmarkStart w:id="36" w:name="__UnoMark__237_174426195"/>
                            <w:bookmarkStart w:id="37" w:name="__UnoMark__236_174426195"/>
                            <w:bookmarkEnd w:id="36"/>
                            <w:bookmarkEnd w:id="37"/>
                            <w:r>
                              <w:rPr>
                                <w:sz w:val="20"/>
                                <w:szCs w:val="20"/>
                              </w:rPr>
                            </w:r>
                          </w:p>
                        </w:tc>
                        <w:tc>
                          <w:tcPr>
                            <w:tcW w:w="3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38" w:name="__UnoMark__239_174426195"/>
                            <w:bookmarkStart w:id="39" w:name="__UnoMark__238_174426195"/>
                            <w:bookmarkStart w:id="40" w:name="__UnoMark__239_174426195"/>
                            <w:bookmarkStart w:id="41" w:name="__UnoMark__238_174426195"/>
                            <w:bookmarkEnd w:id="40"/>
                            <w:bookmarkEnd w:id="41"/>
                            <w:r>
                              <w:rPr>
                                <w:sz w:val="20"/>
                                <w:szCs w:val="20"/>
                              </w:rP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42" w:name="__UnoMark__241_174426195"/>
                            <w:bookmarkStart w:id="43" w:name="__UnoMark__240_174426195"/>
                            <w:bookmarkStart w:id="44" w:name="__UnoMark__241_174426195"/>
                            <w:bookmarkStart w:id="45" w:name="__UnoMark__240_174426195"/>
                            <w:bookmarkEnd w:id="44"/>
                            <w:bookmarkEnd w:id="45"/>
                            <w:r>
                              <w:rPr>
                                <w:sz w:val="20"/>
                                <w:szCs w:val="20"/>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46" w:name="__UnoMark__243_174426195"/>
                            <w:bookmarkStart w:id="47" w:name="__UnoMark__242_174426195"/>
                            <w:bookmarkStart w:id="48" w:name="__UnoMark__243_174426195"/>
                            <w:bookmarkStart w:id="49" w:name="__UnoMark__242_174426195"/>
                            <w:bookmarkEnd w:id="48"/>
                            <w:bookmarkEnd w:id="49"/>
                            <w:r>
                              <w:rPr>
                                <w:sz w:val="20"/>
                                <w:szCs w:val="20"/>
                              </w:rPr>
                            </w:r>
                          </w:p>
                        </w:tc>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sz w:val="20"/>
                                <w:szCs w:val="20"/>
                              </w:rPr>
                            </w:pPr>
                            <w:bookmarkStart w:id="50" w:name="__UnoMark__244_174426195"/>
                            <w:bookmarkStart w:id="51" w:name="__UnoMark__244_174426195"/>
                            <w:bookmarkEnd w:id="51"/>
                            <w:r>
                              <w:rPr>
                                <w:sz w:val="20"/>
                                <w:szCs w:val="20"/>
                              </w:rPr>
                            </w:r>
                          </w:p>
                        </w:tc>
                      </w:tr>
                    </w:tbl>
                  </w:txbxContent>
                </v:textbox>
                <w10:wrap type="square"/>
              </v:rect>
            </w:pict>
          </mc:Fallback>
        </mc:AlternateContent>
      </w:r>
    </w:p>
    <w:sectPr>
      <w:headerReference w:type="default" r:id="rId3"/>
      <w:footerReference w:type="default" r:id="rId4"/>
      <w:type w:val="nextPage"/>
      <w:pgSz w:orient="landscape" w:w="16838" w:h="11906"/>
      <w:pgMar w:left="432" w:right="432" w:header="432" w:top="1728" w:footer="432" w:bottom="489"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Bold">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16 April 2013</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8882898"/>
    </w:sdtPr>
    <w:sdtContent>
      <w:p>
        <w:pPr>
          <w:pStyle w:val="Normal"/>
          <w:rPr/>
        </w:pPr>
        <w:sdt>
          <w:sdtPr>
            <w:id w:val="1048090907"/>
          </w:sdtPr>
          <w:sdtContent>
            <w:r>
              <w:rPr>
                <w:sz w:val="16"/>
                <w:szCs w:val="16"/>
              </w:rPr>
              <w:t>School of Engineering</w:t>
            </w:r>
          </w:sdtContent>
        </w:sdt>
        <w:r>
          <w:rPr>
            <w:sz w:val="16"/>
            <w:szCs w:val="16"/>
          </w:rPr>
          <w:tab/>
        </w:r>
        <w:sdt>
          <w:sdtPr>
            <w:id w:val="903436123"/>
          </w:sdtPr>
          <w:sdtContent>
            <w:r>
              <w:rPr>
                <w:sz w:val="16"/>
                <w:szCs w:val="16"/>
              </w:rPr>
              <w:t>Risk Assessment</w:t>
            </w:r>
          </w:sdtContent>
        </w:sdt>
        <w:r>
          <w:rPr>
            <w:sz w:val="16"/>
            <w:szCs w:val="16"/>
          </w:rPr>
          <w:tab/>
        </w:r>
        <w:r>
          <w:rPr>
            <w:sz w:val="16"/>
            <w:szCs w:val="16"/>
          </w:rPr>
          <w:t xml:space="preserve">Page </w:t>
        </w:r>
        <w:r>
          <w:rPr>
            <w:sz w:val="16"/>
            <w:szCs w:val="16"/>
          </w:rPr>
          <w:fldChar w:fldCharType="begin"/>
        </w:r>
        <w:r>
          <w:instrText> PAGE </w:instrText>
        </w:r>
        <w:r>
          <w:fldChar w:fldCharType="separate"/>
        </w:r>
        <w:r>
          <w:t>2</w:t>
        </w:r>
        <w:r>
          <w:fldChar w:fldCharType="end"/>
        </w:r>
        <w:r>
          <w:rPr>
            <w:sz w:val="16"/>
            <w:szCs w:val="16"/>
          </w:rPr>
          <w:t xml:space="preserve"> of </w:t>
        </w:r>
        <w:r>
          <w:rPr>
            <w:sz w:val="16"/>
            <w:szCs w:val="16"/>
          </w:rPr>
          <w:fldChar w:fldCharType="begin"/>
        </w:r>
        <w:r>
          <w:instrText> NUMPAGES </w:instrText>
        </w:r>
        <w:r>
          <w:fldChar w:fldCharType="separate"/>
        </w:r>
        <w:r>
          <w:t>2</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05c7e"/>
    <w:pPr>
      <w:widowControl/>
      <w:bidi w:val="0"/>
      <w:jc w:val="left"/>
    </w:pPr>
    <w:rPr>
      <w:rFonts w:ascii="Arial" w:hAnsi="Arial" w:eastAsia="Times New Roman" w:cs="Times New Roman"/>
      <w:color w:val="auto"/>
      <w:sz w:val="18"/>
      <w:szCs w:val="24"/>
      <w:lang w:eastAsia="en-US" w:val="en-GB" w:bidi="ar-SA"/>
    </w:rPr>
  </w:style>
  <w:style w:type="paragraph" w:styleId="Heading1">
    <w:name w:val="Heading 1"/>
    <w:basedOn w:val="Normal"/>
    <w:next w:val="Normal"/>
    <w:qFormat/>
    <w:rsid w:val="00200cb7"/>
    <w:pPr>
      <w:keepNext/>
      <w:jc w:val="center"/>
      <w:outlineLvl w:val="0"/>
    </w:pPr>
    <w:rPr>
      <w:rFonts w:cs="Arial"/>
      <w:b/>
      <w:bCs/>
      <w:caps/>
      <w:sz w:val="28"/>
      <w:szCs w:val="32"/>
    </w:rPr>
  </w:style>
  <w:style w:type="paragraph" w:styleId="Heading2">
    <w:name w:val="Heading 2"/>
    <w:basedOn w:val="Normal"/>
    <w:next w:val="Normal"/>
    <w:qFormat/>
    <w:rsid w:val="00200cb7"/>
    <w:pPr>
      <w:keepNext/>
      <w:outlineLvl w:val="1"/>
    </w:pPr>
    <w:rPr>
      <w:rFonts w:cs="Arial"/>
      <w:b/>
      <w:bCs/>
      <w:iCs/>
      <w:caps/>
      <w:szCs w:val="28"/>
    </w:rPr>
  </w:style>
  <w:style w:type="paragraph" w:styleId="Heading3">
    <w:name w:val="Heading 3"/>
    <w:basedOn w:val="Normal"/>
    <w:next w:val="Normal"/>
    <w:qFormat/>
    <w:rsid w:val="00200cb7"/>
    <w:pPr>
      <w:keepNext/>
      <w:outlineLvl w:val="2"/>
    </w:pPr>
    <w:rPr>
      <w:rFonts w:cs="Arial"/>
      <w:b/>
      <w:bCs/>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db4e9d"/>
    <w:rPr>
      <w:color w:val="0000FF"/>
      <w:u w:val="single"/>
    </w:rPr>
  </w:style>
  <w:style w:type="character" w:styleId="FollowedHyperlink">
    <w:name w:val="FollowedHyperlink"/>
    <w:basedOn w:val="DefaultParagraphFont"/>
    <w:qFormat/>
    <w:rsid w:val="00e00852"/>
    <w:rPr>
      <w:color w:val="800080"/>
      <w:u w:val="single"/>
    </w:rPr>
  </w:style>
  <w:style w:type="character" w:styleId="FooterChar" w:customStyle="1">
    <w:name w:val="Footer Char"/>
    <w:basedOn w:val="DefaultParagraphFont"/>
    <w:link w:val="Footer"/>
    <w:uiPriority w:val="99"/>
    <w:qFormat/>
    <w:rsid w:val="00e20d16"/>
    <w:rPr>
      <w:rFonts w:ascii="Arial" w:hAnsi="Arial"/>
      <w:sz w:val="18"/>
      <w:szCs w:val="24"/>
      <w:lang w:eastAsia="en-US"/>
    </w:rPr>
  </w:style>
  <w:style w:type="character" w:styleId="BalloonTextChar" w:customStyle="1">
    <w:name w:val="Balloon Text Char"/>
    <w:basedOn w:val="DefaultParagraphFont"/>
    <w:link w:val="BalloonText"/>
    <w:qFormat/>
    <w:rsid w:val="009d337e"/>
    <w:rPr>
      <w:rFonts w:ascii="Tahoma" w:hAnsi="Tahoma" w:cs="Tahoma"/>
      <w:sz w:val="16"/>
      <w:szCs w:val="16"/>
      <w:lang w:eastAsia="en-US"/>
    </w:rPr>
  </w:style>
  <w:style w:type="character" w:styleId="PlaceholderText">
    <w:name w:val="Placeholder Text"/>
    <w:basedOn w:val="DefaultParagraphFont"/>
    <w:uiPriority w:val="99"/>
    <w:semiHidden/>
    <w:qFormat/>
    <w:rsid w:val="00535b02"/>
    <w:rPr>
      <w:color w:val="808080"/>
    </w:rPr>
  </w:style>
  <w:style w:type="character" w:styleId="ListLabel1">
    <w:name w:val="ListLabel 1"/>
    <w:qFormat/>
    <w:rPr>
      <w:sz w:val="24"/>
    </w:rPr>
  </w:style>
  <w:style w:type="character" w:styleId="ListLabel2">
    <w:name w:val="ListLabel 2"/>
    <w:qFormat/>
    <w:rPr>
      <w:sz w:val="28"/>
    </w:rPr>
  </w:style>
  <w:style w:type="character" w:styleId="ListLabel3">
    <w:name w:val="ListLabel 3"/>
    <w:qFormat/>
    <w:rPr>
      <w:sz w:val="28"/>
    </w:rPr>
  </w:style>
  <w:style w:type="character" w:styleId="ListLabel4">
    <w:name w:val="ListLabel 4"/>
    <w:qFormat/>
    <w:rPr>
      <w:sz w:val="24"/>
    </w:rPr>
  </w:style>
  <w:style w:type="character" w:styleId="ListLabel5">
    <w:name w:val="ListLabel 5"/>
    <w:qFormat/>
    <w:rPr>
      <w:b w:val="false"/>
      <w:i w:val="false"/>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ullet1" w:customStyle="1">
    <w:name w:val="Bullet 1"/>
    <w:basedOn w:val="Normal"/>
    <w:qFormat/>
    <w:rsid w:val="00200cb7"/>
    <w:pPr/>
    <w:rPr/>
  </w:style>
  <w:style w:type="paragraph" w:styleId="Bullet2" w:customStyle="1">
    <w:name w:val="Bullet 2"/>
    <w:basedOn w:val="Bullet1"/>
    <w:qFormat/>
    <w:rsid w:val="00200cb7"/>
    <w:pPr/>
    <w:rPr/>
  </w:style>
  <w:style w:type="paragraph" w:styleId="Number" w:customStyle="1">
    <w:name w:val="Number"/>
    <w:basedOn w:val="Normal"/>
    <w:qFormat/>
    <w:rsid w:val="00200cb7"/>
    <w:pPr/>
    <w:rPr/>
  </w:style>
  <w:style w:type="paragraph" w:styleId="Numbera" w:customStyle="1">
    <w:name w:val="Number a)"/>
    <w:basedOn w:val="Normal"/>
    <w:qFormat/>
    <w:rsid w:val="00200cb7"/>
    <w:pPr/>
    <w:rPr/>
  </w:style>
  <w:style w:type="paragraph" w:styleId="Numberi" w:customStyle="1">
    <w:name w:val="Number i)"/>
    <w:basedOn w:val="Normal"/>
    <w:qFormat/>
    <w:rsid w:val="00200cb7"/>
    <w:pPr/>
    <w:rPr/>
  </w:style>
  <w:style w:type="paragraph" w:styleId="Header">
    <w:name w:val="Header"/>
    <w:basedOn w:val="Normal"/>
    <w:rsid w:val="00105c7e"/>
    <w:pPr>
      <w:tabs>
        <w:tab w:val="center" w:pos="4153" w:leader="none"/>
        <w:tab w:val="right" w:pos="8306" w:leader="none"/>
      </w:tabs>
    </w:pPr>
    <w:rPr/>
  </w:style>
  <w:style w:type="paragraph" w:styleId="Footer">
    <w:name w:val="Footer"/>
    <w:basedOn w:val="Normal"/>
    <w:link w:val="FooterChar"/>
    <w:uiPriority w:val="99"/>
    <w:rsid w:val="00105c7e"/>
    <w:pPr>
      <w:tabs>
        <w:tab w:val="center" w:pos="4153" w:leader="none"/>
        <w:tab w:val="right" w:pos="8306" w:leader="none"/>
      </w:tabs>
    </w:pPr>
    <w:rPr/>
  </w:style>
  <w:style w:type="paragraph" w:styleId="ListParagraph">
    <w:name w:val="List Paragraph"/>
    <w:basedOn w:val="Normal"/>
    <w:uiPriority w:val="34"/>
    <w:qFormat/>
    <w:rsid w:val="00535a11"/>
    <w:pPr>
      <w:spacing w:before="0" w:after="0"/>
      <w:ind w:left="720" w:hanging="0"/>
      <w:contextualSpacing/>
    </w:pPr>
    <w:rPr>
      <w:rFonts w:ascii="Times New Roman" w:hAnsi="Times New Roman"/>
      <w:sz w:val="20"/>
      <w:szCs w:val="20"/>
      <w:lang w:eastAsia="en-GB"/>
    </w:rPr>
  </w:style>
  <w:style w:type="paragraph" w:styleId="BalloonText">
    <w:name w:val="Balloon Text"/>
    <w:basedOn w:val="Normal"/>
    <w:link w:val="BalloonTextChar"/>
    <w:qFormat/>
    <w:rsid w:val="009d337e"/>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131ecc"/>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se.gov.uk/risk/casestudi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BF83C0F904468693BF8CF2B8C3B4B3"/>
        <w:category>
          <w:name w:val="General"/>
          <w:gallery w:val="placeholder"/>
        </w:category>
        <w:types>
          <w:type w:val="bbPlcHdr"/>
        </w:types>
        <w:behaviors>
          <w:behavior w:val="content"/>
        </w:behaviors>
        <w:guid w:val="{DEA2A546-2EF4-4E10-8DF1-3A77852B9FD4}"/>
      </w:docPartPr>
      <w:docPartBody>
        <w:p w:rsidR="00D601AB" w:rsidRDefault="00D601AB" w:rsidP="00D601AB">
          <w:pPr>
            <w:pStyle w:val="2FBF83C0F904468693BF8CF2B8C3B4B31"/>
          </w:pPr>
          <w:r w:rsidRPr="009D337E">
            <w:rPr>
              <w:sz w:val="20"/>
              <w:szCs w:val="20"/>
            </w:rPr>
            <w:t>School of Engineering</w:t>
          </w:r>
        </w:p>
      </w:docPartBody>
    </w:docPart>
    <w:docPart>
      <w:docPartPr>
        <w:name w:val="B80AFDCCE90A4BBEAD8AF07C2C085603"/>
        <w:category>
          <w:name w:val="General"/>
          <w:gallery w:val="placeholder"/>
        </w:category>
        <w:types>
          <w:type w:val="bbPlcHdr"/>
        </w:types>
        <w:behaviors>
          <w:behavior w:val="content"/>
        </w:behaviors>
        <w:guid w:val="{AAD481E7-A210-42E0-B582-C16CEE4060B7}"/>
      </w:docPartPr>
      <w:docPartBody>
        <w:p w:rsidR="00D601AB" w:rsidRDefault="00D601AB" w:rsidP="00D601AB">
          <w:pPr>
            <w:pStyle w:val="B80AFDCCE90A4BBEAD8AF07C2C0856031"/>
          </w:pPr>
          <w:r w:rsidRPr="009D337E">
            <w:rPr>
              <w:sz w:val="20"/>
              <w:szCs w:val="20"/>
            </w:rPr>
            <w:t>Risk Assessment</w:t>
          </w:r>
        </w:p>
      </w:docPartBody>
    </w:docPart>
    <w:docPart>
      <w:docPartPr>
        <w:name w:val="7A22F64E170342C5BC188A76FB71DAF7"/>
        <w:category>
          <w:name w:val="General"/>
          <w:gallery w:val="placeholder"/>
        </w:category>
        <w:types>
          <w:type w:val="bbPlcHdr"/>
        </w:types>
        <w:behaviors>
          <w:behavior w:val="content"/>
        </w:behaviors>
        <w:guid w:val="{C2BBFBB7-670E-4605-BDA7-E7AF4748B7DB}"/>
      </w:docPartPr>
      <w:docPartBody>
        <w:p w:rsidR="00D601AB" w:rsidRDefault="00504C96" w:rsidP="00504C96">
          <w:pPr>
            <w:pStyle w:val="7A22F64E170342C5BC188A76FB71DAF7"/>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504C96"/>
    <w:rsid w:val="004F7C86"/>
    <w:rsid w:val="00504C96"/>
    <w:rsid w:val="00D601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F83C0F904468693BF8CF2B8C3B4B3">
    <w:name w:val="2FBF83C0F904468693BF8CF2B8C3B4B3"/>
    <w:rsid w:val="00504C96"/>
  </w:style>
  <w:style w:type="paragraph" w:customStyle="1" w:styleId="B80AFDCCE90A4BBEAD8AF07C2C085603">
    <w:name w:val="B80AFDCCE90A4BBEAD8AF07C2C085603"/>
    <w:rsid w:val="00504C96"/>
  </w:style>
  <w:style w:type="paragraph" w:customStyle="1" w:styleId="7A22F64E170342C5BC188A76FB71DAF7">
    <w:name w:val="7A22F64E170342C5BC188A76FB71DAF7"/>
    <w:rsid w:val="00504C96"/>
  </w:style>
  <w:style w:type="character" w:styleId="PlaceholderText">
    <w:name w:val="Placeholder Text"/>
    <w:basedOn w:val="DefaultParagraphFont"/>
    <w:uiPriority w:val="99"/>
    <w:semiHidden/>
    <w:rsid w:val="00D601AB"/>
    <w:rPr>
      <w:color w:val="808080"/>
    </w:rPr>
  </w:style>
  <w:style w:type="paragraph" w:customStyle="1" w:styleId="2FBF83C0F904468693BF8CF2B8C3B4B31">
    <w:name w:val="2FBF83C0F904468693BF8CF2B8C3B4B31"/>
    <w:rsid w:val="00D601AB"/>
    <w:pPr>
      <w:spacing w:after="0" w:line="240" w:lineRule="auto"/>
    </w:pPr>
    <w:rPr>
      <w:rFonts w:ascii="Arial" w:eastAsia="Times New Roman" w:hAnsi="Arial" w:cs="Times New Roman"/>
      <w:sz w:val="18"/>
      <w:szCs w:val="24"/>
      <w:lang w:eastAsia="en-US"/>
    </w:rPr>
  </w:style>
  <w:style w:type="paragraph" w:customStyle="1" w:styleId="B80AFDCCE90A4BBEAD8AF07C2C0856031">
    <w:name w:val="B80AFDCCE90A4BBEAD8AF07C2C0856031"/>
    <w:rsid w:val="00D601AB"/>
    <w:pPr>
      <w:spacing w:after="0" w:line="240" w:lineRule="auto"/>
    </w:pPr>
    <w:rPr>
      <w:rFonts w:ascii="Arial" w:eastAsia="Times New Roman" w:hAnsi="Arial" w:cs="Times New Roman"/>
      <w:sz w:val="18"/>
      <w:szCs w:val="24"/>
      <w:lang w:eastAsia="en-US"/>
    </w:rPr>
  </w:style>
  <w:style w:type="paragraph" w:customStyle="1" w:styleId="B495E2F3C2B74ADD8AE307C4B1F35822">
    <w:name w:val="B495E2F3C2B74ADD8AE307C4B1F35822"/>
    <w:rsid w:val="004F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LibreOffice/5.2.4.2$Linux_X86_64 LibreOffice_project/20m0$Build-2</Application>
  <Pages>2</Pages>
  <Words>574</Words>
  <Characters>2965</Characters>
  <CharactersWithSpaces>3482</CharactersWithSpaces>
  <Paragraphs>58</Paragraphs>
  <Company>Health and Safety Executive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2013-04-16T09:51:00Z</dcterms:created>
  <dc:creator>ppaul</dc:creator>
  <dc:description/>
  <dc:language>en-GB</dc:language>
  <cp:lastModifiedBy/>
  <cp:lastPrinted>2017-02-21T12:28:24Z</cp:lastPrinted>
  <dcterms:modified xsi:type="dcterms:W3CDTF">2017-02-21T14:41:15Z</dcterms:modified>
  <cp:revision>4</cp:revision>
  <dc:subject/>
  <dc:title>This is the statement  of general policy and arrangements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Health and Safety Executive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