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rPr>
        <w:t xml:space="preserve"> </w:t>
      </w:r>
    </w:p>
    <w:p>
      <w:pPr>
        <w:spacing w:after="200"/>
        <w:jc w:val="center"/>
      </w:pPr>
      <w:r>
        <w:rPr>
          <w:rFonts w:ascii="Times New Roman" w:cs="Times New Roman" w:eastAsia="Times New Roman" w:hAnsi="Times New Roman"/>
          <w:b/>
          <w:bCs/>
          <w:highlight w:val="yellow"/>
          <w:highlightCs w:val="yellow"/>
        </w:rPr>
        <w:t xml:space="preserve">[Logo ESAIP]</w:t>
      </w:r>
      <w:r>
        <w:rPr>
          <w:rFonts w:ascii="Times New Roman" w:cs="Times New Roman" w:eastAsia="Times New Roman" w:hAnsi="Times New Roman"/>
        </w:rPr>
        <w:t xml:space="preserve">                    </w:t>
      </w:r>
      <w:r>
        <w:rPr>
          <w:rFonts w:ascii="Times New Roman" w:cs="Times New Roman" w:eastAsia="Times New Roman" w:hAnsi="Times New Roman"/>
          <w:b/>
          <w:bCs/>
          <w:highlight w:val="yellow"/>
          <w:highlightCs w:val="yellow"/>
        </w:rPr>
        <w:t xml:space="preserve">[Logo Sybella SA]</w:t>
      </w:r>
    </w:p>
    <w:p>
      <w:pPr>
        <w:spacing w:after="60"/>
        <w:jc w:val="center"/>
      </w:pPr>
      <w:r>
        <w:rPr>
          <w:rFonts w:ascii="Times New Roman" w:cs="Times New Roman" w:eastAsia="Times New Roman" w:hAnsi="Times New Roman"/>
          <w:b/>
          <w:bCs/>
          <w:sz w:val="26"/>
          <w:szCs w:val="26"/>
        </w:rPr>
        <w:t xml:space="preserve">ESAIP École d'Ingénieurs — La Salle</w:t>
      </w:r>
    </w:p>
    <w:p>
      <w:pPr>
        <w:spacing w:after="40"/>
        <w:jc w:val="center"/>
      </w:pPr>
      <w:r>
        <w:rPr>
          <w:rFonts w:ascii="Times New Roman" w:cs="Times New Roman" w:eastAsia="Times New Roman" w:hAnsi="Times New Roman"/>
          <w:sz w:val="24"/>
          <w:szCs w:val="24"/>
        </w:rPr>
        <w:t xml:space="preserve">Formation Ingénieur — Spécialité Informatique et Réseaux (IR)</w:t>
      </w:r>
    </w:p>
    <w:p>
      <w:pPr>
        <w:spacing w:after="500"/>
        <w:jc w:val="center"/>
      </w:pPr>
      <w:r>
        <w:rPr>
          <w:rFonts w:ascii="Times New Roman" w:cs="Times New Roman" w:eastAsia="Times New Roman" w:hAnsi="Times New Roman"/>
          <w:sz w:val="24"/>
          <w:szCs w:val="24"/>
        </w:rPr>
        <w:t xml:space="preserve">Promotion IR4 — Année pédagogique 2025-2026</w:t>
      </w:r>
    </w:p>
    <w:p>
      <w:pPr>
        <w:spacing w:after="300"/>
        <w:jc w:val="center"/>
      </w:pPr>
      <w:r>
        <w:rPr>
          <w:rFonts w:ascii="Times New Roman" w:cs="Times New Roman" w:eastAsia="Times New Roman" w:hAnsi="Times New Roman"/>
          <w:b/>
          <w:bCs/>
          <w:sz w:val="36"/>
          <w:szCs w:val="36"/>
        </w:rPr>
        <w:t xml:space="preserve">RAPPORT DE STAGE DE 4ᵉ ANNÉE</w:t>
      </w:r>
    </w:p>
    <w:p>
      <w:pPr>
        <w:pBdr>
          <w:top w:val="single" w:color="1F3864" w:sz="6" w:space="8"/>
          <w:bottom w:val="single" w:color="1F3864" w:sz="6" w:space="8"/>
          <w:left w:val="single" w:color="1F3864" w:sz="6" w:space="8"/>
          <w:right w:val="single" w:color="1F3864" w:sz="6" w:space="8"/>
        </w:pBdr>
        <w:spacing w:after="100" w:before="100"/>
        <w:jc w:val="center"/>
      </w:pPr>
      <w:r>
        <w:rPr>
          <w:rFonts w:ascii="Times New Roman" w:cs="Times New Roman" w:eastAsia="Times New Roman" w:hAnsi="Times New Roman"/>
          <w:b/>
          <w:bCs/>
          <w:sz w:val="30"/>
          <w:szCs w:val="30"/>
        </w:rPr>
        <w:t xml:space="preserve">Conception et développement d'un chatbot personnel local de recherche quantitative et d'aide à la conception de stratégies de trading</w:t>
      </w:r>
    </w:p>
    <w:p>
      <w:pPr>
        <w:spacing w:after="500"/>
        <w:jc w:val="center"/>
      </w:pPr>
      <w:r>
        <w:rPr>
          <w:rFonts w:ascii="Times New Roman" w:cs="Times New Roman" w:eastAsia="Times New Roman" w:hAnsi="Times New Roman"/>
          <w:i/>
          <w:iCs/>
          <w:sz w:val="24"/>
          <w:szCs w:val="24"/>
        </w:rPr>
        <w:t xml:space="preserve">Transformation d'un corpus documentaire financier en connaissances vérifiables, traçables et exploitables, par une architecture locale fondée sur les preuves</w:t>
      </w:r>
    </w:p>
    <w:p>
      <w:pPr>
        <w:spacing w:after="140" w:before="60"/>
        <w:jc w:val="left"/>
      </w:pPr>
      <w:r>
        <w:rPr>
          <w:rFonts w:ascii="Times New Roman" w:cs="Times New Roman" w:eastAsia="Times New Roman" w:hAnsi="Times New Roman"/>
          <w:b/>
          <w:bCs/>
          <w:highlight w:val="yellow"/>
          <w:highlightCs w:val="yellow"/>
        </w:rPr>
        <w:t xml:space="preserve">[À COMPLÉTER — Prénom NOM de l'élève ingénieur]</w:t>
      </w:r>
    </w:p>
    <w:p>
      <w:pPr>
        <w:spacing w:after="120"/>
        <w:jc w:val="center"/>
      </w:pPr>
      <w:r>
        <w:rPr>
          <w:rFonts w:ascii="Times New Roman" w:cs="Times New Roman" w:eastAsia="Times New Roman" w:hAnsi="Times New Roman"/>
          <w:b/>
          <w:bCs/>
          <w:sz w:val="24"/>
          <w:szCs w:val="24"/>
        </w:rPr>
        <w:t xml:space="preserve">Structure d'accueil : Sybella SA</w:t>
      </w:r>
    </w:p>
    <w:p>
      <w:pPr>
        <w:spacing w:after="140" w:before="60"/>
        <w:jc w:val="left"/>
      </w:pPr>
      <w:r>
        <w:rPr>
          <w:rFonts w:ascii="Times New Roman" w:cs="Times New Roman" w:eastAsia="Times New Roman" w:hAnsi="Times New Roman"/>
          <w:b/>
          <w:bCs/>
          <w:highlight w:val="yellow"/>
          <w:highlightCs w:val="yellow"/>
        </w:rPr>
        <w:t xml:space="preserve">[À COMPLÉTER — Dates du stage : du JJ/MM/2026 au JJ/MM/2026 (8 semaines minimum)]</w:t>
      </w:r>
    </w:p>
    <w:p>
      <w:pPr>
        <w:spacing w:after="140" w:before="60"/>
        <w:jc w:val="left"/>
      </w:pPr>
      <w:r>
        <w:rPr>
          <w:rFonts w:ascii="Times New Roman" w:cs="Times New Roman" w:eastAsia="Times New Roman" w:hAnsi="Times New Roman"/>
          <w:b/>
          <w:bCs/>
          <w:highlight w:val="yellow"/>
          <w:highlightCs w:val="yellow"/>
        </w:rPr>
        <w:t xml:space="preserve">[À COMPLÉTER — Maître de stage : Prénom NOM — Fonction]</w:t>
      </w:r>
    </w:p>
    <w:p>
      <w:pPr>
        <w:spacing w:after="140" w:before="60"/>
        <w:jc w:val="left"/>
      </w:pPr>
      <w:r>
        <w:rPr>
          <w:rFonts w:ascii="Times New Roman" w:cs="Times New Roman" w:eastAsia="Times New Roman" w:hAnsi="Times New Roman"/>
          <w:b/>
          <w:bCs/>
          <w:highlight w:val="yellow"/>
          <w:highlightCs w:val="yellow"/>
        </w:rPr>
        <w:t xml:space="preserve">[À COMPLÉTER — Tuteur pédagogique ESAIP : Prénom NOM]</w:t>
      </w:r>
    </w:p>
    <w:p>
      <w:pPr>
        <w:pageBreakBefore/>
        <w:spacing w:after="300"/>
        <w:jc w:val="center"/>
      </w:pPr>
      <w:r>
        <w:rPr>
          <w:rFonts w:ascii="Times New Roman" w:cs="Times New Roman" w:eastAsia="Times New Roman" w:hAnsi="Times New Roman"/>
          <w:b/>
          <w:bCs/>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before="200"/>
        <w:jc w:val="both"/>
      </w:pPr>
      <w:r>
        <w:rPr>
          <w:rFonts w:ascii="Times New Roman" w:cs="Times New Roman" w:eastAsia="Times New Roman" w:hAnsi="Times New Roman"/>
          <w:i/>
          <w:iCs/>
          <w:sz w:val="20"/>
          <w:szCs w:val="20"/>
        </w:rPr>
        <w:t xml:space="preserve">Remarque : après ouverture dans Word, faire un clic droit sur le sommaire puis « Mettre à jour les champs » pour générer la table et la pagination.</w:t>
      </w:r>
    </w:p>
    <w:p>
      <w:pPr>
        <w:pStyle w:val="Heading1"/>
        <w:pageBreakBefore/>
        <w:spacing w:after="240"/>
      </w:pPr>
      <w:r>
        <w:rPr>
          <w:rFonts w:ascii="Times New Roman" w:cs="Times New Roman" w:eastAsia="Times New Roman" w:hAnsi="Times New Roman"/>
          <w:b/>
          <w:bCs/>
        </w:rPr>
        <w:t xml:space="preserve">Remerciements</w:t>
      </w:r>
    </w:p>
    <w:p>
      <w:pPr>
        <w:spacing w:after="140" w:line="300"/>
        <w:jc w:val="both"/>
      </w:pPr>
      <w:r>
        <w:rPr>
          <w:rFonts w:ascii="Times New Roman" w:cs="Times New Roman" w:eastAsia="Times New Roman" w:hAnsi="Times New Roman"/>
        </w:rPr>
        <w:t xml:space="preserve">Je tiens à exprimer mes sincères remerciements à la direction de Sybella SA pour m'avoir accueilli et offert l'opportunité d'effectuer mon stage de quatrième année du cycle ingénieur au sein de son entreprise.</w:t>
      </w:r>
    </w:p>
    <w:p>
      <w:pPr>
        <w:spacing w:after="140" w:line="300"/>
        <w:jc w:val="both"/>
      </w:pPr>
      <w:r>
        <w:rPr>
          <w:rFonts w:ascii="Times New Roman" w:cs="Times New Roman" w:eastAsia="Times New Roman" w:hAnsi="Times New Roman"/>
        </w:rPr>
        <w:t xml:space="preserve">Mes remerciements vont tout particulièrement à mon maître de stage, pour son encadrement, son soutien et ses conseils précieux durant toute la durée du stage — tant sur la conduite du projet que sur l'usage professionnel et maîtrisé des outils d'intelligence artificielle.</w:t>
      </w:r>
    </w:p>
    <w:p>
      <w:pPr>
        <w:spacing w:after="140" w:line="300"/>
        <w:jc w:val="both"/>
      </w:pPr>
      <w:r>
        <w:rPr>
          <w:rFonts w:ascii="Times New Roman" w:cs="Times New Roman" w:eastAsia="Times New Roman" w:hAnsi="Times New Roman"/>
        </w:rPr>
        <w:t xml:space="preserve">Je remercie enfin mon tuteur pédagogique ainsi que l'équipe enseignante de l'ESAIP pour la formation dispensée en cycle ingénieur Informatique et Réseaux, dont les enseignements en architecture logicielle, en systèmes d'information, en réseaux et en gestion de projet ont directement nourri les choix techniques et méthodologiques mis en œuvre au cours de cette mission.</w:t>
      </w:r>
    </w:p>
    <w:p>
      <w:pPr>
        <w:pStyle w:val="Heading1"/>
        <w:pageBreakBefore/>
        <w:spacing w:after="240"/>
      </w:pPr>
      <w:r>
        <w:rPr>
          <w:rFonts w:ascii="Times New Roman" w:cs="Times New Roman" w:eastAsia="Times New Roman" w:hAnsi="Times New Roman"/>
          <w:b/>
          <w:bCs/>
        </w:rPr>
        <w:t xml:space="preserve">Résumé et mots-clés</w:t>
      </w:r>
    </w:p>
    <w:p>
      <w:pPr>
        <w:pStyle w:val="Heading2"/>
        <w:spacing w:after="160" w:before="280"/>
      </w:pPr>
      <w:r>
        <w:rPr>
          <w:rFonts w:ascii="Times New Roman" w:cs="Times New Roman" w:eastAsia="Times New Roman" w:hAnsi="Times New Roman"/>
          <w:b/>
          <w:bCs/>
        </w:rPr>
        <w:t xml:space="preserve">Résumé</w:t>
      </w:r>
    </w:p>
    <w:p>
      <w:pPr>
        <w:spacing w:after="140" w:line="300"/>
        <w:jc w:val="both"/>
      </w:pPr>
      <w:r>
        <w:rPr>
          <w:rFonts w:ascii="Times New Roman" w:cs="Times New Roman" w:eastAsia="Times New Roman" w:hAnsi="Times New Roman"/>
        </w:rPr>
        <w:t xml:space="preserve">Ce rapport présente la conception, le développement et l'évaluation d'un chatbot personnel, exécuté intégralement en local, destiné à la recherche quantitative et à l'aide à la conception de stratégies de trading. Le point de départ du projet est une bibliothèque personnelle volumineuse de documents PDF consacrés au trading, à l'investissement, à la finance quantitative et à la gestion du risque : l'objectif est de capitaliser cette connaissance accumulée en permettant à son utilisateur d'interroger le corpus en langage naturel et d'obtenir des réponses vérifiées, citées et traçables jusqu'à la page et au fragment source.</w:t>
      </w:r>
    </w:p>
    <w:p>
      <w:pPr>
        <w:spacing w:after="140" w:line="300"/>
        <w:jc w:val="both"/>
      </w:pPr>
      <w:r>
        <w:rPr>
          <w:rFonts w:ascii="Times New Roman" w:cs="Times New Roman" w:eastAsia="Times New Roman" w:hAnsi="Times New Roman"/>
        </w:rPr>
        <w:t xml:space="preserve">Plutôt qu'un simple assemblage « discussion avec des PDF », le système gouverne une chaîne épistémique complète : document source, version canonique, preuve localisable, affirmation vérifiée, synthèse conditionnelle, stratégie candidate attribuée, expérience reproductible et résultat conservé. L'architecture retenue est un monolithe modulaire conçu selon le Domain-Driven Design (sept bounded contexts), déployé sur une topologie locale à deux hôtes : un NVIDIA DGX Spark dédié à l'inférence du modèle Gemma servi par vLLM, et un hôte Docker local hébergeant l'application, PostgreSQL, Qdrant et le pipeline documentaire fondé sur Docling et OCRmyPDF. Le développement a suivi un processus BDD/TDD strict, gouverné par des ADR, des gates automatisées et une matrice de traçabilité, et a fait l'objet d'une évaluation pilote chiffrée conduisant à un rapport d'acceptation V1 transparent.</w:t>
      </w:r>
    </w:p>
    <w:p>
      <w:pPr>
        <w:pStyle w:val="Heading2"/>
        <w:spacing w:after="160" w:before="280"/>
      </w:pPr>
      <w:r>
        <w:rPr>
          <w:rFonts w:ascii="Times New Roman" w:cs="Times New Roman" w:eastAsia="Times New Roman" w:hAnsi="Times New Roman"/>
          <w:b/>
          <w:bCs/>
        </w:rPr>
        <w:t xml:space="preserve">Mots-clés</w:t>
      </w:r>
    </w:p>
    <w:p>
      <w:pPr>
        <w:spacing w:after="140" w:line="300"/>
        <w:jc w:val="both"/>
      </w:pPr>
      <w:r>
        <w:rPr>
          <w:rFonts w:ascii="Times New Roman" w:cs="Times New Roman" w:eastAsia="Times New Roman" w:hAnsi="Times New Roman"/>
          <w:i/>
          <w:iCs/>
        </w:rPr>
        <w:t xml:space="preserve">Chatbot local ; ingénierie IA ; LLM ; RAG ; Gemma ; vLLM ; DGX Spark ; Qdrant ; PostgreSQL ; Docling ; OCR ; Domain-Driven Design ; monolithe modulaire ; preuves et citations ; traçabilité ; trading quantitatif ; stratégie ; backtest ; BDD/TDD ; ADR ; confidentialité ; local-first.</w:t>
      </w:r>
    </w:p>
    <w:p>
      <w:pPr>
        <w:pStyle w:val="Heading1"/>
        <w:pageBreakBefore/>
        <w:spacing w:after="240"/>
      </w:pPr>
      <w:r>
        <w:rPr>
          <w:rFonts w:ascii="Times New Roman" w:cs="Times New Roman" w:eastAsia="Times New Roman" w:hAnsi="Times New Roman"/>
          <w:b/>
          <w:bCs/>
        </w:rPr>
        <w:t xml:space="preserve">1. Introduction</w:t>
      </w:r>
    </w:p>
    <w:p>
      <w:pPr>
        <w:spacing w:after="140" w:line="300"/>
        <w:jc w:val="both"/>
      </w:pPr>
      <w:r>
        <w:rPr>
          <w:rFonts w:ascii="Times New Roman" w:cs="Times New Roman" w:eastAsia="Times New Roman" w:hAnsi="Times New Roman"/>
        </w:rPr>
        <w:t xml:space="preserve">L'irruption des grands modèles de langage (LLM) dans le quotidien professionnel a profondément modifié la manière d'accéder à l'information. En quelques années, l'ingénierie de l'IA, c'est-à-dire la discipline consistant à construire des applications fiables au-dessus de modèles probabilistes, s'est imposée comme un champ à part entière du génie logiciel, avec ses patrons d'architecture, ses méthodes d'évaluation et ses garde-fous propres. Dans le même temps, une limite structurelle de ces modèles est devenue évidente pour quiconque cherche à les utiliser sérieusement dans un domaine exigeant : un LLM produit des réponses plausibles, mais rien ne garantit qu'elles soient exactes, sourcées ni reproductibles.</w:t>
      </w:r>
    </w:p>
    <w:p>
      <w:pPr>
        <w:spacing w:after="140" w:line="300"/>
        <w:jc w:val="both"/>
      </w:pPr>
      <w:r>
        <w:rPr>
          <w:rFonts w:ascii="Times New Roman" w:cs="Times New Roman" w:eastAsia="Times New Roman" w:hAnsi="Times New Roman"/>
        </w:rPr>
        <w:t xml:space="preserve">Le domaine de la finance quantitative illustre parfaitement cette tension. Un praticien du trading systématique accumule au fil des années une bibliothèque considérable de livres, d'articles académiques et d'études empiriques au format PDF. Cette connaissance existe, elle a été payée en temps de lecture et en expérience, mais elle reste difficile à mobiliser : retrouver l'étude qui documentait l'effet d'un filtre de tendance sur une stratégie de momentum, vérifier sur quel univers d'actifs et sur quelle période un résultat avait été mesuré, ou confronter deux sources contradictoires, demande des heures de recherche manuelle. C'est ce constat, appliqué à ma propre bibliothèque personnelle de documents consacrés au trading et à l'investissement, qui est à l'origine du projet présenté dans ce rapport.</w:t>
      </w:r>
    </w:p>
    <w:p>
      <w:pPr>
        <w:spacing w:after="140" w:line="300"/>
        <w:jc w:val="both"/>
      </w:pPr>
      <w:r>
        <w:rPr>
          <w:rFonts w:ascii="Times New Roman" w:cs="Times New Roman" w:eastAsia="Times New Roman" w:hAnsi="Times New Roman"/>
        </w:rPr>
        <w:t xml:space="preserve">La mission qui m'a été confiée durant ce stage de quatrième année consistait à concevoir, développer et évaluer un chatbot personnel de recherche quantitative et de conception de stratégies de trading, destiné à un usage strictement personnel et exécuté intégralement en local. Le système doit permettre à son unique utilisateur d'interroger le corpus en langage naturel, d'obtenir des réponses appuyées sur des citations ouvrables jusqu'à la page et au fragment d'origine, de produire des synthèses multi-sources respectant les conditions et limites des études, puis de transformer ces connaissances en stratégies candidates dont chaque règle possède une origine explicite, testables au travers d'expériences reproductibles.</w:t>
      </w:r>
    </w:p>
    <w:p>
      <w:pPr>
        <w:spacing w:after="140" w:line="300"/>
        <w:jc w:val="both"/>
      </w:pPr>
      <w:r>
        <w:rPr>
          <w:rFonts w:ascii="Times New Roman" w:cs="Times New Roman" w:eastAsia="Times New Roman" w:hAnsi="Times New Roman"/>
        </w:rPr>
        <w:t xml:space="preserve">L'exigence centrale du projet n'est donc pas conversationnelle mais épistémique : une réponse plausible ne doit jamais être présentée comme une connaissance établie. Cette exigence, combinée à des contraintes fortes de confidentialité qui excluent tout recours à des services d'IA en nuage, a structuré l'ensemble des choix d'architecture, de méthode et d'outillage décrits dans les chapitres qui suivent.</w:t>
      </w:r>
    </w:p>
    <w:p>
      <w:pPr>
        <w:spacing w:after="140" w:line="300"/>
        <w:jc w:val="both"/>
      </w:pPr>
      <w:r>
        <w:rPr>
          <w:rFonts w:ascii="Times New Roman" w:cs="Times New Roman" w:eastAsia="Times New Roman" w:hAnsi="Times New Roman"/>
        </w:rPr>
        <w:t xml:space="preserve">Le présent rapport suit la progression du projet. Le chapitre 2 présente le contexte global du stage : la structure d'accueil, le contexte technologique de l'ingénierie IA et la genèse du besoin. Le chapitre 3 précise mon positionnement et mes responsabilités. Le chapitre 4 formalise le cahier des charges : capacités attendues, exigences non fonctionnelles, principes directeurs et jalons. Le chapitre 5 expose la méthodologie et les outils : état de l'art de l'ingénierie IA, approche Domain-Driven Design, processus BDD/TDD gouverné par des ADR et des gates automatisées, architecture technique à deux hôtes. Le chapitre 6 détaille la réalisation et les résultats obtenus, bounded context par bounded context, jusqu'à l'évaluation pilote et au rapport d'acceptation V1. Le chapitre 7 dresse un bilan critique du travail accompli, des difficultés rencontrées et des perspectives, avant la conclusion.</w:t>
      </w:r>
    </w:p>
    <w:p>
      <w:pPr>
        <w:pStyle w:val="Heading1"/>
        <w:pageBreakBefore/>
        <w:spacing w:after="240"/>
      </w:pPr>
      <w:r>
        <w:rPr>
          <w:rFonts w:ascii="Times New Roman" w:cs="Times New Roman" w:eastAsia="Times New Roman" w:hAnsi="Times New Roman"/>
          <w:b/>
          <w:bCs/>
        </w:rPr>
        <w:t xml:space="preserve">2. Contexte global du stage</w:t>
      </w:r>
    </w:p>
    <w:p>
      <w:pPr>
        <w:pStyle w:val="Heading2"/>
        <w:spacing w:after="160" w:before="280"/>
      </w:pPr>
      <w:r>
        <w:rPr>
          <w:rFonts w:ascii="Times New Roman" w:cs="Times New Roman" w:eastAsia="Times New Roman" w:hAnsi="Times New Roman"/>
          <w:b/>
          <w:bCs/>
        </w:rPr>
        <w:t xml:space="preserve">2.1. Présentation de la structure d'accueil</w:t>
      </w:r>
    </w:p>
    <w:p>
      <w:pPr>
        <w:spacing w:after="140" w:line="300"/>
        <w:jc w:val="both"/>
      </w:pPr>
      <w:r>
        <w:rPr>
          <w:rFonts w:ascii="Times New Roman" w:cs="Times New Roman" w:eastAsia="Times New Roman" w:hAnsi="Times New Roman"/>
        </w:rPr>
        <w:t xml:space="preserve">La société Sybella SA est une jeune entreprise dont l'activité couvre principalement le conseil en économie, en organisation d'entreprise et en innovation technologique. Dans ce cadre, elle s'intéresse particulièrement au domaine de la finance quantitative et, plus spécifiquement, au développement d'outils d'aide à la décision appliqués à la gestion de portefeuilles d'investissement et au trading systématique. C'est au croisement de ces deux axes — l'innovation technologique et la finance quantitative — que s'inscrit le sujet de stage présenté dans ce rapport.</w:t>
      </w:r>
    </w:p>
    <w:p>
      <w:pPr>
        <w:spacing w:after="140" w:line="300"/>
        <w:jc w:val="both"/>
      </w:pPr>
      <w:r>
        <w:rPr>
          <w:rFonts w:ascii="Times New Roman" w:cs="Times New Roman" w:eastAsia="Times New Roman" w:hAnsi="Times New Roman"/>
        </w:rPr>
        <w:t xml:space="preserve">Une particularité de l'environnement de travail mérite d'être soulignée dès cette présentation. Tout au long du stage, j'ai reçu pour consigne d'utiliser au maximum les outils d'intelligence artificielle générative — principalement ceux d'OpenAI, mais aussi Claude (Anthropic) et Gemini (Google) — dans toutes les dimensions du travail d'ingénieur : recherche, conception, développement, revue et documentation. Cette immersion m'a permis de comprendre comment faire de l'IA un véritable outil de productivité tout en restant maître de mon projet : c'est l'ingénieur qui fixe le cap, spécifie le besoin, contrôle les productions et décide. J'en retiens une leçon simple, qui traverse l'ensemble de ce rapport : on obtient les réponses que la qualité de ses questions mérite.</w:t>
      </w:r>
    </w:p>
    <w:p>
      <w:pPr>
        <w:spacing w:after="140" w:before="60"/>
        <w:jc w:val="left"/>
      </w:pPr>
      <w:r>
        <w:rPr>
          <w:rFonts w:ascii="Times New Roman" w:cs="Times New Roman" w:eastAsia="Times New Roman" w:hAnsi="Times New Roman"/>
          <w:b/>
          <w:bCs/>
          <w:highlight w:val="yellow"/>
          <w:highlightCs w:val="yellow"/>
        </w:rPr>
        <w:t xml:space="preserve">[À COMPLÉTER — Compléter si souhaité : année de création, implantation, effectif et organisation de Sybella SA.]</w:t>
      </w:r>
    </w:p>
    <w:p>
      <w:pPr>
        <w:pStyle w:val="Heading2"/>
        <w:spacing w:after="160" w:before="280"/>
      </w:pPr>
      <w:r>
        <w:rPr>
          <w:rFonts w:ascii="Times New Roman" w:cs="Times New Roman" w:eastAsia="Times New Roman" w:hAnsi="Times New Roman"/>
          <w:b/>
          <w:bCs/>
        </w:rPr>
        <w:t xml:space="preserve">2.2. Contexte technologique : l'essor de l'ingénierie IA</w:t>
      </w:r>
    </w:p>
    <w:p>
      <w:pPr>
        <w:spacing w:after="140" w:line="300"/>
        <w:jc w:val="both"/>
      </w:pPr>
      <w:r>
        <w:rPr>
          <w:rFonts w:ascii="Times New Roman" w:cs="Times New Roman" w:eastAsia="Times New Roman" w:hAnsi="Times New Roman"/>
        </w:rPr>
        <w:t xml:space="preserve">Le projet s'inscrit dans un moment technologique particulier. Depuis 2023, les LLM sont devenus des composants applicatifs à part entière, accessibles soit sous forme de services en nuage, soit sous forme de modèles à poids ouverts exécutables sur du matériel local. Une littérature d'ingénierie s'est constituée autour de leur mise en production ; l'ouvrage de Jay Wengrow, A Common-Sense Guide to AI Engineering, qui a servi de référence méthodologique tout au long du stage, en synthétise les fondamentaux : un LLM est un prédicteur statistique du mot suivant, par nature non déterministe, sujet aux hallucinations, et dont l'intégration applicative exige un changement de posture par rapport au génie logiciel classique — on ne « débogue » pas un modèle, on l'évalue, on le contraint et on encadre ses sorties.</w:t>
      </w:r>
    </w:p>
    <w:p>
      <w:pPr>
        <w:spacing w:after="140" w:line="300"/>
        <w:jc w:val="both"/>
      </w:pPr>
      <w:r>
        <w:rPr>
          <w:rFonts w:ascii="Times New Roman" w:cs="Times New Roman" w:eastAsia="Times New Roman" w:hAnsi="Times New Roman"/>
        </w:rPr>
        <w:t xml:space="preserve">Trois évolutions récentes rendent aujourd'hui réaliste un assistant documentaire entièrement local. La première est la maturité des modèles à poids ouverts : la famille Gemma de Google offre des modèles de plusieurs dizaines de milliards de paramètres dont la qualité, sur des tâches de synthèse et d'extraction en français et en anglais, approche celle des services propriétaires. La deuxième est la maturité des serveurs d'inférence : vLLM expose un modèle local derrière une API compatible OpenAI, avec un traitement par lots continu qui rend le débit exploitable. La troisième est l'apparition de matériel d'inférence personnel : le NVIDIA DGX Spark, station compacte dotée d'une mémoire unifiée importante, permet de servir localement un modèle de cette taille, quantifié au format NVFP4, avec des latences compatibles avec un usage interactif.</w:t>
      </w:r>
    </w:p>
    <w:p>
      <w:pPr>
        <w:spacing w:after="140" w:line="300"/>
        <w:jc w:val="both"/>
      </w:pPr>
      <w:r>
        <w:rPr>
          <w:rFonts w:ascii="Times New Roman" w:cs="Times New Roman" w:eastAsia="Times New Roman" w:hAnsi="Times New Roman"/>
        </w:rPr>
        <w:t xml:space="preserve">En parallèle, le patron d'architecture RAG (Retrieval-Augmented Generation) s'est imposé comme la réponse standard au problème de l'ancrage factuel : plutôt que d'espérer que le modèle « sache », on recherche dans un corpus les passages pertinents et on les injecte dans le prompt, en demandant au modèle de s'y tenir et de citer ses sources. La littérature récente insiste toutefois sur les limites du RAG naïf : qualité de la conversion documentaire, découpage en chunks, rappel du moteur de recherche, gestion des contradictions entre sources et évaluation systématique restent les vrais points durs. C'est précisément sur ces points durs que le projet a concentré son effort.</w:t>
      </w:r>
    </w:p>
    <w:p>
      <w:pPr>
        <w:pStyle w:val="Heading2"/>
        <w:spacing w:after="160" w:before="280"/>
      </w:pPr>
      <w:r>
        <w:rPr>
          <w:rFonts w:ascii="Times New Roman" w:cs="Times New Roman" w:eastAsia="Times New Roman" w:hAnsi="Times New Roman"/>
          <w:b/>
          <w:bCs/>
        </w:rPr>
        <w:t xml:space="preserve">2.3. Genèse du projet : une bibliothèque personnelle à valoriser</w:t>
      </w:r>
    </w:p>
    <w:p>
      <w:pPr>
        <w:spacing w:after="140" w:line="300"/>
        <w:jc w:val="both"/>
      </w:pPr>
      <w:r>
        <w:rPr>
          <w:rFonts w:ascii="Times New Roman" w:cs="Times New Roman" w:eastAsia="Times New Roman" w:hAnsi="Times New Roman"/>
        </w:rPr>
        <w:t xml:space="preserve">Le besoin initial est concret. L'utilisateur du système dispose d'une bibliothèque personnelle de plusieurs centaines de documents PDF consacrés au trading, à l'investissement, à la finance quantitative et à la gestion du risque : ouvrages de référence, articles académiques, études empiriques de stratégies, documentation de gestion des risques professionnels. Ce corpus est hétérogène à tous les niveaux : PDF numériques propres côtoient des numérisations inclinées ou bruitées, d'anciennes couches OCR défectueuses, des documents mixtes, des textes en français et en anglais, des tableaux financiers, des équations et des graphiques.</w:t>
      </w:r>
    </w:p>
    <w:p>
      <w:pPr>
        <w:spacing w:after="140" w:line="300"/>
        <w:jc w:val="both"/>
      </w:pPr>
      <w:r>
        <w:rPr>
          <w:rFonts w:ascii="Times New Roman" w:cs="Times New Roman" w:eastAsia="Times New Roman" w:hAnsi="Times New Roman"/>
        </w:rPr>
        <w:t xml:space="preserve">L'idée fondatrice est simple à énoncer : créer un chatbot qui répond aux questions de trading et d'investissement de son utilisateur en capitalisant l'expérience accumulée dans ces PDF. Sa mise en œuvre sérieuse l'est beaucoup moins. Une réponse utile dans ce domaine doit préciser d'où vient l'information, sur quelles données et quelle période elle a été établie, si d'autres sources indépendantes la confirment et ce qu'elle ne permet pas de conclure. Le problème central du projet n'est donc pas de « discuter avec des PDF », mais de gouverner la chaîne complète qui va du document source au résultat interprétable. La Figure 1 représente cette chaîne épistémique de bout en bout : toute la conception du système découle de la volonté de gouverner chacun de ses huit maillons.</w:t>
      </w:r>
    </w:p>
    <w:p>
      <w:pPr>
        <w:keepNext/>
        <w:spacing w:after="40" w:before="120"/>
        <w:jc w:val="center"/>
      </w:pPr>
      <w:r>
        <w:drawing>
          <wp:inline distT="0" distB="0" distL="0" distR="0">
            <wp:extent cx="5715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19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1 — La chaîne épistémique gouvernée par le système</w:t>
      </w:r>
    </w:p>
    <w:p>
      <w:pPr>
        <w:pStyle w:val="Heading2"/>
        <w:spacing w:after="160" w:before="280"/>
      </w:pPr>
      <w:r>
        <w:rPr>
          <w:rFonts w:ascii="Times New Roman" w:cs="Times New Roman" w:eastAsia="Times New Roman" w:hAnsi="Times New Roman"/>
          <w:b/>
          <w:bCs/>
        </w:rPr>
        <w:t xml:space="preserve">2.4. Enjeux : confidentialité, traçabilité, exploitation locale</w:t>
      </w:r>
    </w:p>
    <w:p>
      <w:pPr>
        <w:spacing w:after="140" w:line="300"/>
        <w:jc w:val="both"/>
      </w:pPr>
      <w:r>
        <w:rPr>
          <w:rFonts w:ascii="Times New Roman" w:cs="Times New Roman" w:eastAsia="Times New Roman" w:hAnsi="Times New Roman"/>
        </w:rPr>
        <w:t xml:space="preserve">Trois enjeux ont structuré le cadrage du projet. Le premier est la confidentialité. Le corpus est constitué de documents personnels, pour partie sous droits, et les questions posées au système révèlent les axes de recherche et les stratégies envisagées par son utilisateur. L'envoi de ces contenus vers un service d'IA en nuage a été exclu d'emblée : le système est local-first, l'ensemble des services applicatifs n'écoute que sur l'hôte local et le seul flux réseau autorisé est celui qui relie, sur le réseau privé, l'application au serveur d'inférence.</w:t>
      </w:r>
    </w:p>
    <w:p>
      <w:pPr>
        <w:spacing w:after="140" w:line="300"/>
        <w:jc w:val="both"/>
      </w:pPr>
      <w:r>
        <w:rPr>
          <w:rFonts w:ascii="Times New Roman" w:cs="Times New Roman" w:eastAsia="Times New Roman" w:hAnsi="Times New Roman"/>
        </w:rPr>
        <w:t xml:space="preserve">Le deuxième enjeu est la traçabilité. Dans un domaine où une conclusion erronée peut avoir des conséquences financières, chaque affirmation factuelle publiée par le système doit rester reliée à une preuve localisable — le PDF, sa version, la page, le fragment — et la portée d'une conclusion ne doit jamais dépasser celle de ses preuves. Ce principe a des conséquences en cascade sur la conception : il impose une version canonique de référence pour chaque document, un identifiant de localisation partagé par tous les modules, et une politique d'abstention explicite lorsque les preuves sont insuffisantes ou contradictoires.</w:t>
      </w:r>
    </w:p>
    <w:p>
      <w:pPr>
        <w:spacing w:after="140" w:line="300"/>
        <w:jc w:val="both"/>
      </w:pPr>
      <w:r>
        <w:rPr>
          <w:rFonts w:ascii="Times New Roman" w:cs="Times New Roman" w:eastAsia="Times New Roman" w:hAnsi="Times New Roman"/>
        </w:rPr>
        <w:t xml:space="preserve">Le troisième enjeu est l'exploitabilité d'un système personnel dans la durée : un outil local n'a de valeur que s'il survit aux pannes, aux mises à jour et aux erreurs de manipulation. Sauvegarde et restauration éprouvées, monitoring local, politique de rétention et procédures d'exploitation documentées faisaient donc partie du périmètre au même titre que les fonctionnalités visibles.</w:t>
      </w:r>
    </w:p>
    <w:p>
      <w:pPr>
        <w:spacing w:after="140" w:line="300"/>
        <w:jc w:val="both"/>
      </w:pPr>
      <w:r>
        <w:rPr>
          <w:rFonts w:ascii="Times New Roman" w:cs="Times New Roman" w:eastAsia="Times New Roman" w:hAnsi="Times New Roman"/>
        </w:rPr>
        <w:t xml:space="preserve">Enfin, un garde-fou de périmètre a été posé dès le cadrage et maintenu jusque dans la documentation utilisateur : le système est un outil de recherche documentaire et d'expérimentation. Il ne fournit aucun conseil en investissement, ne formule aucune promesse financière et n'exécute aucun ordre sur un quelconque marché ; les résultats de backtest qu'il produit sont des mesures descriptives, conservées y compris lorsqu'elles sont défavorables.</w:t>
      </w:r>
    </w:p>
    <w:p>
      <w:pPr>
        <w:pStyle w:val="Heading1"/>
        <w:pageBreakBefore/>
        <w:spacing w:after="240"/>
      </w:pPr>
      <w:r>
        <w:rPr>
          <w:rFonts w:ascii="Times New Roman" w:cs="Times New Roman" w:eastAsia="Times New Roman" w:hAnsi="Times New Roman"/>
          <w:b/>
          <w:bCs/>
        </w:rPr>
        <w:t xml:space="preserve">3. Positionnement du stagiaire</w:t>
      </w:r>
    </w:p>
    <w:p>
      <w:pPr>
        <w:pStyle w:val="Heading2"/>
        <w:spacing w:after="160" w:before="280"/>
      </w:pPr>
      <w:r>
        <w:rPr>
          <w:rFonts w:ascii="Times New Roman" w:cs="Times New Roman" w:eastAsia="Times New Roman" w:hAnsi="Times New Roman"/>
          <w:b/>
          <w:bCs/>
        </w:rPr>
        <w:t xml:space="preserve">3.1. Cadre du stage et environnement de travail</w:t>
      </w:r>
    </w:p>
    <w:p>
      <w:pPr>
        <w:spacing w:after="140" w:line="300"/>
        <w:jc w:val="both"/>
      </w:pPr>
      <w:r>
        <w:rPr>
          <w:rFonts w:ascii="Times New Roman" w:cs="Times New Roman" w:eastAsia="Times New Roman" w:hAnsi="Times New Roman"/>
        </w:rPr>
        <w:t xml:space="preserve">Le stage s'est déroulé au sein de la société Sybella SA, dans le cadre de son activité de conseil en innovation technologique appliquée à la finance quantitative.</w:t>
      </w:r>
    </w:p>
    <w:p>
      <w:pPr>
        <w:spacing w:after="140" w:before="60"/>
        <w:jc w:val="left"/>
      </w:pPr>
      <w:r>
        <w:rPr>
          <w:rFonts w:ascii="Times New Roman" w:cs="Times New Roman" w:eastAsia="Times New Roman" w:hAnsi="Times New Roman"/>
          <w:b/>
          <w:bCs/>
          <w:highlight w:val="yellow"/>
          <w:highlightCs w:val="yellow"/>
        </w:rPr>
        <w:t xml:space="preserve">[À COMPLÉTER — Préciser le nom et la fonction du maître de stage, la composition de l'équipe, le lieu et les conditions matérielles de travail.]</w:t>
      </w:r>
    </w:p>
    <w:p>
      <w:pPr>
        <w:spacing w:after="140" w:line="300"/>
        <w:jc w:val="both"/>
      </w:pPr>
      <w:r>
        <w:rPr>
          <w:rFonts w:ascii="Times New Roman" w:cs="Times New Roman" w:eastAsia="Times New Roman" w:hAnsi="Times New Roman"/>
        </w:rPr>
        <w:t xml:space="preserve">Le stage s'est déroulé à la fin du semestre 8 du cycle ingénieur, conformément au cadre pédagogique de l'ESAIP, pour une durée de huit semaines minimum. J'y ai occupé une position d'ingénieur d'étude et de développement en responsabilité de bout en bout sur le projet : à la fois architecte, développeur, testeur et exploitant du système, sous la supervision de mon maître de stage pour les arbitrages fonctionnels et la validation des jalons.</w:t>
      </w:r>
    </w:p>
    <w:p>
      <w:pPr>
        <w:spacing w:after="140" w:line="300"/>
        <w:jc w:val="both"/>
      </w:pPr>
      <w:r>
        <w:rPr>
          <w:rFonts w:ascii="Times New Roman" w:cs="Times New Roman" w:eastAsia="Times New Roman" w:hAnsi="Times New Roman"/>
        </w:rPr>
        <w:t xml:space="preserve">L'environnement matériel mis à ma disposition reflétait la topologie cible du produit : un poste de travail hébergeant l'environnement Docker applicatif (Python 3.11, PostgreSQL, Qdrant, chaîne documentaire) et un NVIDIA DGX Spark dédié à l'inférence du modèle de langage, les deux machines étant reliées par le réseau privé local. Le travail était versionné sous Git, les documents sources volumineux étant suivis par Git LFS, et l'ensemble de la gouvernance du projet (spécifications, décisions d'architecture, tâches, journaux de jalons, rapports d'évaluation) était maintenu dans le dépôt lui-même, au format Markdown.</w:t>
      </w:r>
    </w:p>
    <w:p>
      <w:pPr>
        <w:pStyle w:val="Heading2"/>
        <w:spacing w:after="160" w:before="280"/>
      </w:pPr>
      <w:r>
        <w:rPr>
          <w:rFonts w:ascii="Times New Roman" w:cs="Times New Roman" w:eastAsia="Times New Roman" w:hAnsi="Times New Roman"/>
          <w:b/>
          <w:bCs/>
        </w:rPr>
        <w:t xml:space="preserve">3.2. Mission et responsabilités</w:t>
      </w:r>
    </w:p>
    <w:p>
      <w:pPr>
        <w:spacing w:after="140" w:line="300"/>
        <w:jc w:val="both"/>
      </w:pPr>
      <w:r>
        <w:rPr>
          <w:rFonts w:ascii="Times New Roman" w:cs="Times New Roman" w:eastAsia="Times New Roman" w:hAnsi="Times New Roman"/>
        </w:rPr>
        <w:t xml:space="preserve">La mission couvrait le cycle de vie complet du produit, de la spécification à l'acceptation :</w:t>
      </w:r>
    </w:p>
    <w:p>
      <w:pPr>
        <w:pStyle w:val="ListParagraph"/>
        <w:numPr>
          <w:ilvl w:val="0"/>
          <w:numId w:val="2"/>
        </w:numPr>
        <w:spacing w:after="80" w:line="300"/>
        <w:jc w:val="both"/>
      </w:pPr>
      <w:r>
        <w:rPr>
          <w:rFonts w:ascii="Times New Roman" w:cs="Times New Roman" w:eastAsia="Times New Roman" w:hAnsi="Times New Roman"/>
        </w:rPr>
        <w:t xml:space="preserve">formaliser le domaine et rédiger la spécification unifiée du système (vision, langage du domaine, bounded contexts, invariants, contrats, exigences techniques), aboutissant à une spécification normative versionnée ;</w:t>
      </w:r>
    </w:p>
    <w:p>
      <w:pPr>
        <w:pStyle w:val="ListParagraph"/>
        <w:numPr>
          <w:ilvl w:val="0"/>
          <w:numId w:val="2"/>
        </w:numPr>
        <w:spacing w:after="80" w:line="300"/>
        <w:jc w:val="both"/>
      </w:pPr>
      <w:r>
        <w:rPr>
          <w:rFonts w:ascii="Times New Roman" w:cs="Times New Roman" w:eastAsia="Times New Roman" w:hAnsi="Times New Roman"/>
        </w:rPr>
        <w:t xml:space="preserve">instruire et documenter les décisions d'architecture sous forme d'ADR (Architecture Decision Records), soit trente décisions acceptées à la fin du stage ;</w:t>
      </w:r>
    </w:p>
    <w:p>
      <w:pPr>
        <w:pStyle w:val="ListParagraph"/>
        <w:numPr>
          <w:ilvl w:val="0"/>
          <w:numId w:val="2"/>
        </w:numPr>
        <w:spacing w:after="80" w:line="300"/>
        <w:jc w:val="both"/>
      </w:pPr>
      <w:r>
        <w:rPr>
          <w:rFonts w:ascii="Times New Roman" w:cs="Times New Roman" w:eastAsia="Times New Roman" w:hAnsi="Times New Roman"/>
        </w:rPr>
        <w:t xml:space="preserve">planifier l'implémentation en quatorze jalons successifs à valeur métier vérifiable, chacun décliné en tâches tracées et journalisées ;</w:t>
      </w:r>
    </w:p>
    <w:p>
      <w:pPr>
        <w:pStyle w:val="ListParagraph"/>
        <w:numPr>
          <w:ilvl w:val="0"/>
          <w:numId w:val="2"/>
        </w:numPr>
        <w:spacing w:after="80" w:line="300"/>
        <w:jc w:val="both"/>
      </w:pPr>
      <w:r>
        <w:rPr>
          <w:rFonts w:ascii="Times New Roman" w:cs="Times New Roman" w:eastAsia="Times New Roman" w:hAnsi="Times New Roman"/>
        </w:rPr>
        <w:t xml:space="preserve">développer le monolithe modulaire Python et sa plateforme (pipeline documentaire, recherche hybride, gouvernance des preuves, réponse vérifiée, conversation, stratégies, expérimentation, passerelle LLM, interface minimale) ;</w:t>
      </w:r>
    </w:p>
    <w:p>
      <w:pPr>
        <w:pStyle w:val="ListParagraph"/>
        <w:numPr>
          <w:ilvl w:val="0"/>
          <w:numId w:val="2"/>
        </w:numPr>
        <w:spacing w:after="80" w:line="300"/>
        <w:jc w:val="both"/>
      </w:pPr>
      <w:r>
        <w:rPr>
          <w:rFonts w:ascii="Times New Roman" w:cs="Times New Roman" w:eastAsia="Times New Roman" w:hAnsi="Times New Roman"/>
        </w:rPr>
        <w:t xml:space="preserve">outiller la qualité : tests d'acceptation et unitaires, gates de gouvernance automatisées, matrice de traçabilité, validation d'architecture ;</w:t>
      </w:r>
    </w:p>
    <w:p>
      <w:pPr>
        <w:pStyle w:val="ListParagraph"/>
        <w:numPr>
          <w:ilvl w:val="0"/>
          <w:numId w:val="2"/>
        </w:numPr>
        <w:spacing w:after="80" w:line="300"/>
        <w:jc w:val="both"/>
      </w:pPr>
      <w:r>
        <w:rPr>
          <w:rFonts w:ascii="Times New Roman" w:cs="Times New Roman" w:eastAsia="Times New Roman" w:hAnsi="Times New Roman"/>
        </w:rPr>
        <w:t xml:space="preserve">conduire l'évaluation pilote chiffrée du système (corpus pilote, benchmarks, décisions de calibration) et publier le rapport d'acceptation V1 ;</w:t>
      </w:r>
    </w:p>
    <w:p>
      <w:pPr>
        <w:pStyle w:val="ListParagraph"/>
        <w:numPr>
          <w:ilvl w:val="0"/>
          <w:numId w:val="2"/>
        </w:numPr>
        <w:spacing w:after="80" w:line="300"/>
        <w:jc w:val="both"/>
      </w:pPr>
      <w:r>
        <w:rPr>
          <w:rFonts w:ascii="Times New Roman" w:cs="Times New Roman" w:eastAsia="Times New Roman" w:hAnsi="Times New Roman"/>
        </w:rPr>
        <w:t xml:space="preserve">documenter l'exploitation : runbooks de démarrage, d'ingestion, de sauvegarde/restauration, d'incident réseau et de monitoring, ainsi que le guide utilisateur V1.</w:t>
      </w:r>
    </w:p>
    <w:p>
      <w:pPr>
        <w:spacing w:after="140" w:line="300"/>
        <w:jc w:val="both"/>
      </w:pPr>
      <w:r>
        <w:rPr>
          <w:rFonts w:ascii="Times New Roman" w:cs="Times New Roman" w:eastAsia="Times New Roman" w:hAnsi="Times New Roman"/>
        </w:rPr>
        <w:t xml:space="preserve">Une particularité méthodologique de la mission mérite d'être soulignée : une partie du développement a été réalisée avec l'assistance d'agents de codage fondés sur des LLM, encadrés par des consignes explicites versionnées dans le dépôt (langue de travail, interdiction des fallbacks silencieux, processus BDD/TDD obligatoire, création systématique d'ADR pour toute décision structurante). Ce mode de travail, représentatif des pratiques émergentes de l'ingénierie logicielle, a constitué en soi un objet d'apprentissage : il déplace l'effort de l'écriture du code vers la spécification du comportement attendu, la revue et le contrôle automatisé — les gates et les tests devenant le véritable contrat entre l'ingénieur et ses outils.</w:t>
      </w:r>
    </w:p>
    <w:p>
      <w:pPr>
        <w:pStyle w:val="Heading2"/>
        <w:spacing w:after="160" w:before="280"/>
      </w:pPr>
      <w:r>
        <w:rPr>
          <w:rFonts w:ascii="Times New Roman" w:cs="Times New Roman" w:eastAsia="Times New Roman" w:hAnsi="Times New Roman"/>
          <w:b/>
          <w:bCs/>
        </w:rPr>
        <w:t xml:space="preserve">3.3. Relations humaines et aspects culturels</w:t>
      </w:r>
    </w:p>
    <w:p>
      <w:pPr>
        <w:spacing w:after="140" w:before="60"/>
        <w:jc w:val="left"/>
      </w:pPr>
      <w:r>
        <w:rPr>
          <w:rFonts w:ascii="Times New Roman" w:cs="Times New Roman" w:eastAsia="Times New Roman" w:hAnsi="Times New Roman"/>
          <w:b/>
          <w:bCs/>
          <w:highlight w:val="yellow"/>
          <w:highlightCs w:val="yellow"/>
        </w:rPr>
        <w:t xml:space="preserve">[À COMPLÉTER — Décrire les interactions avec le maître de stage et l'équipe : rituels (points d'avancement, démonstrations de fin de jalon), modes de communication, culture d'entreprise, éventuelle dimension internationale ou multiculturelle.]</w:t>
      </w:r>
    </w:p>
    <w:p>
      <w:pPr>
        <w:spacing w:after="140" w:line="300"/>
        <w:jc w:val="both"/>
      </w:pPr>
      <w:r>
        <w:rPr>
          <w:rFonts w:ascii="Times New Roman" w:cs="Times New Roman" w:eastAsia="Times New Roman" w:hAnsi="Times New Roman"/>
        </w:rPr>
        <w:t xml:space="preserve">Le fonctionnement du projet reposait sur une communication essentiellement écrite et asynchrone, adaptée à un travail de conception en profondeur : chaque jalon donnait lieu à un journal, chaque décision structurante à une ADR relue avant acceptation, et chaque écart à une trace explicite plutôt qu'à un arrangement oral. Cette culture de l'écrit, exigeante au premier abord, s'est révélée être un puissant outil de collaboration : elle rend les désaccords visibles, les arbitrages auditables et l'état du projet lisible par un tiers à tout moment — qualité précieuse dans le contexte d'un stage, où le maître de stage et le tuteur pédagogique doivent pouvoir évaluer l'avancement sans dépendre de la mémoire du stagiaire.</w:t>
      </w:r>
    </w:p>
    <w:p>
      <w:pPr>
        <w:pStyle w:val="Heading1"/>
        <w:pageBreakBefore/>
        <w:spacing w:after="240"/>
      </w:pPr>
      <w:r>
        <w:rPr>
          <w:rFonts w:ascii="Times New Roman" w:cs="Times New Roman" w:eastAsia="Times New Roman" w:hAnsi="Times New Roman"/>
          <w:b/>
          <w:bCs/>
        </w:rPr>
        <w:t xml:space="preserve">4. Cahier des charges du stage</w:t>
      </w:r>
    </w:p>
    <w:p>
      <w:pPr>
        <w:pStyle w:val="Heading2"/>
        <w:spacing w:after="160" w:before="280"/>
      </w:pPr>
      <w:r>
        <w:rPr>
          <w:rFonts w:ascii="Times New Roman" w:cs="Times New Roman" w:eastAsia="Times New Roman" w:hAnsi="Times New Roman"/>
          <w:b/>
          <w:bCs/>
        </w:rPr>
        <w:t xml:space="preserve">4.1. Problématique et proposition de valeur</w:t>
      </w:r>
    </w:p>
    <w:p>
      <w:pPr>
        <w:spacing w:after="140" w:line="300"/>
        <w:jc w:val="both"/>
      </w:pPr>
      <w:r>
        <w:rPr>
          <w:rFonts w:ascii="Times New Roman" w:cs="Times New Roman" w:eastAsia="Times New Roman" w:hAnsi="Times New Roman"/>
        </w:rPr>
        <w:t xml:space="preserve">Le cahier des charges peut se résumer en une phrase : transformer un corpus financier hétérogène en connaissances vérifiables, puis utiliser ces connaissances pour produire des réponses conversationnelles traçables, des synthèses multi-sources respectant les conditions des études, des stratégies candidates dont chaque règle possède une origine explicite, des protocoles expérimentaux reproductibles et des résultats conservés, y compris lorsqu'ils sont défavorables.</w:t>
      </w:r>
    </w:p>
    <w:p>
      <w:pPr>
        <w:spacing w:after="140" w:line="300"/>
        <w:jc w:val="both"/>
      </w:pPr>
      <w:r>
        <w:rPr>
          <w:rFonts w:ascii="Times New Roman" w:cs="Times New Roman" w:eastAsia="Times New Roman" w:hAnsi="Times New Roman"/>
        </w:rPr>
        <w:t xml:space="preserve">La proposition de valeur pour l'utilisateur unique du système a été formalisée en six capacités : exploiter un corpus volumineux sans perdre la provenance ; distinguer ce que disent les auteurs, ce que déduit le système et ce qui relève d'un choix de conception ; éviter qu'une réponse plausible soit présentée comme une connaissance établie ; ne comparer des résultats que lorsqu'ils sont méthodologiquement comparables ; transformer une idée documentaire en spécification testable sans inventer silencieusement des paramètres ; reproduire chaque expérience à partir de ses entrées, versions et hypothèses.</w:t>
      </w:r>
    </w:p>
    <w:p>
      <w:pPr>
        <w:pStyle w:val="Heading2"/>
        <w:spacing w:after="160" w:before="280"/>
      </w:pPr>
      <w:r>
        <w:rPr>
          <w:rFonts w:ascii="Times New Roman" w:cs="Times New Roman" w:eastAsia="Times New Roman" w:hAnsi="Times New Roman"/>
          <w:b/>
          <w:bCs/>
        </w:rPr>
        <w:t xml:space="preserve">4.2. Exigences fonctionnelles : sept capacités métier</w:t>
      </w:r>
    </w:p>
    <w:p>
      <w:pPr>
        <w:spacing w:after="140" w:line="300"/>
        <w:jc w:val="both"/>
      </w:pPr>
      <w:r>
        <w:rPr>
          <w:rFonts w:ascii="Times New Roman" w:cs="Times New Roman" w:eastAsia="Times New Roman" w:hAnsi="Times New Roman"/>
        </w:rPr>
        <w:t xml:space="preserve">L'analyse du domaine a conduit à découper le besoin en sept sous-domaines, qui deviendront les sept bounded contexts de l'architecture. Chacun porte une responsabilité exclusive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Code</w:t>
            </w:r>
          </w:p>
        </w:tc>
        <w:tc>
          <w:tcPr>
            <w:tcW w:type="dxa" w:w="2300"/>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Contexte</w:t>
            </w:r>
          </w:p>
        </w:tc>
        <w:tc>
          <w:tcPr>
            <w:tcW w:type="dxa" w:w="5826"/>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Responsabilité exclusive</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SP</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Traitement des sources</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Enregistrer, diagnostiquer, convertir, contrôler et publier les versions documentaires canoniques.</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KA</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Accès aux connaissances</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Construire les projections de recherche et retourner des preuves candidates traçables.</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EG</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Gouvernance des preuves</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Créer, vérifier, relier et versionner les affirmations (claims) et leurs preuves.</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RA</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Recherche et réponse</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Planifier une recherche, assembler les preuves, analyser les contradictions et produire une réponse vérifiée.</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CV</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Conversation</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Conserver la continuité du dialogue et résoudre les références de suivi.</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SD</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Conception de stratégies</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Formaliser et compiler des stratégies candidates attribuées.</w:t>
            </w:r>
          </w:p>
        </w:tc>
      </w:tr>
      <w:tr>
        <w:tc>
          <w:tcPr>
            <w:tcW w:type="dxa" w:w="9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EX</w:t>
            </w:r>
          </w:p>
        </w:tc>
        <w:tc>
          <w:tcPr>
            <w:tcW w:type="dxa" w:w="23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Expérimentation</w:t>
            </w:r>
          </w:p>
        </w:tc>
        <w:tc>
          <w:tcPr>
            <w:tcW w:type="dxa" w:w="58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Exécuter des protocoles reproductibles et conserver tous les résultats.</w:t>
            </w:r>
          </w:p>
        </w:tc>
      </w:tr>
    </w:tbl>
    <w:p>
      <w:pPr>
        <w:spacing w:after="200" w:before="60"/>
        <w:jc w:val="center"/>
      </w:pPr>
      <w:r>
        <w:rPr>
          <w:rFonts w:ascii="Times New Roman" w:cs="Times New Roman" w:eastAsia="Times New Roman" w:hAnsi="Times New Roman"/>
          <w:i/>
          <w:iCs/>
          <w:sz w:val="20"/>
          <w:szCs w:val="20"/>
        </w:rPr>
        <w:t xml:space="preserve">Tableau 1 — Les sept bounded contexts métier du système</w:t>
      </w:r>
    </w:p>
    <w:p>
      <w:pPr>
        <w:spacing w:after="140" w:line="300"/>
        <w:jc w:val="both"/>
      </w:pPr>
      <w:r>
        <w:rPr>
          <w:rFonts w:ascii="Times New Roman" w:cs="Times New Roman" w:eastAsia="Times New Roman" w:hAnsi="Times New Roman"/>
        </w:rPr>
        <w:t xml:space="preserve">À ces sept contextes s'ajoute un module technique transverse, la plateforme, qui n'est pas un bounded context métier : passerelle LLM, bus d'événements, file de jobs, configuration, sécurité, observabilité, sauvegarde et rétention. Côté produit, la version V1 devait offrir à l'utilisateur : une conversation locale citée, l'ouverture des références associées aux réponses, une recherche approfondie multi-sources signalant contradictions et couverture insuffisante, la lecture des stratégies candidates (règles, origines, paramètres, diagnostics), la lecture des expériences reproductibles (coûts, hypothèses, période, univers, résultat) et un monitoring local, le tout accessible au travers d'une interface minimale ne nécessitant aucune ligne de commande pour le parcours courant.</w:t>
      </w:r>
    </w:p>
    <w:p>
      <w:pPr>
        <w:pStyle w:val="Heading2"/>
        <w:spacing w:after="160" w:before="280"/>
      </w:pPr>
      <w:r>
        <w:rPr>
          <w:rFonts w:ascii="Times New Roman" w:cs="Times New Roman" w:eastAsia="Times New Roman" w:hAnsi="Times New Roman"/>
          <w:b/>
          <w:bCs/>
        </w:rPr>
        <w:t xml:space="preserve">4.3. Exigences non fonctionnelles</w:t>
      </w:r>
    </w:p>
    <w:p>
      <w:pPr>
        <w:pStyle w:val="ListParagraph"/>
        <w:numPr>
          <w:ilvl w:val="0"/>
          <w:numId w:val="2"/>
        </w:numPr>
        <w:spacing w:after="80" w:line="300"/>
        <w:jc w:val="both"/>
      </w:pPr>
      <w:r>
        <w:rPr>
          <w:rFonts w:ascii="Times New Roman" w:cs="Times New Roman" w:eastAsia="Times New Roman" w:hAnsi="Times New Roman"/>
          <w:b/>
          <w:bCs/>
        </w:rPr>
        <w:t xml:space="preserve">Local-first et confidentialité : </w:t>
      </w:r>
      <w:r>
        <w:rPr>
          <w:rFonts w:ascii="Times New Roman" w:cs="Times New Roman" w:eastAsia="Times New Roman" w:hAnsi="Times New Roman"/>
        </w:rPr>
        <w:t xml:space="preserve">aucun service d'IA en nuage ; exposition réseau limitée à la boucle locale (loopback) ; seul flux autorisé, l'appel d'inférence vers le DGX Spark sur le réseau privé, avec liste blanche d'adresses clientes ; aucune donnée métier durable sur l'hôte d'inférence.</w:t>
      </w:r>
    </w:p>
    <w:p>
      <w:pPr>
        <w:pStyle w:val="ListParagraph"/>
        <w:numPr>
          <w:ilvl w:val="0"/>
          <w:numId w:val="2"/>
        </w:numPr>
        <w:spacing w:after="80" w:line="300"/>
        <w:jc w:val="both"/>
      </w:pPr>
      <w:r>
        <w:rPr>
          <w:rFonts w:ascii="Times New Roman" w:cs="Times New Roman" w:eastAsia="Times New Roman" w:hAnsi="Times New Roman"/>
          <w:b/>
          <w:bCs/>
        </w:rPr>
        <w:t xml:space="preserve">Traçabilité totale : </w:t>
      </w:r>
      <w:r>
        <w:rPr>
          <w:rFonts w:ascii="Times New Roman" w:cs="Times New Roman" w:eastAsia="Times New Roman" w:hAnsi="Times New Roman"/>
        </w:rPr>
        <w:t xml:space="preserve">toute preuve doit permettre de retrouver le PDF, sa version, la page et le fragment exacts ; toute réponse factuelle est citée ou porte un statut d'abstention explicite.</w:t>
      </w:r>
    </w:p>
    <w:p>
      <w:pPr>
        <w:pStyle w:val="ListParagraph"/>
        <w:numPr>
          <w:ilvl w:val="0"/>
          <w:numId w:val="2"/>
        </w:numPr>
        <w:spacing w:after="80" w:line="300"/>
        <w:jc w:val="both"/>
      </w:pPr>
      <w:r>
        <w:rPr>
          <w:rFonts w:ascii="Times New Roman" w:cs="Times New Roman" w:eastAsia="Times New Roman" w:hAnsi="Times New Roman"/>
          <w:b/>
          <w:bCs/>
        </w:rPr>
        <w:t xml:space="preserve">Aucun fallback silencieux : </w:t>
      </w:r>
      <w:r>
        <w:rPr>
          <w:rFonts w:ascii="Times New Roman" w:cs="Times New Roman" w:eastAsia="Times New Roman" w:hAnsi="Times New Roman"/>
        </w:rPr>
        <w:t xml:space="preserve">une panne, une limite ou une preuve manquante produit un statut public explicite (par exemple « modèle d'inférence indisponible » ou « preuves insuffisantes ») ; aucun comportement de substitution n'est déclenché à l'insu de l'utilisateur, aucun modèle de repli n'est autorisé.</w:t>
      </w:r>
    </w:p>
    <w:p>
      <w:pPr>
        <w:pStyle w:val="ListParagraph"/>
        <w:numPr>
          <w:ilvl w:val="0"/>
          <w:numId w:val="2"/>
        </w:numPr>
        <w:spacing w:after="80" w:line="300"/>
        <w:jc w:val="both"/>
      </w:pPr>
      <w:r>
        <w:rPr>
          <w:rFonts w:ascii="Times New Roman" w:cs="Times New Roman" w:eastAsia="Times New Roman" w:hAnsi="Times New Roman"/>
          <w:b/>
          <w:bCs/>
        </w:rPr>
        <w:t xml:space="preserve">Déterminisme des calculs : </w:t>
      </w:r>
      <w:r>
        <w:rPr>
          <w:rFonts w:ascii="Times New Roman" w:cs="Times New Roman" w:eastAsia="Times New Roman" w:hAnsi="Times New Roman"/>
        </w:rPr>
        <w:t xml:space="preserve">métriques, signaux, positions et backtests sont calculés par du code déterministe, jamais estimés par le LLM ; l'inférence elle-même est configurée à température nulle.</w:t>
      </w:r>
    </w:p>
    <w:p>
      <w:pPr>
        <w:pStyle w:val="ListParagraph"/>
        <w:numPr>
          <w:ilvl w:val="0"/>
          <w:numId w:val="2"/>
        </w:numPr>
        <w:spacing w:after="80" w:line="300"/>
        <w:jc w:val="both"/>
      </w:pPr>
      <w:r>
        <w:rPr>
          <w:rFonts w:ascii="Times New Roman" w:cs="Times New Roman" w:eastAsia="Times New Roman" w:hAnsi="Times New Roman"/>
          <w:b/>
          <w:bCs/>
        </w:rPr>
        <w:t xml:space="preserve">Reproductibilité : </w:t>
      </w:r>
      <w:r>
        <w:rPr>
          <w:rFonts w:ascii="Times New Roman" w:cs="Times New Roman" w:eastAsia="Times New Roman" w:hAnsi="Times New Roman"/>
        </w:rPr>
        <w:t xml:space="preserve">chaque expérience doit être rejouable à partir d'entrées verrouillées (snapshot de stratégie, snapshot de données point-in-time, coûts et environnement figés).</w:t>
      </w:r>
    </w:p>
    <w:p>
      <w:pPr>
        <w:pStyle w:val="ListParagraph"/>
        <w:numPr>
          <w:ilvl w:val="0"/>
          <w:numId w:val="2"/>
        </w:numPr>
        <w:spacing w:after="80" w:line="300"/>
        <w:jc w:val="both"/>
      </w:pPr>
      <w:r>
        <w:rPr>
          <w:rFonts w:ascii="Times New Roman" w:cs="Times New Roman" w:eastAsia="Times New Roman" w:hAnsi="Times New Roman"/>
          <w:b/>
          <w:bCs/>
        </w:rPr>
        <w:t xml:space="preserve">Exploitabilité : </w:t>
      </w:r>
      <w:r>
        <w:rPr>
          <w:rFonts w:ascii="Times New Roman" w:cs="Times New Roman" w:eastAsia="Times New Roman" w:hAnsi="Times New Roman"/>
        </w:rPr>
        <w:t xml:space="preserve">sauvegarde chiffrée et restauration éprouvées par exercice, politique de rétention et de purge administrative, monitoring local sans export externe, journaux sans contenus sensibles (aucun prompt complet, aucune preuve complète, aucun secret).</w:t>
      </w:r>
    </w:p>
    <w:p>
      <w:pPr>
        <w:pStyle w:val="ListParagraph"/>
        <w:numPr>
          <w:ilvl w:val="0"/>
          <w:numId w:val="2"/>
        </w:numPr>
        <w:spacing w:after="80" w:line="300"/>
        <w:jc w:val="both"/>
      </w:pPr>
      <w:r>
        <w:rPr>
          <w:rFonts w:ascii="Times New Roman" w:cs="Times New Roman" w:eastAsia="Times New Roman" w:hAnsi="Times New Roman"/>
          <w:b/>
          <w:bCs/>
        </w:rPr>
        <w:t xml:space="preserve">Configuration maîtrisée : </w:t>
      </w:r>
      <w:r>
        <w:rPr>
          <w:rFonts w:ascii="Times New Roman" w:cs="Times New Roman" w:eastAsia="Times New Roman" w:hAnsi="Times New Roman"/>
        </w:rPr>
        <w:t xml:space="preserve">un unique fichier de configuration applicative validé par schéma au démarrage ; les variables d'environnement sont interdites comme entrée de configuration, sans exception.</w:t>
      </w:r>
    </w:p>
    <w:p>
      <w:pPr>
        <w:pStyle w:val="Heading2"/>
        <w:spacing w:after="160" w:before="280"/>
      </w:pPr>
      <w:r>
        <w:rPr>
          <w:rFonts w:ascii="Times New Roman" w:cs="Times New Roman" w:eastAsia="Times New Roman" w:hAnsi="Times New Roman"/>
          <w:b/>
          <w:bCs/>
        </w:rPr>
        <w:t xml:space="preserve">4.4. Principes directeurs du domaine</w:t>
      </w:r>
    </w:p>
    <w:p>
      <w:pPr>
        <w:spacing w:after="140" w:line="300"/>
        <w:jc w:val="both"/>
      </w:pPr>
      <w:r>
        <w:rPr>
          <w:rFonts w:ascii="Times New Roman" w:cs="Times New Roman" w:eastAsia="Times New Roman" w:hAnsi="Times New Roman"/>
        </w:rPr>
        <w:t xml:space="preserve">Onze principes directeurs, formalisés dans la spécification, tiennent lieu de constitution au projet. Les plus structurants sont les suivants : la preuve précède l'affirmation publiée ; toute preuve doit être localisable ; la portée d'une conclusion ne dépasse pas celle de ses preuves — conditions, périodes, univers, coûts et métriques des sources sont conservés ; la répétition n'est pas l'indépendance — plusieurs documents citant la même étude ne valent pas plusieurs confirmations ; la conversation n'est pas une source factuelle ; une règle de stratégie possède toujours une origine ; le calcul est déterministe ; les résultats négatifs font partie de la connaissance ; les modèles probabilistes proposent, le domaine décide — une sortie de LLM, d'OCR ou de reranker n'est qu'une proposition assortie de provenance, qui ne modifie l'état métier qu'après application d'une politique de décision explicite ; les projections sont régénérables ; les versions sont des données métier.</w:t>
      </w:r>
    </w:p>
    <w:p>
      <w:pPr>
        <w:pStyle w:val="Heading2"/>
        <w:spacing w:after="160" w:before="280"/>
      </w:pPr>
      <w:r>
        <w:rPr>
          <w:rFonts w:ascii="Times New Roman" w:cs="Times New Roman" w:eastAsia="Times New Roman" w:hAnsi="Times New Roman"/>
          <w:b/>
          <w:bCs/>
        </w:rPr>
        <w:t xml:space="preserve">4.5. Périmètre et non-objectifs</w:t>
      </w:r>
    </w:p>
    <w:p>
      <w:pPr>
        <w:spacing w:after="140" w:line="300"/>
        <w:jc w:val="both"/>
      </w:pPr>
      <w:r>
        <w:rPr>
          <w:rFonts w:ascii="Times New Roman" w:cs="Times New Roman" w:eastAsia="Times New Roman" w:hAnsi="Times New Roman"/>
        </w:rPr>
        <w:t xml:space="preserve">Le cadrage excluait explicitement : tout conseil en investissement et toute promesse financière ; toute connexion à un courtier ou exécution d'ordres ; tout usage multi-utilisateurs ou exposition publique ; ainsi que plusieurs sur-ingénieries architecturales tentantes mais injustifiées pour un système personnel — transformation des bounded contexts en microservices, event sourcing généralisé, bus distribué. Ces non-objectifs, consignés dans la spécification, ont servi de garde-fous tout au long du développement.</w:t>
      </w:r>
    </w:p>
    <w:p>
      <w:pPr>
        <w:pStyle w:val="Heading2"/>
        <w:spacing w:after="160" w:before="280"/>
      </w:pPr>
      <w:r>
        <w:rPr>
          <w:rFonts w:ascii="Times New Roman" w:cs="Times New Roman" w:eastAsia="Times New Roman" w:hAnsi="Times New Roman"/>
          <w:b/>
          <w:bCs/>
        </w:rPr>
        <w:t xml:space="preserve">4.6. Jalons et livrables</w:t>
      </w:r>
    </w:p>
    <w:p>
      <w:pPr>
        <w:spacing w:after="140" w:line="300"/>
        <w:jc w:val="both"/>
      </w:pPr>
      <w:r>
        <w:rPr>
          <w:rFonts w:ascii="Times New Roman" w:cs="Times New Roman" w:eastAsia="Times New Roman" w:hAnsi="Times New Roman"/>
        </w:rPr>
        <w:t xml:space="preserve">L'implémentation a été planifiée en quatorze jalons ordonnés par capacité métier vérifiable, et non par composant technique. Chaque jalon livre un incrément démontrable, ses tests d'acceptation, ses gates et son journal. La Figure 2 situe ces jalons sur la trajectoire du stage, regroupés en cinq phases fonctionnelles ; le Tableau 2 détaille ensuite la capacité vérifiable livrée par chacun.</w:t>
      </w:r>
    </w:p>
    <w:p>
      <w:pPr>
        <w:keepNext/>
        <w:spacing w:after="40" w:before="120"/>
        <w:jc w:val="center"/>
      </w:pPr>
      <w:r>
        <w:drawing>
          <wp:inline distT="0" distB="0" distL="0" distR="0">
            <wp:extent cx="5715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9048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2 — Trajectoire du stage : quatorze jalons en cinq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Jalon</w:t>
            </w:r>
          </w:p>
        </w:tc>
        <w:tc>
          <w:tcPr>
            <w:tcW w:type="dxa" w:w="7526"/>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Capacité livrée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1</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Socle de gouvernance : commandes de validation, registre ADR, convention de tâches, matrice de traçabilité initiale.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2</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Frontières DDD et contrats publiés entre contextes (SourceLocator, contrats de preuves et de claims, enveloppe d'événement versionnée).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3</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Plateforme locale sûre : topologie Docker, passerelle LLM, outbox d'événements idempotente, file de jobs priorisée, verrouillage de la frontière réseau.</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4</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Source enregistrée, diagnostiquée et routée : enregistrement immuable, manifeste de pages, diagnostic, plan de routage explicite, quarantaine.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5</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Version canonique publiée : conversion selon la route, autorité textuelle unique par page, contrôle qualité, publication immuable.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6</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Projection de connaissances recherchable : chunks traçables, métadonnées filtrables, encodage dense et sparse, index Qdrant régénérable, recherche hybride.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7</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Affirmations vérifiables : extraction de claims atomiques, rattachement de preuves admissibles, vérification, confirmations indépendantes, relations entre claims.</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8</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Réponse documentaire vérifiée : mandat explicite, jeu de preuves scellé, contradictions et lacunes, évaluation du support des citations, abstention.</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9</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Conversation produit : tours append-only, compactage du contexte, résolution des références de suivi, présentation des citations et statuts, endpoint compatible chat completions.</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10</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Recherche approfondie multi-sources : planification de couverture, requêtes diversifiées, résolution des dépendances entre sources, synthèse traçable.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11</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Stratégie candidate attribuée : ouverture depuis un résultat vérifié, origine de chaque règle, contrôle de calibration, compilation déterministe, snapshot immuable.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12</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Expérience reproductible : plan depuis un snapshot, données point-in-time, coûts et environnement figés, backtest déterministe, résultats immuables, reproduction à l'identique.</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13</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Évaluation pilote et calibration : corpus pilote, jeux annotés, benchmarks (routes documentaires, recherche, réponses vérifiées, LLM en chemin réel, backtests), décisions de calibration.</w:t>
            </w:r>
          </w:p>
        </w:tc>
      </w:tr>
      <w:tr>
        <w:tc>
          <w:tcPr>
            <w:tcW w:type="dxa" w:w="15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Jalon 14</w:t>
            </w:r>
          </w:p>
        </w:tc>
        <w:tc>
          <w:tcPr>
            <w:tcW w:type="dxa" w:w="75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Durcissement et acceptation V1 : suite de régression, audits sécurité et réseau, exercices de panne et de restauration, rétention, monitoring, runbooks, exécution réelle de bout en bout, UI minimale, rapport d'acceptation.</w:t>
            </w:r>
          </w:p>
        </w:tc>
      </w:tr>
    </w:tbl>
    <w:p>
      <w:pPr>
        <w:spacing w:after="200" w:before="60"/>
        <w:jc w:val="center"/>
      </w:pPr>
      <w:r>
        <w:rPr>
          <w:rFonts w:ascii="Times New Roman" w:cs="Times New Roman" w:eastAsia="Times New Roman" w:hAnsi="Times New Roman"/>
          <w:i/>
          <w:iCs/>
          <w:sz w:val="20"/>
          <w:szCs w:val="20"/>
        </w:rPr>
        <w:t xml:space="preserve">Tableau 2 — Plan d'implémentation en quatorze jalons</w:t>
      </w:r>
    </w:p>
    <w:p>
      <w:pPr>
        <w:spacing w:after="140" w:before="60"/>
        <w:jc w:val="left"/>
      </w:pPr>
      <w:r>
        <w:rPr>
          <w:rFonts w:ascii="Times New Roman" w:cs="Times New Roman" w:eastAsia="Times New Roman" w:hAnsi="Times New Roman"/>
          <w:b/>
          <w:bCs/>
          <w:highlight w:val="yellow"/>
          <w:highlightCs w:val="yellow"/>
        </w:rPr>
        <w:t xml:space="preserve">[À COMPLÉTER — Insérer ici le planning réel du stage (diagramme de Gantt) avec les dates effectives de chaque jalon.]</w:t>
      </w:r>
    </w:p>
    <w:p>
      <w:pPr>
        <w:pStyle w:val="Heading1"/>
        <w:pageBreakBefore/>
        <w:spacing w:after="240"/>
      </w:pPr>
      <w:r>
        <w:rPr>
          <w:rFonts w:ascii="Times New Roman" w:cs="Times New Roman" w:eastAsia="Times New Roman" w:hAnsi="Times New Roman"/>
          <w:b/>
          <w:bCs/>
        </w:rPr>
        <w:t xml:space="preserve">5. Méthodologie et outils</w:t>
      </w:r>
    </w:p>
    <w:p>
      <w:pPr>
        <w:pStyle w:val="Heading2"/>
        <w:spacing w:after="160" w:before="280"/>
      </w:pPr>
      <w:r>
        <w:rPr>
          <w:rFonts w:ascii="Times New Roman" w:cs="Times New Roman" w:eastAsia="Times New Roman" w:hAnsi="Times New Roman"/>
          <w:b/>
          <w:bCs/>
        </w:rPr>
        <w:t xml:space="preserve">5.1. État de l'art appliqué : l'ingénierie IA raisonnée</w:t>
      </w:r>
    </w:p>
    <w:p>
      <w:pPr>
        <w:spacing w:after="140" w:line="300"/>
        <w:jc w:val="both"/>
      </w:pPr>
      <w:r>
        <w:rPr>
          <w:rFonts w:ascii="Times New Roman" w:cs="Times New Roman" w:eastAsia="Times New Roman" w:hAnsi="Times New Roman"/>
        </w:rPr>
        <w:t xml:space="preserve">Avant de concevoir, il fallait comprendre ce que l'état de l'art permet et, surtout, ce qu'il ne garantit pas. La lecture structurée de l'ouvrage de Wengrow a fourni le cadre conceptuel du projet, dont les enseignements clés ont été systématiquement confrontés aux exigences du domaine financier :</w:t>
      </w:r>
    </w:p>
    <w:p>
      <w:pPr>
        <w:pStyle w:val="ListParagraph"/>
        <w:numPr>
          <w:ilvl w:val="0"/>
          <w:numId w:val="2"/>
        </w:numPr>
        <w:spacing w:after="80" w:line="300"/>
        <w:jc w:val="both"/>
      </w:pPr>
      <w:r>
        <w:rPr>
          <w:rFonts w:ascii="Times New Roman" w:cs="Times New Roman" w:eastAsia="Times New Roman" w:hAnsi="Times New Roman"/>
          <w:b/>
          <w:bCs/>
        </w:rPr>
        <w:t xml:space="preserve">Nature du modèle. </w:t>
      </w:r>
      <w:r>
        <w:rPr>
          <w:rFonts w:ascii="Times New Roman" w:cs="Times New Roman" w:eastAsia="Times New Roman" w:hAnsi="Times New Roman"/>
        </w:rPr>
        <w:t xml:space="preserve">Un LLM est un prédicteur statistique non déterministe ; l'hallucination n'est pas un bug corrigeable mais une propriété à encadrer. Le projet en tire une conséquence radicale, érigée en principe : une sortie de modèle n'est jamais qu'une proposition, et seul le domaine décide.</w:t>
      </w:r>
    </w:p>
    <w:p>
      <w:pPr>
        <w:pStyle w:val="ListParagraph"/>
        <w:numPr>
          <w:ilvl w:val="0"/>
          <w:numId w:val="2"/>
        </w:numPr>
        <w:spacing w:after="80" w:line="300"/>
        <w:jc w:val="both"/>
      </w:pPr>
      <w:r>
        <w:rPr>
          <w:rFonts w:ascii="Times New Roman" w:cs="Times New Roman" w:eastAsia="Times New Roman" w:hAnsi="Times New Roman"/>
          <w:b/>
          <w:bCs/>
        </w:rPr>
        <w:t xml:space="preserve">Choix du modèle. </w:t>
      </w:r>
      <w:r>
        <w:rPr>
          <w:rFonts w:ascii="Times New Roman" w:cs="Times New Roman" w:eastAsia="Times New Roman" w:hAnsi="Times New Roman"/>
        </w:rPr>
        <w:t xml:space="preserve">Le triptyque qualité, coût et latence, complété par la taille de fenêtre de contexte, guide la sélection. La contrainte de confidentialité imposant un modèle à poids ouverts exécuté localement, le choix s'est porté sur la famille Gemma servie par vLLM, la fenêtre de contexte exploitée étant calibrée par benchmark plutôt que fixée par défaut.</w:t>
      </w:r>
    </w:p>
    <w:p>
      <w:pPr>
        <w:pStyle w:val="ListParagraph"/>
        <w:numPr>
          <w:ilvl w:val="0"/>
          <w:numId w:val="2"/>
        </w:numPr>
        <w:spacing w:after="80" w:line="300"/>
        <w:jc w:val="both"/>
      </w:pPr>
      <w:r>
        <w:rPr>
          <w:rFonts w:ascii="Times New Roman" w:cs="Times New Roman" w:eastAsia="Times New Roman" w:hAnsi="Times New Roman"/>
          <w:b/>
          <w:bCs/>
        </w:rPr>
        <w:t xml:space="preserve">RAG et ses sous-composants. </w:t>
      </w:r>
      <w:r>
        <w:rPr>
          <w:rFonts w:ascii="Times New Roman" w:cs="Times New Roman" w:eastAsia="Times New Roman" w:hAnsi="Times New Roman"/>
        </w:rPr>
        <w:t xml:space="preserve">La qualité d'un système RAG se joue dans ses sous-composants — conversion, découpage, indexation, recherche, assemblage du prompt — et s'évalue en rappel et en précision. Le projet pousse cette logique jusqu'au bout : chaque sous-composant est un module distinct, mesuré par un benchmark dédié, et le rappel de la recherche est un critère d'acceptation chiffré.</w:t>
      </w:r>
    </w:p>
    <w:p>
      <w:pPr>
        <w:pStyle w:val="ListParagraph"/>
        <w:numPr>
          <w:ilvl w:val="0"/>
          <w:numId w:val="2"/>
        </w:numPr>
        <w:spacing w:after="80" w:line="300"/>
        <w:jc w:val="both"/>
      </w:pPr>
      <w:r>
        <w:rPr>
          <w:rFonts w:ascii="Times New Roman" w:cs="Times New Roman" w:eastAsia="Times New Roman" w:hAnsi="Times New Roman"/>
          <w:b/>
          <w:bCs/>
        </w:rPr>
        <w:t xml:space="preserve">Lutte contre l'hallucination. </w:t>
      </w:r>
      <w:r>
        <w:rPr>
          <w:rFonts w:ascii="Times New Roman" w:cs="Times New Roman" w:eastAsia="Times New Roman" w:hAnsi="Times New Roman"/>
        </w:rPr>
        <w:t xml:space="preserve">Instructions de fidélité au contexte, citation systématique des sources, exemples few-shot et décomposition du raisonnement réduisent l'hallucination sans l'éliminer. Le projet complète ces techniques de prompt par un mécanisme structurel : l'extraction des assertions de la réponse et l'évaluation de leur support par les citations, avec abstention obligatoire en cas de preuves insuffisantes.</w:t>
      </w:r>
    </w:p>
    <w:p>
      <w:pPr>
        <w:pStyle w:val="ListParagraph"/>
        <w:numPr>
          <w:ilvl w:val="0"/>
          <w:numId w:val="2"/>
        </w:numPr>
        <w:spacing w:after="80" w:line="300"/>
        <w:jc w:val="both"/>
      </w:pPr>
      <w:r>
        <w:rPr>
          <w:rFonts w:ascii="Times New Roman" w:cs="Times New Roman" w:eastAsia="Times New Roman" w:hAnsi="Times New Roman"/>
          <w:b/>
          <w:bCs/>
        </w:rPr>
        <w:t xml:space="preserve">Évaluation d'abord. </w:t>
      </w:r>
      <w:r>
        <w:rPr>
          <w:rFonts w:ascii="Times New Roman" w:cs="Times New Roman" w:eastAsia="Times New Roman" w:hAnsi="Times New Roman"/>
        </w:rPr>
        <w:t xml:space="preserve">Un système à base de LLM ne se pilote qu'avec des évaluations : analyse d'erreurs, jeux de tests, mesures rejouables. Un jalon entier, l'avant-dernier du plan, institutionnalise cette pratique avec un corpus pilote figé, des jeux annotés page par page et des benchmarks dont les résultats — favorables ou non — conditionnent l'acceptation.</w:t>
      </w:r>
    </w:p>
    <w:p>
      <w:pPr>
        <w:pStyle w:val="ListParagraph"/>
        <w:numPr>
          <w:ilvl w:val="0"/>
          <w:numId w:val="2"/>
        </w:numPr>
        <w:spacing w:after="80" w:line="300"/>
        <w:jc w:val="both"/>
      </w:pPr>
      <w:r>
        <w:rPr>
          <w:rFonts w:ascii="Times New Roman" w:cs="Times New Roman" w:eastAsia="Times New Roman" w:hAnsi="Times New Roman"/>
          <w:b/>
          <w:bCs/>
        </w:rPr>
        <w:t xml:space="preserve">Agents et garde-fous. </w:t>
      </w:r>
      <w:r>
        <w:rPr>
          <w:rFonts w:ascii="Times New Roman" w:cs="Times New Roman" w:eastAsia="Times New Roman" w:hAnsi="Times New Roman"/>
        </w:rPr>
        <w:t xml:space="preserve">L'appel de fonctions et les boucles agentiques ouvrent des possibilités considérables mais introduisent leurs propres modes de défaillance et risques de sécurité (injection de prompt notamment). Le projet en fait un usage volontairement contenu : le LLM propose des extractions et des synthèses, mais ne déclenche jamais seul une transition d'état métier.</w:t>
      </w:r>
    </w:p>
    <w:p>
      <w:pPr>
        <w:pStyle w:val="Heading2"/>
        <w:spacing w:after="160" w:before="280"/>
      </w:pPr>
      <w:r>
        <w:rPr>
          <w:rFonts w:ascii="Times New Roman" w:cs="Times New Roman" w:eastAsia="Times New Roman" w:hAnsi="Times New Roman"/>
          <w:b/>
          <w:bCs/>
        </w:rPr>
        <w:t xml:space="preserve">5.2. Approche Domain-Driven Design et monolithe modulaire</w:t>
      </w:r>
    </w:p>
    <w:p>
      <w:pPr>
        <w:spacing w:after="140" w:line="300"/>
        <w:jc w:val="both"/>
      </w:pPr>
      <w:r>
        <w:rPr>
          <w:rFonts w:ascii="Times New Roman" w:cs="Times New Roman" w:eastAsia="Times New Roman" w:hAnsi="Times New Roman"/>
        </w:rPr>
        <w:t xml:space="preserve">La complexité du projet étant avant tout une complexité de domaine — qu'est-ce qu'une preuve admissible ? quand deux confirmations sont-elles indépendantes ? quelle est la portée d'une conclusion ? — l'approche Domain-Driven Design (DDD) s'est imposée. Un langage omniprésent a été défini (source, version canonique, preuve, affirmation, portée, route documentaire, projection...), puis le domaine a été découpé en sept bounded contexts aux frontières explicites, chacun possédant son modèle, ses agrégats, ses invariants et son stockage propre — aucun contexte n'accède directement au stockage d'un autre.</w:t>
      </w:r>
    </w:p>
    <w:p>
      <w:pPr>
        <w:spacing w:after="140" w:line="300"/>
        <w:jc w:val="both"/>
      </w:pPr>
      <w:r>
        <w:rPr>
          <w:rFonts w:ascii="Times New Roman" w:cs="Times New Roman" w:eastAsia="Times New Roman" w:hAnsi="Times New Roman"/>
        </w:rPr>
        <w:t xml:space="preserve">Les contextes communiquent par des contrats publiés et versionnés, au premier rang desquels le SourceLocator, identifiant de localisation d'un fragment documentaire (document, version canonique, page, span) partagé de bout en bout : c'est lui qui rend une citation ouvrable depuis la conversation jusqu'au PDF d'origine. La cohérence entre contextes est éventuelle, assurée par des événements de domaine transportés dans une enveloppe versionnée via un mécanisme d'outbox idempotent. L'agrégat central du système est le Claim (affirmation) : proposition atomique attribuée à une source, vérifiable séparément, dont le cycle de vie (brouillon, vérifiée, rejetée, supersédée) est entièrement conservé. La Figure 3 présente la carte de ces contextes et de leurs flux : la chaîne documentaire (SP → KA → EG → RA → CV) mène du PDF à la conversation citée, la branche SD → EX transforme un résultat vérifié en expérience reproductible, et tous s'appuient sur la plateforme transverse.</w:t>
      </w:r>
    </w:p>
    <w:p>
      <w:pPr>
        <w:keepNext/>
        <w:spacing w:after="4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3 — Carte des bounded contexts et de leurs flux principaux</w:t>
      </w:r>
    </w:p>
    <w:p>
      <w:pPr>
        <w:spacing w:after="140" w:line="300"/>
        <w:jc w:val="both"/>
      </w:pPr>
      <w:r>
        <w:rPr>
          <w:rFonts w:ascii="Times New Roman" w:cs="Times New Roman" w:eastAsia="Times New Roman" w:hAnsi="Times New Roman"/>
        </w:rPr>
        <w:t xml:space="preserve">Sur le plan architectural, ces contextes sont réalisés comme les modules d'un monolithe modulaire et non comme des microservices : pour un système mono-utilisateur local, la distribution n'apporterait que de la complexité opérationnelle sans bénéfice. Chaque module est organisé en trois couches (domain, application, adapters) et les frontières sont vérifiées par un validateur d'architecture automatisé qui interdit les couplages intercontextes. De même, l'event sourcing généralisé a été écarté au profit d'une persistance classique complétée d'événements de domaine ciblés ; les index de recherche (Qdrant) sont traités comme des projections régénérables et jamais comme une source de vérité. Chacune de ces décisions est documentée par une ADR.</w:t>
      </w:r>
    </w:p>
    <w:p>
      <w:pPr>
        <w:pStyle w:val="Heading2"/>
        <w:spacing w:after="160" w:before="280"/>
      </w:pPr>
      <w:r>
        <w:rPr>
          <w:rFonts w:ascii="Times New Roman" w:cs="Times New Roman" w:eastAsia="Times New Roman" w:hAnsi="Times New Roman"/>
          <w:b/>
          <w:bCs/>
        </w:rPr>
        <w:t xml:space="preserve">5.3. Processus de développement : BDD, TDD, ADR et gates</w:t>
      </w:r>
    </w:p>
    <w:p>
      <w:pPr>
        <w:spacing w:after="140" w:line="300"/>
        <w:jc w:val="both"/>
      </w:pPr>
      <w:r>
        <w:rPr>
          <w:rFonts w:ascii="Times New Roman" w:cs="Times New Roman" w:eastAsia="Times New Roman" w:hAnsi="Times New Roman"/>
        </w:rPr>
        <w:t xml:space="preserve">Le processus de développement, identique pour chaque tâche de chaque jalon, enchaîne : vérification de l'état GREEN existant ; spécification du comportement ; scénario métier au format Given-When-Then (BDD) ; écriture du test d'acceptation automatisé, commité RED ; tests unitaires puis implémentation stricte jusqu'au GREEN, commité séparément. Des règles permanentes, non négociables, complètent ce flux : aucune valeur par défaut implicite, aucun fallback silencieux, aucune gestion d'erreur générique non justifiée, aucun accès au stockage d'un autre contexte, aucune sortie de modèle probabiliste ne changeant seule un état métier, aucun backtest estimé par le LLM.</w:t>
      </w:r>
    </w:p>
    <w:p>
      <w:pPr>
        <w:spacing w:after="140" w:line="300"/>
        <w:jc w:val="both"/>
      </w:pPr>
      <w:r>
        <w:rPr>
          <w:rFonts w:ascii="Times New Roman" w:cs="Times New Roman" w:eastAsia="Times New Roman" w:hAnsi="Times New Roman"/>
        </w:rPr>
        <w:t xml:space="preserve">La gouvernance repose sur trois piliers outillés. Les ADR d'abord : trente décisions d'architecture (dix-huit techniques et douze DDD) sont consignées dans le dépôt avec leur statut ; une décision acceptée ne se modifie pas, elle se remplace par une nouvelle ADR explicite. Les gates ensuite : soixante-trois scripts de validation automatisés contrôlent avant chaque intégration la conformité des spécifications, la traçabilité, les frontières d'architecture, la sécurité réseau ou encore la réalité du chemin LLM ; une gate rouge bloque le jalon. La matrice de traçabilité enfin relie exigences, spécifications, tâches, tests et preuves, si bien que toute capacité annoncée pointe vers sa démonstration. À la fin du stage, la suite de vérification comptait 324 scripts de tests d'acceptation et unitaires couvrant les quatorze jalons. La Figure 4 résume l'empreinte quantitative de cette gouvernance.</w:t>
      </w:r>
    </w:p>
    <w:p>
      <w:pPr>
        <w:keepNext/>
        <w:spacing w:after="40" w:before="120"/>
        <w:jc w:val="center"/>
      </w:pPr>
      <w:r>
        <w:drawing>
          <wp:inline distT="0" distB="0" distL="0" distR="0">
            <wp:extent cx="5715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905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4 — Le projet en chiffres à la fin du stage</w:t>
      </w:r>
    </w:p>
    <w:p>
      <w:pPr>
        <w:pStyle w:val="Heading2"/>
        <w:spacing w:after="160" w:before="280"/>
      </w:pPr>
      <w:r>
        <w:rPr>
          <w:rFonts w:ascii="Times New Roman" w:cs="Times New Roman" w:eastAsia="Times New Roman" w:hAnsi="Times New Roman"/>
          <w:b/>
          <w:bCs/>
        </w:rPr>
        <w:t xml:space="preserve">5.4. Architecture technique : une topologie locale à deux hôtes</w:t>
      </w:r>
    </w:p>
    <w:p>
      <w:pPr>
        <w:spacing w:after="140" w:line="300"/>
        <w:jc w:val="both"/>
      </w:pPr>
      <w:r>
        <w:rPr>
          <w:rFonts w:ascii="Times New Roman" w:cs="Times New Roman" w:eastAsia="Times New Roman" w:hAnsi="Times New Roman"/>
        </w:rPr>
        <w:t xml:space="preserve">La plateforme physique est scindée en deux plans. Le DGX Spark est dédié exclusivement à l'inférence : il sert le modèle Gemma quantifié NVFP4 au travers de vLLM, derrière une API compatible OpenAI, et ne conserve aucun état métier — une panne ou un remplacement de cette machine ne peut donc détruire aucune donnée. L'hôte Docker local héberge tout le reste : l'API orchestratrice (FastAPI), l'interface utilisateur, la passerelle LLM, PostgreSQL, Qdrant, les workers d'ingestion, de recherche et d'expérimentation, et une passerelle d'entrée locale (Caddy) exposée uniquement sur la boucle locale. La Figure 5 donne la vue d'ensemble de cette topologie et de son unique flux réseau autorisé.</w:t>
      </w:r>
    </w:p>
    <w:p>
      <w:pPr>
        <w:keepNext/>
        <w:spacing w:after="4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5 — Topologie locale à deux hôtes et frontière réseau</w:t>
      </w:r>
    </w:p>
    <w:p>
      <w:pPr>
        <w:spacing w:after="140" w:line="300"/>
        <w:jc w:val="both"/>
      </w:pPr>
      <w:r>
        <w:rPr>
          <w:rFonts w:ascii="Times New Roman" w:cs="Times New Roman" w:eastAsia="Times New Roman" w:hAnsi="Times New Roman"/>
        </w:rPr>
        <w:t xml:space="preserve">La passerelle LLM mérite une description particulière, car elle matérialise la politique de fiabilité du projet : timeout explicite, une seule tentative de relance autorisée avant le premier token (jamais après, pour ne pas produire de réponse composite), disjoncteur (circuit breaker) s'ouvrant après deux échecs et exigeant une validation explicite du rétablissement, et déclaration de provenance de chaque inférence (modèle, révision, runtime) attachée aux réponses. En cas d'indisponibilité du Spark, aucun modèle de repli n'est utilisé : l'utilisateur reçoit un statut public explicite, conformément à la règle « pas de fallback silencieux ».</w:t>
      </w:r>
    </w:p>
    <w:p>
      <w:pPr>
        <w:spacing w:after="140" w:line="300"/>
        <w:jc w:val="both"/>
      </w:pPr>
      <w:r>
        <w:rPr>
          <w:rFonts w:ascii="Times New Roman" w:cs="Times New Roman" w:eastAsia="Times New Roman" w:hAnsi="Times New Roman"/>
        </w:rPr>
        <w:t xml:space="preserve">Toute la configuration applicative est portée par un unique fichier YAML validé par un schéma JSON au démarrage de chaque processus ; les variables d'environnement sont proscrites comme entrée de configuration, ce qui rend le comportement du système entièrement auditable à partir d'un seul artefact versionné. Les secrets (mot de passe PostgreSQL, certificats) résident dans des fichiers dédiés hors dépôt.</w:t>
      </w:r>
    </w:p>
    <w:p>
      <w:pPr>
        <w:pStyle w:val="Heading2"/>
        <w:spacing w:after="160" w:before="280"/>
      </w:pPr>
      <w:r>
        <w:rPr>
          <w:rFonts w:ascii="Times New Roman" w:cs="Times New Roman" w:eastAsia="Times New Roman" w:hAnsi="Times New Roman"/>
          <w:b/>
          <w:bCs/>
        </w:rPr>
        <w:t xml:space="preserve">5.5. Outils et technologies retenus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Outil / technologie</w:t>
            </w:r>
          </w:p>
        </w:tc>
        <w:tc>
          <w:tcPr>
            <w:tcW w:type="dxa" w:w="6226"/>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Rôle dans le projet</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Python 3.11, FastAPI</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Langage du monolithe modulaire ; API orchestratrice et endpoints produit.</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PostgreSQL</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Persistance canonique des agrégats métier (sources, claims, réponses, stratégies, expériences).</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Qdrant</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Base vectorielle ; index hybride dense + sparse, traité comme projection régénérable.</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Docling / Granite-Docling</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Conversion documentaire structurée des PDF ; modèle vision-langage pour les pages complexes.</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OCRmyPDF</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Océrisation conditionnelle des pages numérisées, déclenchée par le diagnostic de routage.</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vLLM + Gemma (NVFP4)</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Service d'inférence du LLM principal sur DGX Spark, API compatible OpenAI, température 0.</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Docker Compose, Caddy</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Conteneurisation de l'hôte applicatif ; passerelle d'entrée locale en lecture seule.</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Git + Git LFS</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Versionnage du code et de la gouvernance ; suivi des PDF sources volumineux.</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PowerShell + pytest</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Harnais de tests d'acceptation et unitaires, gates de gouvernance automatisées.</w:t>
            </w:r>
          </w:p>
        </w:tc>
      </w:tr>
      <w:tr>
        <w:tc>
          <w:tcPr>
            <w:tcW w:type="dxa" w:w="28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uv, setuptools</w:t>
            </w:r>
          </w:p>
        </w:tc>
        <w:tc>
          <w:tcPr>
            <w:tcW w:type="dxa" w:w="62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Gestion de l'environnement et du packaging Python.</w:t>
            </w:r>
          </w:p>
        </w:tc>
      </w:tr>
    </w:tbl>
    <w:p>
      <w:pPr>
        <w:spacing w:after="200" w:before="60"/>
        <w:jc w:val="center"/>
      </w:pPr>
      <w:r>
        <w:rPr>
          <w:rFonts w:ascii="Times New Roman" w:cs="Times New Roman" w:eastAsia="Times New Roman" w:hAnsi="Times New Roman"/>
          <w:i/>
          <w:iCs/>
          <w:sz w:val="20"/>
          <w:szCs w:val="20"/>
        </w:rPr>
        <w:t xml:space="preserve">Tableau 3 — Pile technologique du projet</w:t>
      </w:r>
    </w:p>
    <w:p>
      <w:pPr>
        <w:pStyle w:val="Heading1"/>
        <w:pageBreakBefore/>
        <w:spacing w:after="240"/>
      </w:pPr>
      <w:r>
        <w:rPr>
          <w:rFonts w:ascii="Times New Roman" w:cs="Times New Roman" w:eastAsia="Times New Roman" w:hAnsi="Times New Roman"/>
          <w:b/>
          <w:bCs/>
        </w:rPr>
        <w:t xml:space="preserve">6. Réalisation et résultats</w:t>
      </w:r>
    </w:p>
    <w:p>
      <w:pPr>
        <w:spacing w:after="140" w:line="300"/>
        <w:jc w:val="both"/>
      </w:pPr>
      <w:r>
        <w:rPr>
          <w:rFonts w:ascii="Times New Roman" w:cs="Times New Roman" w:eastAsia="Times New Roman" w:hAnsi="Times New Roman"/>
        </w:rPr>
        <w:t xml:space="preserve">Ce chapitre décrit le travail réalisé en suivant le chemin d'une information dans le système : de l'ingestion d'un PDF jusqu'au résultat d'un backtest, en passant par la recherche, la vérification des affirmations, la conversation et la conception de stratégies. Il se termine par les résultats de l'évaluation pilote et le bilan d'acceptation V1. À la fin du stage, l'application comptait environ 186 modules Python et 71 000 lignes de code, vérifiés par 324 scripts de tests et 63 gates de gouvernance.</w:t>
      </w:r>
    </w:p>
    <w:p>
      <w:pPr>
        <w:pStyle w:val="Heading2"/>
        <w:spacing w:after="160" w:before="280"/>
      </w:pPr>
      <w:r>
        <w:rPr>
          <w:rFonts w:ascii="Times New Roman" w:cs="Times New Roman" w:eastAsia="Times New Roman" w:hAnsi="Times New Roman"/>
          <w:b/>
          <w:bCs/>
        </w:rPr>
        <w:t xml:space="preserve">6.1. Traitement des sources (SP) : du PDF brut à la version canonique</w:t>
      </w:r>
    </w:p>
    <w:p>
      <w:pPr>
        <w:spacing w:after="140" w:line="300"/>
        <w:jc w:val="both"/>
      </w:pPr>
      <w:r>
        <w:rPr>
          <w:rFonts w:ascii="Times New Roman" w:cs="Times New Roman" w:eastAsia="Times New Roman" w:hAnsi="Times New Roman"/>
        </w:rPr>
        <w:t xml:space="preserve">Tout commence par l'enregistrement immuable d'une source : le PDF original est identifié par son empreinte SHA-256, suivi par Git LFS, et ne sera plus jamais modifié. Un manifeste de pages complet est ensuite créé, puis chaque page fait l'objet d'un diagnostic : texte natif exploitable, numérisation propre ou dégradée, ancienne couche OCR défectueuse, présence de tableaux, d'équations ou de graphiques. Sur la base de ce diagnostic, un plan de routage explicite est décidé page par page — c'est le routage hybride, documenté par une décision d'architecture dédiée : extraction du texte natif quand il fait foi, océrisation conditionnelle par OCRmyPDF quand la page est un scan, conversion structurée par Docling, avec recours au modèle vision-langage Granite-Docling pour les mises en page complexes. Aucune route n'est choisie implicitement ; les pages problématiques sont placées en quarantaine pour revue plutôt que converties en dégradé silencieux.</w:t>
      </w:r>
    </w:p>
    <w:p>
      <w:pPr>
        <w:spacing w:after="140" w:line="300"/>
        <w:jc w:val="both"/>
      </w:pPr>
      <w:r>
        <w:rPr>
          <w:rFonts w:ascii="Times New Roman" w:cs="Times New Roman" w:eastAsia="Times New Roman" w:hAnsi="Times New Roman"/>
        </w:rPr>
        <w:t xml:space="preserve">La conversion produit une version canonique candidate, soumise à des contrôles qualité bloquants : correspondance exacte du nombre de pages, couverture de provenance de 100 % (chaque fragment converti sait de quelle page il vient), zéro page manquante. Un principe fort, l'autorité textuelle unique par page, garantit qu'il n'existe jamais deux textes concurrents pour une même page — le système désigne l'unique représentation faisant foi. Une fois acceptée, la version canonique est publiée de façon immuable, avec son propre identifiant et son empreinte, et un événement de domaine notifie les contextes aval. Toute correction ultérieure du document produit une nouvelle version, jamais une modification en place : les versions sont des données métier. La Figure 6 retrace ce pipeline de bout en bout, quarantaine comprise.</w:t>
      </w:r>
    </w:p>
    <w:p>
      <w:pPr>
        <w:keepNext/>
        <w:spacing w:after="4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14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6 — Pipeline documentaire : du PDF brut à la version canonique</w:t>
      </w:r>
    </w:p>
    <w:p>
      <w:pPr>
        <w:pStyle w:val="Heading2"/>
        <w:spacing w:after="160" w:before="280"/>
      </w:pPr>
      <w:r>
        <w:rPr>
          <w:rFonts w:ascii="Times New Roman" w:cs="Times New Roman" w:eastAsia="Times New Roman" w:hAnsi="Times New Roman"/>
          <w:b/>
          <w:bCs/>
        </w:rPr>
        <w:t xml:space="preserve">6.2. Accès aux connaissances (KA) : projection et recherche hybride</w:t>
      </w:r>
    </w:p>
    <w:p>
      <w:pPr>
        <w:spacing w:after="140" w:line="300"/>
        <w:jc w:val="both"/>
      </w:pPr>
      <w:r>
        <w:rPr>
          <w:rFonts w:ascii="Times New Roman" w:cs="Times New Roman" w:eastAsia="Times New Roman" w:hAnsi="Times New Roman"/>
        </w:rPr>
        <w:t xml:space="preserve">À partir d'une version canonique publiée, le contexte KA construit une projection recherchable : le contenu est découpé en chunks dont chacun reste traçable vers sa page et son span d'origine via le SourceLocator, enrichi de métadonnées filtrables (document, langue, type de contenu, présence de tableaux...), puis encodé sous double représentation, dense (embeddings sémantiques) et sparse (représentation lexicale). L'index est publié dans Qdrant et assumé comme régénérable : il peut être reconstruit à tout moment depuis les versions canoniques, et n'est jamais la source de vérité.</w:t>
      </w:r>
    </w:p>
    <w:p>
      <w:pPr>
        <w:spacing w:after="140" w:line="300"/>
        <w:jc w:val="both"/>
      </w:pPr>
      <w:r>
        <w:rPr>
          <w:rFonts w:ascii="Times New Roman" w:cs="Times New Roman" w:eastAsia="Times New Roman" w:hAnsi="Times New Roman"/>
        </w:rPr>
        <w:t xml:space="preserve">La recherche est hybride : elle combine similarité sémantique et correspondance lexicale, ce qui est déterminant sur un corpus financier où les termes exacts (noms de ratios, d'indicateurs, de stratégies) portent autant de sens que les paraphrases. Le résultat d'une recherche n'est pas une réponse mais un ensemble de preuves candidates traçables, chacune munie de son SourceLocator et de ses métadonnées ; une gate de qualité impose un minimum de trois preuves candidates avant toute génération de réponse. Cette séparation stricte entre « chercher des preuves » et « répondre » est l'une des différences majeures entre le système et un RAG naïf.</w:t>
      </w:r>
    </w:p>
    <w:p>
      <w:pPr>
        <w:pStyle w:val="Heading2"/>
        <w:spacing w:after="160" w:before="280"/>
      </w:pPr>
      <w:r>
        <w:rPr>
          <w:rFonts w:ascii="Times New Roman" w:cs="Times New Roman" w:eastAsia="Times New Roman" w:hAnsi="Times New Roman"/>
          <w:b/>
          <w:bCs/>
        </w:rPr>
        <w:t xml:space="preserve">6.3. Gouvernance des preuves (EG) : des affirmations vérifiables</w:t>
      </w:r>
    </w:p>
    <w:p>
      <w:pPr>
        <w:spacing w:after="140" w:line="300"/>
        <w:jc w:val="both"/>
      </w:pPr>
      <w:r>
        <w:rPr>
          <w:rFonts w:ascii="Times New Roman" w:cs="Times New Roman" w:eastAsia="Times New Roman" w:hAnsi="Times New Roman"/>
        </w:rPr>
        <w:t xml:space="preserve">Le contexte EG est le cœur épistémique du système ; son agrégat central, le Claim, en est la brique de connaissance. Une affirmation est une proposition atomique — par exemple l'énoncé d'un effet mesuré par une étude — attribuée à une source précise. Le pipeline d'EG enchaîne : extraction d'affirmations atomiques structurées à partir des passages (le LLM propose, un extracteur déterministe et des règles de validation décident) ; rattachement de preuves admissibles, chaque preuve devant supporter directement l'affirmation et non un propos voisin ; vérification, qui évalue le support direct et la portée — conditions, période, univers, coûts, métriques — de l'affirmation ; comptage des confirmations indépendantes, en appliquant le principe « la répétition n'est pas l'indépendance » : plusieurs documents reprenant la même étude d'origine ne comptent que pour une seule confirmation.</w:t>
      </w:r>
    </w:p>
    <w:p>
      <w:pPr>
        <w:spacing w:after="140" w:line="300"/>
        <w:jc w:val="both"/>
      </w:pPr>
      <w:r>
        <w:rPr>
          <w:rFonts w:ascii="Times New Roman" w:cs="Times New Roman" w:eastAsia="Times New Roman" w:hAnsi="Times New Roman"/>
        </w:rPr>
        <w:t xml:space="preserve">Les affirmations vérifiées peuvent ensuite être reliées entre elles (confirmation, contradiction, spécialisation) après comparaison de leurs portées : deux résultats ne sont mis en regard que s'ils sont méthodologiquement comparables. Enfin, rien ne disparaît : les affirmations rejetées ou supersédées sont conservées avec leur statut, de sorte que l'historique épistémique du corpus reste auditable. Le registre d'affirmations est volontairement séparé de l'index documentaire : chercher des passages et gouverner des connaissances sont deux responsabilités distinctes.</w:t>
      </w:r>
    </w:p>
    <w:p>
      <w:pPr>
        <w:pStyle w:val="Heading2"/>
        <w:spacing w:after="160" w:before="280"/>
      </w:pPr>
      <w:r>
        <w:rPr>
          <w:rFonts w:ascii="Times New Roman" w:cs="Times New Roman" w:eastAsia="Times New Roman" w:hAnsi="Times New Roman"/>
          <w:b/>
          <w:bCs/>
        </w:rPr>
        <w:t xml:space="preserve">6.4. Recherche et réponse (RA) : la réponse vérifiée</w:t>
      </w:r>
    </w:p>
    <w:p>
      <w:pPr>
        <w:spacing w:after="140" w:line="300"/>
        <w:jc w:val="both"/>
      </w:pPr>
      <w:r>
        <w:rPr>
          <w:rFonts w:ascii="Times New Roman" w:cs="Times New Roman" w:eastAsia="Times New Roman" w:hAnsi="Times New Roman"/>
        </w:rPr>
        <w:t xml:space="preserve">Lorsqu'une question appelle une réponse factuelle, le contexte RA ouvre un cas de recherche doté d'un mandat explicite (la question autonome, son périmètre), collecte les preuves candidates via KA et scelle le jeu de preuves de la réponse : la génération ne pourra s'appuyer que sur ce jeu figé, ce qui rend l'exercice auditable. Les contradictions et lacunes du jeu de preuves sont classées avant la rédaction. La réponse générée est ensuite décomposée en assertions, et chaque assertion est évaluée au regard des citations qui la soutiennent ; il en résulte un statut public : SUPPORTED, PARTIALLY_SUPPORTED, INSUFFICIENT_EVIDENCE ou CONFLICTING_EVIDENCE. La Figure 7 déroule ce cycle, de la question posée jusqu'aux statuts publics de chaque assertion.</w:t>
      </w:r>
    </w:p>
    <w:p>
      <w:pPr>
        <w:keepNext/>
        <w:spacing w:after="40" w:before="120"/>
        <w:jc w:val="center"/>
      </w:pPr>
      <w:r>
        <w:drawing>
          <wp:inline distT="0" distB="0" distL="0" distR="0">
            <wp:extent cx="5715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5335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7 — Cycle de la réponse vérifiée et statuts publics des assertions</w:t>
      </w:r>
    </w:p>
    <w:p>
      <w:pPr>
        <w:spacing w:after="140" w:line="300"/>
        <w:jc w:val="both"/>
      </w:pPr>
      <w:r>
        <w:rPr>
          <w:rFonts w:ascii="Times New Roman" w:cs="Times New Roman" w:eastAsia="Times New Roman" w:hAnsi="Times New Roman"/>
        </w:rPr>
        <w:t xml:space="preserve">La politique d'abstention est le garde-fou final : si les preuves sont insuffisantes, si la question exige des données actuelles que le corpus ne contient pas, ou si une affirmation de la réponse n'est pas supportée, le système refuse de publier une réponse factuelle et l'explique — plutôt que de laisser passer une hallucination bien tournée. Cette mécanique transforme la lutte contre l'hallucination, traitée dans la littérature comme un problème de prompt, en une propriété structurelle du produit.</w:t>
      </w:r>
    </w:p>
    <w:p>
      <w:pPr>
        <w:pStyle w:val="Heading2"/>
        <w:spacing w:after="160" w:before="280"/>
      </w:pPr>
      <w:r>
        <w:rPr>
          <w:rFonts w:ascii="Times New Roman" w:cs="Times New Roman" w:eastAsia="Times New Roman" w:hAnsi="Times New Roman"/>
          <w:b/>
          <w:bCs/>
        </w:rPr>
        <w:t xml:space="preserve">6.5. Conversation (CV) : la continuité sans contamination</w:t>
      </w:r>
    </w:p>
    <w:p>
      <w:pPr>
        <w:spacing w:after="140" w:line="300"/>
        <w:jc w:val="both"/>
      </w:pPr>
      <w:r>
        <w:rPr>
          <w:rFonts w:ascii="Times New Roman" w:cs="Times New Roman" w:eastAsia="Times New Roman" w:hAnsi="Times New Roman"/>
        </w:rPr>
        <w:t xml:space="preserve">Le contexte CV apporte l'expérience conversationnelle en respectant un principe simple : l'historique facilite la continuité, mais n'est jamais une preuve. Les tours de conversation sont conservés en append-only ; le contexte est compacté sans jamais y injecter de contenu factuel non prouvé ; une question de suivi (« et sur les actions européennes ? ») est résolue en question autonome avant d'être traitée ; et le mode de traitement (réponse documentaire, recherche approfondie, réutilisation d'un résultat vérifié) est sélectionné de façon justifiée. La réponse vérifiée est ensuite rattachée au tour, et la présentation produit expose les citations ouvrables et les statuts de support. Un endpoint compatible avec l'API chat completions standard a également été exposé, ce qui permet de brancher des clients tiers sur le système sans en contourner les garanties.</w:t>
      </w:r>
    </w:p>
    <w:p>
      <w:pPr>
        <w:spacing w:after="140" w:line="300"/>
        <w:jc w:val="both"/>
      </w:pPr>
      <w:r>
        <w:rPr>
          <w:rFonts w:ascii="Times New Roman" w:cs="Times New Roman" w:eastAsia="Times New Roman" w:hAnsi="Times New Roman"/>
        </w:rPr>
        <w:t xml:space="preserve">La recherche approfondie étend ce fonctionnement aux synthèses multi-sources : planification de la couverture, requêtes diversifiées, résolution des dépendances entre sources (pour ne pas compter deux fois la même étude), classification des contradictions et des conditions limites, et déclaration explicite de couverture insuffisante quand le corpus ne permet pas de conclure. La synthèse produite reste traçable assertion par assertion.</w:t>
      </w:r>
    </w:p>
    <w:p>
      <w:pPr>
        <w:pStyle w:val="Heading2"/>
        <w:spacing w:after="160" w:before="280"/>
      </w:pPr>
      <w:r>
        <w:rPr>
          <w:rFonts w:ascii="Times New Roman" w:cs="Times New Roman" w:eastAsia="Times New Roman" w:hAnsi="Times New Roman"/>
          <w:b/>
          <w:bCs/>
        </w:rPr>
        <w:t xml:space="preserve">6.6. Stratégies (SD) et expérimentation (EX) : de l'idée au backtest reproductible</w:t>
      </w:r>
    </w:p>
    <w:p>
      <w:pPr>
        <w:spacing w:after="140" w:line="300"/>
        <w:jc w:val="both"/>
      </w:pPr>
      <w:r>
        <w:rPr>
          <w:rFonts w:ascii="Times New Roman" w:cs="Times New Roman" w:eastAsia="Times New Roman" w:hAnsi="Times New Roman"/>
        </w:rPr>
        <w:t xml:space="preserve">Le contexte SD transforme un résultat de recherche vérifié en stratégie candidate. Chaque règle et chaque paramètre de la stratégie porte une origine explicite : source documentaire, déduction du système, choix de conception, contrainte utilisateur ou calibration planifiée. Un contrôle de calibration bloque toute stratégie dont des paramètres n'ont pas de plan de calibration explicite ; une analyse de compatibilité vérifie la cohérence interne (univers, fréquence, coûts) ; la stratégie validée est compilée de façon déterministe puis figée dans un snapshot immuable.</w:t>
      </w:r>
    </w:p>
    <w:p>
      <w:pPr>
        <w:spacing w:after="140" w:line="300"/>
        <w:jc w:val="both"/>
      </w:pPr>
      <w:r>
        <w:rPr>
          <w:rFonts w:ascii="Times New Roman" w:cs="Times New Roman" w:eastAsia="Times New Roman" w:hAnsi="Times New Roman"/>
        </w:rPr>
        <w:t xml:space="preserve">Le contexte EX exécute alors des expériences reproductibles : le plan d'expérience part d'un snapshot de stratégie, fige un snapshot de données point-in-time, les coûts et l'environnement d'exécution, verrouille l'ensemble des entrées, puis exécute un backtest déterministe — calculé par du code, jamais estimé par le LLM. Le résultat est enregistré de façon immuable, y compris lorsqu'il est défavorable ou que l'expérience a échoué, et la reproduction d'une expérience à entrées identiques doit produire un résultat identique, ce qui est vérifié par les tests d'acceptation du jalon correspondant. L'utilisateur peut ainsi lire, pour chaque expérience : hypothèses, période, univers, coûts, résultat et diagnostic.</w:t>
      </w:r>
    </w:p>
    <w:p>
      <w:pPr>
        <w:pStyle w:val="Heading2"/>
        <w:spacing w:after="160" w:before="280"/>
      </w:pPr>
      <w:r>
        <w:rPr>
          <w:rFonts w:ascii="Times New Roman" w:cs="Times New Roman" w:eastAsia="Times New Roman" w:hAnsi="Times New Roman"/>
          <w:b/>
          <w:bCs/>
        </w:rPr>
        <w:t xml:space="preserve">6.7. Plateforme, sécurité et exploitation</w:t>
      </w:r>
    </w:p>
    <w:p>
      <w:pPr>
        <w:spacing w:after="140" w:line="300"/>
        <w:jc w:val="both"/>
      </w:pPr>
      <w:r>
        <w:rPr>
          <w:rFonts w:ascii="Times New Roman" w:cs="Times New Roman" w:eastAsia="Times New Roman" w:hAnsi="Times New Roman"/>
        </w:rPr>
        <w:t xml:space="preserve">La plateforme fournit les fondations transverses : outbox d'événements idempotente et file de jobs priorisée pour l'orchestration asynchrone ; observabilité locale (métriques, traces, journaux à rétention limitée) excluant tout contenu sensible des logs ; sauvegarde chiffrée et restauration régies par un contrat de manifeste et éprouvées par un exercice complet documenté ; politique de rétention et purge administrative explicite ; et procédures d'incident, notamment l'exercice de panne du Spark qui vérifie que chaque mode de défaillance produit le bon statut public (modèle indisponible, délai dépassé avant le premier token, disjoncteur ouvert...) sans jamais déclencher de repli caché.</w:t>
      </w:r>
    </w:p>
    <w:p>
      <w:pPr>
        <w:spacing w:after="140" w:line="300"/>
        <w:jc w:val="both"/>
      </w:pPr>
      <w:r>
        <w:rPr>
          <w:rFonts w:ascii="Times New Roman" w:cs="Times New Roman" w:eastAsia="Times New Roman" w:hAnsi="Times New Roman"/>
        </w:rPr>
        <w:t xml:space="preserve">La sécurité a fait l'objet d'un audit dédié lors du jalon final : services liés à la boucle locale uniquement, interdiction de toute exposition publique, frontière réseau vers le Spark restreinte par liste blanche d'adresses, secrets hors dépôt, configuration hachée et auditée. Le modèle de menace d'un système personnel est modeste, mais la discipline appliquée est celle d'un système de production — un choix délibéré, car les données concernées (corpus sous droits, axes de recherche) sont précisément celles que l'utilisateur souhaite protéger.</w:t>
      </w:r>
    </w:p>
    <w:p>
      <w:pPr>
        <w:pStyle w:val="Heading2"/>
        <w:spacing w:after="160" w:before="280"/>
      </w:pPr>
      <w:r>
        <w:rPr>
          <w:rFonts w:ascii="Times New Roman" w:cs="Times New Roman" w:eastAsia="Times New Roman" w:hAnsi="Times New Roman"/>
          <w:b/>
          <w:bCs/>
        </w:rPr>
        <w:t xml:space="preserve">6.8. Interface utilisateur minimale</w:t>
      </w:r>
    </w:p>
    <w:p>
      <w:pPr>
        <w:spacing w:after="140" w:line="300"/>
        <w:jc w:val="both"/>
      </w:pPr>
      <w:r>
        <w:rPr>
          <w:rFonts w:ascii="Times New Roman" w:cs="Times New Roman" w:eastAsia="Times New Roman" w:hAnsi="Times New Roman"/>
        </w:rPr>
        <w:t xml:space="preserve">L'interface V1 vise un utilisateur non technicien pour le parcours courant : ajouter un PDF, attendre qu'il devienne interrogeable, poser une question, vérifier les preuves. Sa conception a retenu six surfaces : l'état local (santé de l'API, des files, de la passerelle LLM, du Spark et du stockage), le corpus PDF (ajout, métadonnées, suivi du diagnostic, du routage, de la conversion et de l'indexation), les détails documentaires (manifeste, diagnostics, routes, contrôles qualité, version canonique), la conversation, les preuves ouvrables et le monitoring. Le premier écran livré est l'écran corpus, raccordé au backend réel.</w:t>
      </w:r>
    </w:p>
    <w:p>
      <w:pPr>
        <w:spacing w:after="140" w:line="300"/>
        <w:jc w:val="both"/>
      </w:pPr>
      <w:r>
        <w:rPr>
          <w:rFonts w:ascii="Times New Roman" w:cs="Times New Roman" w:eastAsia="Times New Roman" w:hAnsi="Times New Roman"/>
        </w:rPr>
        <w:t xml:space="preserve">Une règle d'architecture dédiée encadre strictement cette interface : l'UI passe exclusivement par les contrats publics de l'API orchestratrice. Elle ne décide aucune vérité documentaire, ne simule aucune capacité absente, ne mocke rien : si un contrat est indisponible, la fonction correspondante affiche un blocage explicite. L'interface est ainsi un adaptateur de présentation, jamais une façade métier concurrente — cohérence ultime avec la règle « pas de fallback silencieux ».</w:t>
      </w:r>
    </w:p>
    <w:p>
      <w:pPr>
        <w:pStyle w:val="Heading2"/>
        <w:spacing w:after="160" w:before="280"/>
      </w:pPr>
      <w:r>
        <w:rPr>
          <w:rFonts w:ascii="Times New Roman" w:cs="Times New Roman" w:eastAsia="Times New Roman" w:hAnsi="Times New Roman"/>
          <w:b/>
          <w:bCs/>
        </w:rPr>
        <w:t xml:space="preserve">6.9. Évaluation pilote et calibration</w:t>
      </w:r>
    </w:p>
    <w:p>
      <w:pPr>
        <w:spacing w:after="140" w:line="300"/>
        <w:jc w:val="both"/>
      </w:pPr>
      <w:r>
        <w:rPr>
          <w:rFonts w:ascii="Times New Roman" w:cs="Times New Roman" w:eastAsia="Times New Roman" w:hAnsi="Times New Roman"/>
        </w:rPr>
        <w:t xml:space="preserve">L'avant-dernier jalon du plan a institutionnalisé l'évaluation. Un corpus pilote de 50 à 100 documents personnels réels a été constitué selon une politique de couverture par strates normatives — PDF numériques propres, scans propres, inclinés et bruités, anciennes couches OCR défectueuses, documents mixtes, textes français et anglais, tableaux financiers, équations, graphiques — et figé par un manifeste haché : toute modification après gel invalide les benchmarks. Sur ce corpus ont été mesurés : la justesse des routes documentaires et la calibration des seuils de qualité de conversion ; la qualité de la recherche de connaissances (rappel et précision au niveau des pages) ; la qualité des réponses vérifiées et de l'abstention ; le comportement du LLM principal en chemin réel (passerelle, Spark, vLLM, modèle épinglé) ; et la reproductibilité des backtests pilotes.</w:t>
      </w:r>
    </w:p>
    <w:p>
      <w:pPr>
        <w:spacing w:after="140" w:line="300"/>
        <w:jc w:val="both"/>
      </w:pPr>
      <w:r>
        <w:rPr>
          <w:rFonts w:ascii="Times New Roman" w:cs="Times New Roman" w:eastAsia="Times New Roman" w:hAnsi="Times New Roman"/>
        </w:rPr>
        <w:t xml:space="preserve">Ces mesures ont produit des décisions de calibration explicites, chacune sourcée par son rapport de benchmark plutôt que fixée par défaut : concurrence d'inférence de quatre requêtes, longueur de contexte exploitée de 8 192 tokens, image vLLM épinglée par empreinte, modèle épinglé par révision, et profil de ressources de l'hôte applicatif mesuré sous charge (environ 42 % de CPU sur huit cœurs alloués, 24 Gio de mémoire de travail, 512 Mio/s d'entrées-sorties sur NVMe, budget de stockage d'un Tio). Aucun réglage de capacité n'a été accepté sans mesure.</w:t>
      </w:r>
    </w:p>
    <w:p>
      <w:pPr>
        <w:pStyle w:val="Heading2"/>
        <w:spacing w:after="160" w:before="280"/>
      </w:pPr>
      <w:r>
        <w:rPr>
          <w:rFonts w:ascii="Times New Roman" w:cs="Times New Roman" w:eastAsia="Times New Roman" w:hAnsi="Times New Roman"/>
          <w:b/>
          <w:bCs/>
        </w:rPr>
        <w:t xml:space="preserve">6.10. Bilan d'acceptation V1 : un verdict transparent</w:t>
      </w:r>
    </w:p>
    <w:p>
      <w:pPr>
        <w:spacing w:after="140" w:line="300"/>
        <w:jc w:val="both"/>
      </w:pPr>
      <w:r>
        <w:rPr>
          <w:rFonts w:ascii="Times New Roman" w:cs="Times New Roman" w:eastAsia="Times New Roman" w:hAnsi="Times New Roman"/>
        </w:rPr>
        <w:t xml:space="preserve">Le stage s'est conclu par la publication du rapport d'acceptation V1, agrégeant l'ensemble des preuves via la gate finale. Le verdict, rendu le 8 juillet 2026, est une non-acceptation assumée : trois critères sont acceptés, trois sont différés de façon visible et deux restent bloquants. La Figure 8 en donne le tableau de bord, critère par critère.</w:t>
      </w:r>
    </w:p>
    <w:p>
      <w:pPr>
        <w:keepNext/>
        <w:spacing w:after="40" w:before="120"/>
        <w:jc w:val="center"/>
      </w:pPr>
      <w:r>
        <w:drawing>
          <wp:inline distT="0" distB="0" distL="0" distR="0">
            <wp:extent cx="5715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09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Figure 8 — Tableau de bord des verdicts d'acceptation V1 (8 juillet 2026)</w:t>
      </w:r>
    </w:p>
    <w:p>
      <w:pPr>
        <w:spacing w:after="140" w:line="300"/>
        <w:jc w:val="both"/>
      </w:pPr>
      <w:r>
        <w:rPr>
          <w:rFonts w:ascii="Times New Roman" w:cs="Times New Roman" w:eastAsia="Times New Roman" w:hAnsi="Times New Roman"/>
        </w:rPr>
        <w:t xml:space="preserve">Ce verdict peut surprendre dans un rapport de stage, où l'usage voudrait que l'on ne présente que des réussites. Il constitue pourtant, à mes yeux, l'un des résultats les plus significatifs du projet : le système de gouvernance construit pendant le stage a fonctionné jusqu'au bout, y compris contre l'intérêt narratif de son auteur. Chaque écart est identifié, documenté, relié à sa preuve et à la commande qui permet de le re-vérifier ; aucun n'a été accepté implicitement ni maquillé. C'est l'application à l'échelle du projet d'un principe fondateur : les résultats négatifs font partie de la connaissance. La chaîne complète — ingestion réelle de PDF, projection, réponse citée, conversation, stratégie, backtest — a par ailleurs été exécutée de bout en bout sur le pipeline réel (tâches d'exécution réelle du jalon final), condition sine qua non de l'acceptation finale.</w:t>
      </w:r>
    </w:p>
    <w:p>
      <w:pPr>
        <w:spacing w:after="140" w:before="60"/>
        <w:jc w:val="left"/>
      </w:pPr>
      <w:r>
        <w:rPr>
          <w:rFonts w:ascii="Times New Roman" w:cs="Times New Roman" w:eastAsia="Times New Roman" w:hAnsi="Times New Roman"/>
          <w:b/>
          <w:bCs/>
          <w:highlight w:val="yellow"/>
          <w:highlightCs w:val="yellow"/>
        </w:rPr>
        <w:t xml:space="preserve">[À COMPLÉTER — Insérer des captures d'écran : écran corpus de l'UI, une réponse citée avec ses statuts, un extrait de rapport de benchmark, un résultat de backtest.]</w:t>
      </w:r>
    </w:p>
    <w:p>
      <w:pPr>
        <w:pStyle w:val="Heading1"/>
        <w:pageBreakBefore/>
        <w:spacing w:after="240"/>
      </w:pPr>
      <w:r>
        <w:rPr>
          <w:rFonts w:ascii="Times New Roman" w:cs="Times New Roman" w:eastAsia="Times New Roman" w:hAnsi="Times New Roman"/>
          <w:b/>
          <w:bCs/>
        </w:rPr>
        <w:t xml:space="preserve">7. Bilan et analyse</w:t>
      </w:r>
    </w:p>
    <w:p>
      <w:pPr>
        <w:pStyle w:val="Heading2"/>
        <w:spacing w:after="160" w:before="280"/>
      </w:pPr>
      <w:r>
        <w:rPr>
          <w:rFonts w:ascii="Times New Roman" w:cs="Times New Roman" w:eastAsia="Times New Roman" w:hAnsi="Times New Roman"/>
          <w:b/>
          <w:bCs/>
        </w:rPr>
        <w:t xml:space="preserve">7.1. Bilan au regard du cahier des charges</w:t>
      </w:r>
    </w:p>
    <w:p>
      <w:pPr>
        <w:spacing w:after="140" w:line="300"/>
        <w:jc w:val="both"/>
      </w:pPr>
      <w:r>
        <w:rPr>
          <w:rFonts w:ascii="Times New Roman" w:cs="Times New Roman" w:eastAsia="Times New Roman" w:hAnsi="Times New Roman"/>
        </w:rPr>
        <w:t xml:space="preserve">Au terme du stage, les sept bounded contexts du système sont implémentés, testés et raccordés de bout en bout sur des documents réels ; la plateforme locale est exploitable (sauvegarde, restauration, monitoring, runbooks) ; l'évaluation pilote est en place et le premier écran de l'interface est livré. Le cahier des charges fonctionnel est couvert dans sa structure ; il ne l'est pas encore dans ses seuils de qualité, comme l'établit le rapport d'acceptation V1 : trois critères acceptés, trois différés, deux bloquants. Autrement dit, le produit existe et fonctionne, mais il n'est pas encore digne de confiance au niveau exigé par sa propre spécification — et il est capable de le dire lui-même, preuves à l'appui.</w:t>
      </w:r>
    </w:p>
    <w:p>
      <w:pPr>
        <w:spacing w:after="140" w:line="300"/>
        <w:jc w:val="both"/>
      </w:pPr>
      <w:r>
        <w:rPr>
          <w:rFonts w:ascii="Times New Roman" w:cs="Times New Roman" w:eastAsia="Times New Roman" w:hAnsi="Times New Roman"/>
        </w:rPr>
        <w:t xml:space="preserve">Ce résultat éclaire un choix assumé de conduite de projet : investir d'abord dans la gouvernance (spécification, ADR, gates, traçabilité, benchmarks) plutôt que dans une démonstration rapide. Un prototype RAG convaincant aurait pu être montré en deux semaines ; il aurait été impossible d'établir honnêtement ce qu'il valait. Le système livré est plus lent à atteindre l'acceptation, mais chaque progrès y est mesurable et chaque régression détectable — un actif décisif pour la suite du projet, qui se poursuivra au-delà du stage.</w:t>
      </w:r>
    </w:p>
    <w:p>
      <w:pPr>
        <w:pStyle w:val="Heading2"/>
        <w:spacing w:after="160" w:before="280"/>
      </w:pPr>
      <w:r>
        <w:rPr>
          <w:rFonts w:ascii="Times New Roman" w:cs="Times New Roman" w:eastAsia="Times New Roman" w:hAnsi="Times New Roman"/>
          <w:b/>
          <w:bCs/>
        </w:rPr>
        <w:t xml:space="preserve">7.2. Difficultés rencontrées et solutions apportées</w:t>
      </w:r>
    </w:p>
    <w:p>
      <w:pPr>
        <w:pStyle w:val="ListParagraph"/>
        <w:numPr>
          <w:ilvl w:val="0"/>
          <w:numId w:val="2"/>
        </w:numPr>
        <w:spacing w:after="80" w:line="300"/>
        <w:jc w:val="both"/>
      </w:pPr>
      <w:r>
        <w:rPr>
          <w:rFonts w:ascii="Times New Roman" w:cs="Times New Roman" w:eastAsia="Times New Roman" w:hAnsi="Times New Roman"/>
          <w:b/>
          <w:bCs/>
        </w:rPr>
        <w:t xml:space="preserve">Hétérogénéité documentaire. </w:t>
      </w:r>
      <w:r>
        <w:rPr>
          <w:rFonts w:ascii="Times New Roman" w:cs="Times New Roman" w:eastAsia="Times New Roman" w:hAnsi="Times New Roman"/>
        </w:rPr>
        <w:t xml:space="preserve">La principale difficulté technique fut la qualité de conversion d'un corpus réel : scans inclinés ou bruités, anciennes couches OCR fautives, tableaux financiers denses et équations mettent en échec toute chaîne de conversion uniforme. La réponse a été le routage explicite page par page avec quarantaine, plutôt qu'une conversion « au mieux » : le système préfère avouer qu'une page n'est pas exploitable que produire un texte faux qui contaminerait toute la chaîne aval. Les seuils de qualité restent en cours de calibration, d'où le report du critère SP.</w:t>
      </w:r>
    </w:p>
    <w:p>
      <w:pPr>
        <w:pStyle w:val="ListParagraph"/>
        <w:numPr>
          <w:ilvl w:val="0"/>
          <w:numId w:val="2"/>
        </w:numPr>
        <w:spacing w:after="80" w:line="300"/>
        <w:jc w:val="both"/>
      </w:pPr>
      <w:r>
        <w:rPr>
          <w:rFonts w:ascii="Times New Roman" w:cs="Times New Roman" w:eastAsia="Times New Roman" w:hAnsi="Times New Roman"/>
          <w:b/>
          <w:bCs/>
        </w:rPr>
        <w:t xml:space="preserve">Rappel de la recherche. </w:t>
      </w:r>
      <w:r>
        <w:rPr>
          <w:rFonts w:ascii="Times New Roman" w:cs="Times New Roman" w:eastAsia="Times New Roman" w:hAnsi="Times New Roman"/>
        </w:rPr>
        <w:t xml:space="preserve">Le benchmark KA a révélé un rappel sous le seuil visé sur le corpus pilote : certaines pages pertinentes n'étaient pas retrouvées. Le diagnostic pointe la sensibilité du découpage et des représentations au vocabulaire financier ; les pistes engagées sont l'ajustement des chunks, l'enrichissement des métadonnées et l'expansion de requête, déjà prévue en recherche approfondie. Ce point illustre l'écart, bien documenté dans la littérature, entre la facilité d'un RAG de démonstration et la difficulté d'un rappel mesuré sur corpus réel.</w:t>
      </w:r>
    </w:p>
    <w:p>
      <w:pPr>
        <w:pStyle w:val="ListParagraph"/>
        <w:numPr>
          <w:ilvl w:val="0"/>
          <w:numId w:val="2"/>
        </w:numPr>
        <w:spacing w:after="80" w:line="300"/>
        <w:jc w:val="both"/>
      </w:pPr>
      <w:r>
        <w:rPr>
          <w:rFonts w:ascii="Times New Roman" w:cs="Times New Roman" w:eastAsia="Times New Roman" w:hAnsi="Times New Roman"/>
          <w:b/>
          <w:bCs/>
        </w:rPr>
        <w:t xml:space="preserve">Coût de la discipline « sans fallback ». </w:t>
      </w:r>
      <w:r>
        <w:rPr>
          <w:rFonts w:ascii="Times New Roman" w:cs="Times New Roman" w:eastAsia="Times New Roman" w:hAnsi="Times New Roman"/>
        </w:rPr>
        <w:t xml:space="preserve">Interdire toute valeur par défaut et tout repli silencieux a un coût de développement réel : chaque cas limite doit être traité explicitement, chaque panne scénarisée. Ce coût s'est révélé être un investissement : les exercices de panne du Spark et de restauration se sont déroulés sans surprise, précisément parce qu'aucun comportement caché n'existait.</w:t>
      </w:r>
    </w:p>
    <w:p>
      <w:pPr>
        <w:pStyle w:val="ListParagraph"/>
        <w:numPr>
          <w:ilvl w:val="0"/>
          <w:numId w:val="2"/>
        </w:numPr>
        <w:spacing w:after="80" w:line="300"/>
        <w:jc w:val="both"/>
      </w:pPr>
      <w:r>
        <w:rPr>
          <w:rFonts w:ascii="Times New Roman" w:cs="Times New Roman" w:eastAsia="Times New Roman" w:hAnsi="Times New Roman"/>
          <w:b/>
          <w:bCs/>
        </w:rPr>
        <w:t xml:space="preserve">Encadrement d'agents de codage IA. </w:t>
      </w:r>
      <w:r>
        <w:rPr>
          <w:rFonts w:ascii="Times New Roman" w:cs="Times New Roman" w:eastAsia="Times New Roman" w:hAnsi="Times New Roman"/>
        </w:rPr>
        <w:t xml:space="preserve">Déléguer une partie de l'implémentation à des agents LLM expose à des dérives spécifiques : sur-ingénierie, gestion d'erreurs défensive non demandée, contournements silencieux d'un test difficile. Le processus BDD/TDD à commits RED/GREEN, les règles permanentes versionnées et les gates automatisées ont constitué le cadre de contrôle ; la compétence exercée se déplace alors vers la spécification, la revue et l'audit — un apprentissage précieux sur ce que devient le métier d'ingénieur logiciel.</w:t>
      </w:r>
    </w:p>
    <w:p>
      <w:pPr>
        <w:pStyle w:val="ListParagraph"/>
        <w:numPr>
          <w:ilvl w:val="0"/>
          <w:numId w:val="2"/>
        </w:numPr>
        <w:spacing w:after="80" w:line="300"/>
        <w:jc w:val="both"/>
      </w:pPr>
      <w:r>
        <w:rPr>
          <w:rFonts w:ascii="Times New Roman" w:cs="Times New Roman" w:eastAsia="Times New Roman" w:hAnsi="Times New Roman"/>
          <w:b/>
          <w:bCs/>
        </w:rPr>
        <w:t xml:space="preserve">Ampleur du périmètre. </w:t>
      </w:r>
      <w:r>
        <w:rPr>
          <w:rFonts w:ascii="Times New Roman" w:cs="Times New Roman" w:eastAsia="Times New Roman" w:hAnsi="Times New Roman"/>
        </w:rPr>
        <w:t xml:space="preserve">Mener seul, en huit semaines et quatorze jalons, un projet couvrant conversion documentaire, recherche, gouvernance épistémique, conversation, stratégies, backtesting, plateforme et évaluation a exigé une priorisation stricte : la valeur métier vérifiable d'abord, l'interface ensuite — ce qui explique qu'un seul écran soit livré côté UI, choix documenté plutôt que subi.</w:t>
      </w:r>
    </w:p>
    <w:p>
      <w:pPr>
        <w:pStyle w:val="Heading2"/>
        <w:spacing w:after="160" w:before="280"/>
      </w:pPr>
      <w:r>
        <w:rPr>
          <w:rFonts w:ascii="Times New Roman" w:cs="Times New Roman" w:eastAsia="Times New Roman" w:hAnsi="Times New Roman"/>
          <w:b/>
          <w:bCs/>
        </w:rPr>
        <w:t xml:space="preserve">7.3. Compétences mobilisées et acquises</w:t>
      </w:r>
    </w:p>
    <w:p>
      <w:pPr>
        <w:spacing w:after="140" w:line="300"/>
        <w:jc w:val="both"/>
      </w:pPr>
      <w:r>
        <w:rPr>
          <w:rFonts w:ascii="Times New Roman" w:cs="Times New Roman" w:eastAsia="Times New Roman" w:hAnsi="Times New Roman"/>
        </w:rPr>
        <w:t xml:space="preserve">Ce stage a mobilisé et approfondi un large spectre de compétences du référentiel de la formation Informatique et Réseaux. En architecture logicielle : Domain-Driven Design, monolithe modulaire, contrats versionnés, cohérence éventuelle, patrons de fiabilité (outbox, disjoncteur, idempotence). En ingénierie de l'IA : RAG et ses sous-composants, serveurs d'inférence, quantification, évaluation par benchmarks (rappel, précision, abstention), lutte structurelle contre l'hallucination. En systèmes et réseaux : conteneurisation, topologie multi-hôtes, cloisonnement réseau, TLS et gestion de secrets, sauvegarde et restauration. En qualité et gestion de projet : BDD/ATDD/TDD, gates automatisées, traçabilité exigences-tests-preuves, planification par jalons à valeur vérifiable, documentation d'exploitation. Enfin, en posture professionnelle : la rigueur épistémique — dire ce que l'on sait, ce que l'on ne sait pas, et le prouver — qui est peut-être l'acquis le plus transférable de cette expérience.</w:t>
      </w:r>
    </w:p>
    <w:p>
      <w:pPr>
        <w:pStyle w:val="Heading2"/>
        <w:spacing w:after="160" w:before="280"/>
      </w:pPr>
      <w:r>
        <w:rPr>
          <w:rFonts w:ascii="Times New Roman" w:cs="Times New Roman" w:eastAsia="Times New Roman" w:hAnsi="Times New Roman"/>
          <w:b/>
          <w:bCs/>
        </w:rPr>
        <w:t xml:space="preserve">7.4. Limites du système et considérations d'usage</w:t>
      </w:r>
    </w:p>
    <w:p>
      <w:pPr>
        <w:spacing w:after="140" w:line="300"/>
        <w:jc w:val="both"/>
      </w:pPr>
      <w:r>
        <w:rPr>
          <w:rFonts w:ascii="Times New Roman" w:cs="Times New Roman" w:eastAsia="Times New Roman" w:hAnsi="Times New Roman"/>
        </w:rPr>
        <w:t xml:space="preserve">Les limites du système doivent être énoncées avec la même exigence que ses capacités. C'est un outil personnel mono-utilisateur : ses garanties reposent sur un corpus dont l'utilisateur est responsable, et une bibliothèque biaisée produira des synthèses biaisées, aussi bien citées soient-elles. Ses réponses sont bornées par le corpus : il ne connaît ni l'actualité des marchés ni les données en temps réel, et il doit s'abstenir quand une question l'exige. Les résultats de backtest sont des mesures descriptives sur données historiques : ils ne préjugent d'aucune performance future et le système ne formule ni conseil en investissement ni promesse financière — garde-fous inscrits jusque dans son guide utilisateur. Enfin, la V1 n'est pas acceptée : tant que les écarts SP, KA, RA, SD et LLM ne sont pas levés, les réponses doivent être lues avec la prudence que leurs statuts affichent explicitement.</w:t>
      </w:r>
    </w:p>
    <w:p>
      <w:pPr>
        <w:pStyle w:val="Heading2"/>
        <w:spacing w:after="160" w:before="280"/>
      </w:pPr>
      <w:r>
        <w:rPr>
          <w:rFonts w:ascii="Times New Roman" w:cs="Times New Roman" w:eastAsia="Times New Roman" w:hAnsi="Times New Roman"/>
          <w:b/>
          <w:bCs/>
        </w:rPr>
        <w:t xml:space="preserve">7.5. Perspectives</w:t>
      </w:r>
    </w:p>
    <w:p>
      <w:pPr>
        <w:spacing w:after="140" w:line="300"/>
        <w:jc w:val="both"/>
      </w:pPr>
      <w:r>
        <w:rPr>
          <w:rFonts w:ascii="Times New Roman" w:cs="Times New Roman" w:eastAsia="Times New Roman" w:hAnsi="Times New Roman"/>
        </w:rPr>
        <w:t xml:space="preserve">La feuille de route à court terme découle directement des écarts documentés : calibrer les seuils de qualité documentaire (SP) ; remonter le rappel de la recherche au-dessus du seuil, par ajustement du découpage, expansion de requête et, si nécessaire, ajout d'un reranker (KA) ; renforcer la justesse de l'abstention (RA) ; doter chaque paramètre de stratégie d'un plan de calibration (SD) ; et compléter la promotion du modèle principal sur toutes les tâches obligatoires, le cas échéant en évaluant d'autres checkpoints via la même passerelle (LLM). À moyen terme, les extensions naturelles sont l'achèvement des six surfaces de l'interface, l'intégration gouvernée de données de marché pour enrichir l'expérimentation, et une exploration prudente des boucles agentiques outillées — planification de recherche multi-étapes notamment — dans le strict respect du principe « les modèles proposent, le domaine décide ».</w:t>
      </w:r>
    </w:p>
    <w:p>
      <w:pPr>
        <w:pStyle w:val="Heading1"/>
        <w:pageBreakBefore/>
        <w:spacing w:after="240"/>
      </w:pPr>
      <w:r>
        <w:rPr>
          <w:rFonts w:ascii="Times New Roman" w:cs="Times New Roman" w:eastAsia="Times New Roman" w:hAnsi="Times New Roman"/>
          <w:b/>
          <w:bCs/>
        </w:rPr>
        <w:t xml:space="preserve">8. Conclusion</w:t>
      </w:r>
    </w:p>
    <w:p>
      <w:pPr>
        <w:spacing w:after="140" w:line="300"/>
        <w:jc w:val="both"/>
      </w:pPr>
      <w:r>
        <w:rPr>
          <w:rFonts w:ascii="Times New Roman" w:cs="Times New Roman" w:eastAsia="Times New Roman" w:hAnsi="Times New Roman"/>
        </w:rPr>
        <w:t xml:space="preserve">Ce stage de quatrième année m'a permis de mener, de la spécification à l'évaluation, la construction d'un chatbot personnel local de recherche quantitative et de conception de stratégies de trading : un système qui transforme une bibliothèque personnelle de PDF financiers en connaissances vérifiables, citées et traçables, puis en stratégies candidates testées par des expériences reproductibles. Le parti pris fondateur — traiter le problème comme une chaîne épistémique à gouverner plutôt que comme une simple conversation avec des documents — a façonné chaque étage du système : versions canoniques immuables, preuves localisables, affirmations vérifiées, abstention explicite, calculs déterministes, résultats conservés.</w:t>
      </w:r>
    </w:p>
    <w:p>
      <w:pPr>
        <w:spacing w:after="140" w:line="300"/>
        <w:jc w:val="both"/>
      </w:pPr>
      <w:r>
        <w:rPr>
          <w:rFonts w:ascii="Times New Roman" w:cs="Times New Roman" w:eastAsia="Times New Roman" w:hAnsi="Times New Roman"/>
        </w:rPr>
        <w:t xml:space="preserve">Sur le plan technique, le projet démontre qu'une architecture d'IA exigeante est aujourd'hui réalisable intégralement en local : un monolithe modulaire conçu en Domain-Driven Design, adossé à PostgreSQL et Qdrant, alimenté par une chaîne documentaire Docling/OCRmyPDF, et servi par un modèle Gemma exécuté sur un DGX Spark via vLLM — sans qu'aucune donnée ne quitte le réseau privé. Sur le plan méthodologique, il illustre ce que l'ingénierie IA emprunte au meilleur du génie logiciel : BDD/TDD, décisions d'architecture explicites, gates automatisées, traçabilité et évaluation chiffrée, y compris lorsque celle-ci conduit à refuser l'acceptation de sa propre V1.</w:t>
      </w:r>
    </w:p>
    <w:p>
      <w:pPr>
        <w:spacing w:after="140" w:line="300"/>
        <w:jc w:val="both"/>
      </w:pPr>
      <w:r>
        <w:rPr>
          <w:rFonts w:ascii="Times New Roman" w:cs="Times New Roman" w:eastAsia="Times New Roman" w:hAnsi="Times New Roman"/>
        </w:rPr>
        <w:t xml:space="preserve">C'est sans doute la leçon principale que je retire de cette expérience : dans les systèmes fondés sur des modèles probabilistes, la valeur ne réside pas dans la démonstration qui impressionne, mais dans l'infrastructure de confiance qui permet de savoir ce que vaut le système — et de l'améliorer preuve après preuve. Les écarts documentés de la V1 constituent la feuille de route des prochains mois ; le cadre construit pendant ce stage garantit que chacun de leurs franchissements sera mesuré, tracé et démontré. Au-delà du produit, ce sont ces réflexes d'ingénieur — spécifier, prouver, mesurer, assumer — que je retiendrai pour la suite de mon parcours, et en particulier pour le projet de fin d'études.</w:t>
      </w:r>
    </w:p>
    <w:p>
      <w:pPr>
        <w:pStyle w:val="Heading1"/>
        <w:pageBreakBefore/>
        <w:spacing w:after="240"/>
      </w:pPr>
      <w:r>
        <w:rPr>
          <w:rFonts w:ascii="Times New Roman" w:cs="Times New Roman" w:eastAsia="Times New Roman" w:hAnsi="Times New Roman"/>
          <w:b/>
          <w:bCs/>
        </w:rPr>
        <w:t xml:space="preserve">Bibliographie</w:t>
      </w:r>
    </w:p>
    <w:p>
      <w:pPr>
        <w:spacing w:after="140" w:line="300"/>
        <w:jc w:val="both"/>
      </w:pPr>
      <w:r>
        <w:rPr>
          <w:rFonts w:ascii="Times New Roman" w:cs="Times New Roman" w:eastAsia="Times New Roman" w:hAnsi="Times New Roman"/>
        </w:rPr>
        <w:t xml:space="preserve">Ouvrages et articles :</w:t>
      </w:r>
    </w:p>
    <w:p>
      <w:pPr>
        <w:pStyle w:val="ListParagraph"/>
        <w:numPr>
          <w:ilvl w:val="0"/>
          <w:numId w:val="2"/>
        </w:numPr>
        <w:spacing w:after="80" w:line="300"/>
        <w:jc w:val="both"/>
      </w:pPr>
      <w:r>
        <w:rPr>
          <w:rFonts w:ascii="Times New Roman" w:cs="Times New Roman" w:eastAsia="Times New Roman" w:hAnsi="Times New Roman"/>
        </w:rPr>
        <w:t xml:space="preserve">WENGROW, Jay. A Common-Sense Guide to AI Engineering — Build Production-Ready LLM Applications. The Pragmatic Bookshelf, 2025.</w:t>
      </w:r>
    </w:p>
    <w:p>
      <w:pPr>
        <w:pStyle w:val="ListParagraph"/>
        <w:numPr>
          <w:ilvl w:val="0"/>
          <w:numId w:val="2"/>
        </w:numPr>
        <w:spacing w:after="80" w:line="300"/>
        <w:jc w:val="both"/>
      </w:pPr>
      <w:r>
        <w:rPr>
          <w:rFonts w:ascii="Times New Roman" w:cs="Times New Roman" w:eastAsia="Times New Roman" w:hAnsi="Times New Roman"/>
        </w:rPr>
        <w:t xml:space="preserve">EVANS, Eric. Domain-Driven Design: Tackling Complexity in the Heart of Software. Addison-Wesley, 2003.</w:t>
      </w:r>
    </w:p>
    <w:p>
      <w:pPr>
        <w:pStyle w:val="ListParagraph"/>
        <w:numPr>
          <w:ilvl w:val="0"/>
          <w:numId w:val="2"/>
        </w:numPr>
        <w:spacing w:after="80" w:line="300"/>
        <w:jc w:val="both"/>
      </w:pPr>
      <w:r>
        <w:rPr>
          <w:rFonts w:ascii="Times New Roman" w:cs="Times New Roman" w:eastAsia="Times New Roman" w:hAnsi="Times New Roman"/>
        </w:rPr>
        <w:t xml:space="preserve">VERNON, Vaughn. Implementing Domain-Driven Design. Addison-Wesley, 2013.</w:t>
      </w:r>
    </w:p>
    <w:p>
      <w:pPr>
        <w:pStyle w:val="ListParagraph"/>
        <w:numPr>
          <w:ilvl w:val="0"/>
          <w:numId w:val="2"/>
        </w:numPr>
        <w:spacing w:after="80" w:line="300"/>
        <w:jc w:val="both"/>
      </w:pPr>
      <w:r>
        <w:rPr>
          <w:rFonts w:ascii="Times New Roman" w:cs="Times New Roman" w:eastAsia="Times New Roman" w:hAnsi="Times New Roman"/>
        </w:rPr>
        <w:t xml:space="preserve">BECK, Kent. Test-Driven Development: By Example. Addison-Wesley, 2002.</w:t>
      </w:r>
    </w:p>
    <w:p>
      <w:pPr>
        <w:pStyle w:val="ListParagraph"/>
        <w:numPr>
          <w:ilvl w:val="0"/>
          <w:numId w:val="2"/>
        </w:numPr>
        <w:spacing w:after="80" w:line="300"/>
        <w:jc w:val="both"/>
      </w:pPr>
      <w:r>
        <w:rPr>
          <w:rFonts w:ascii="Times New Roman" w:cs="Times New Roman" w:eastAsia="Times New Roman" w:hAnsi="Times New Roman"/>
        </w:rPr>
        <w:t xml:space="preserve">NORTH, Dan. « Introducing BDD ». Better Software Magazine, 2006.</w:t>
      </w:r>
    </w:p>
    <w:p>
      <w:pPr>
        <w:pStyle w:val="ListParagraph"/>
        <w:numPr>
          <w:ilvl w:val="0"/>
          <w:numId w:val="2"/>
        </w:numPr>
        <w:spacing w:after="80" w:line="300"/>
        <w:jc w:val="both"/>
      </w:pPr>
      <w:r>
        <w:rPr>
          <w:rFonts w:ascii="Times New Roman" w:cs="Times New Roman" w:eastAsia="Times New Roman" w:hAnsi="Times New Roman"/>
        </w:rPr>
        <w:t xml:space="preserve">NYGARD, Michael. Release It! Design and Deploy Production-Ready Software (patron circuit breaker). Pragmatic Bookshelf, 2e éd., 2018.</w:t>
      </w:r>
    </w:p>
    <w:p>
      <w:pPr>
        <w:pStyle w:val="ListParagraph"/>
        <w:numPr>
          <w:ilvl w:val="0"/>
          <w:numId w:val="2"/>
        </w:numPr>
        <w:spacing w:after="80" w:line="300"/>
        <w:jc w:val="both"/>
      </w:pPr>
      <w:r>
        <w:rPr>
          <w:rFonts w:ascii="Times New Roman" w:cs="Times New Roman" w:eastAsia="Times New Roman" w:hAnsi="Times New Roman"/>
        </w:rPr>
        <w:t xml:space="preserve">NYGARD, Michael. « Documenting Architecture Decisions » (ADR), 2011.</w:t>
      </w:r>
    </w:p>
    <w:p>
      <w:pPr>
        <w:pStyle w:val="ListParagraph"/>
        <w:numPr>
          <w:ilvl w:val="0"/>
          <w:numId w:val="2"/>
        </w:numPr>
        <w:spacing w:after="80" w:line="300"/>
        <w:jc w:val="both"/>
      </w:pPr>
      <w:r>
        <w:rPr>
          <w:rFonts w:ascii="Times New Roman" w:cs="Times New Roman" w:eastAsia="Times New Roman" w:hAnsi="Times New Roman"/>
        </w:rPr>
        <w:t xml:space="preserve">LEWIS, Patrick, et al. « Retrieval-Augmented Generation for Knowledge-Intensive NLP Tasks ». NeurIPS, 2020.</w:t>
      </w:r>
    </w:p>
    <w:p>
      <w:pPr>
        <w:spacing w:after="140" w:before="160"/>
        <w:jc w:val="both"/>
      </w:pPr>
      <w:r>
        <w:rPr>
          <w:rFonts w:ascii="Times New Roman" w:cs="Times New Roman" w:eastAsia="Times New Roman" w:hAnsi="Times New Roman"/>
        </w:rPr>
        <w:t xml:space="preserve">Documentations techniques :</w:t>
      </w:r>
    </w:p>
    <w:p>
      <w:pPr>
        <w:pStyle w:val="ListParagraph"/>
        <w:numPr>
          <w:ilvl w:val="0"/>
          <w:numId w:val="2"/>
        </w:numPr>
        <w:spacing w:after="80" w:line="300"/>
        <w:jc w:val="both"/>
      </w:pPr>
      <w:r>
        <w:rPr>
          <w:rFonts w:ascii="Times New Roman" w:cs="Times New Roman" w:eastAsia="Times New Roman" w:hAnsi="Times New Roman"/>
        </w:rPr>
        <w:t xml:space="preserve">Docling et Granite-Docling (IBM Research) — conversion documentaire structurée. https://docling-project.github.io/docling/</w:t>
      </w:r>
    </w:p>
    <w:p>
      <w:pPr>
        <w:pStyle w:val="ListParagraph"/>
        <w:numPr>
          <w:ilvl w:val="0"/>
          <w:numId w:val="2"/>
        </w:numPr>
        <w:spacing w:after="80" w:line="300"/>
        <w:jc w:val="both"/>
      </w:pPr>
      <w:r>
        <w:rPr>
          <w:rFonts w:ascii="Times New Roman" w:cs="Times New Roman" w:eastAsia="Times New Roman" w:hAnsi="Times New Roman"/>
        </w:rPr>
        <w:t xml:space="preserve">vLLM — serveur d'inférence LLM. https://docs.vllm.ai/</w:t>
      </w:r>
    </w:p>
    <w:p>
      <w:pPr>
        <w:pStyle w:val="ListParagraph"/>
        <w:numPr>
          <w:ilvl w:val="0"/>
          <w:numId w:val="2"/>
        </w:numPr>
        <w:spacing w:after="80" w:line="300"/>
        <w:jc w:val="both"/>
      </w:pPr>
      <w:r>
        <w:rPr>
          <w:rFonts w:ascii="Times New Roman" w:cs="Times New Roman" w:eastAsia="Times New Roman" w:hAnsi="Times New Roman"/>
        </w:rPr>
        <w:t xml:space="preserve">Gemma (Google) — famille de modèles à poids ouverts. https://ai.google.dev/gemma</w:t>
      </w:r>
    </w:p>
    <w:p>
      <w:pPr>
        <w:pStyle w:val="ListParagraph"/>
        <w:numPr>
          <w:ilvl w:val="0"/>
          <w:numId w:val="2"/>
        </w:numPr>
        <w:spacing w:after="80" w:line="300"/>
        <w:jc w:val="both"/>
      </w:pPr>
      <w:r>
        <w:rPr>
          <w:rFonts w:ascii="Times New Roman" w:cs="Times New Roman" w:eastAsia="Times New Roman" w:hAnsi="Times New Roman"/>
        </w:rPr>
        <w:t xml:space="preserve">Qdrant — base de données vectorielle. https://qdrant.tech/documentation/</w:t>
      </w:r>
    </w:p>
    <w:p>
      <w:pPr>
        <w:pStyle w:val="ListParagraph"/>
        <w:numPr>
          <w:ilvl w:val="0"/>
          <w:numId w:val="2"/>
        </w:numPr>
        <w:spacing w:after="80" w:line="300"/>
        <w:jc w:val="both"/>
      </w:pPr>
      <w:r>
        <w:rPr>
          <w:rFonts w:ascii="Times New Roman" w:cs="Times New Roman" w:eastAsia="Times New Roman" w:hAnsi="Times New Roman"/>
        </w:rPr>
        <w:t xml:space="preserve">PostgreSQL. https://www.postgresql.org/docs/</w:t>
      </w:r>
    </w:p>
    <w:p>
      <w:pPr>
        <w:pStyle w:val="ListParagraph"/>
        <w:numPr>
          <w:ilvl w:val="0"/>
          <w:numId w:val="2"/>
        </w:numPr>
        <w:spacing w:after="80" w:line="300"/>
        <w:jc w:val="both"/>
      </w:pPr>
      <w:r>
        <w:rPr>
          <w:rFonts w:ascii="Times New Roman" w:cs="Times New Roman" w:eastAsia="Times New Roman" w:hAnsi="Times New Roman"/>
        </w:rPr>
        <w:t xml:space="preserve">FastAPI. https://fastapi.tiangolo.com/</w:t>
      </w:r>
    </w:p>
    <w:p>
      <w:pPr>
        <w:pStyle w:val="ListParagraph"/>
        <w:numPr>
          <w:ilvl w:val="0"/>
          <w:numId w:val="2"/>
        </w:numPr>
        <w:spacing w:after="80" w:line="300"/>
        <w:jc w:val="both"/>
      </w:pPr>
      <w:r>
        <w:rPr>
          <w:rFonts w:ascii="Times New Roman" w:cs="Times New Roman" w:eastAsia="Times New Roman" w:hAnsi="Times New Roman"/>
        </w:rPr>
        <w:t xml:space="preserve">OCRmyPDF. https://ocrmypdf.readthedocs.io/</w:t>
      </w:r>
    </w:p>
    <w:p>
      <w:pPr>
        <w:pStyle w:val="ListParagraph"/>
        <w:numPr>
          <w:ilvl w:val="0"/>
          <w:numId w:val="2"/>
        </w:numPr>
        <w:spacing w:after="80" w:line="300"/>
        <w:jc w:val="both"/>
      </w:pPr>
      <w:r>
        <w:rPr>
          <w:rFonts w:ascii="Times New Roman" w:cs="Times New Roman" w:eastAsia="Times New Roman" w:hAnsi="Times New Roman"/>
        </w:rPr>
        <w:t xml:space="preserve">Docker et Docker Compose. https://docs.docker.com/</w:t>
      </w:r>
    </w:p>
    <w:p>
      <w:pPr>
        <w:pStyle w:val="ListParagraph"/>
        <w:numPr>
          <w:ilvl w:val="0"/>
          <w:numId w:val="2"/>
        </w:numPr>
        <w:spacing w:after="80" w:line="300"/>
        <w:jc w:val="both"/>
      </w:pPr>
      <w:r>
        <w:rPr>
          <w:rFonts w:ascii="Times New Roman" w:cs="Times New Roman" w:eastAsia="Times New Roman" w:hAnsi="Times New Roman"/>
        </w:rPr>
        <w:t xml:space="preserve">Caddy. https://caddyserver.com/docs/</w:t>
      </w:r>
    </w:p>
    <w:p>
      <w:pPr>
        <w:pStyle w:val="ListParagraph"/>
        <w:numPr>
          <w:ilvl w:val="0"/>
          <w:numId w:val="2"/>
        </w:numPr>
        <w:spacing w:after="80" w:line="300"/>
        <w:jc w:val="both"/>
      </w:pPr>
      <w:r>
        <w:rPr>
          <w:rFonts w:ascii="Times New Roman" w:cs="Times New Roman" w:eastAsia="Times New Roman" w:hAnsi="Times New Roman"/>
        </w:rPr>
        <w:t xml:space="preserve">NVIDIA DGX Spark. https://www.nvidia.com/</w:t>
      </w:r>
    </w:p>
    <w:p>
      <w:pPr>
        <w:spacing w:after="140" w:before="160"/>
        <w:jc w:val="both"/>
      </w:pPr>
      <w:r>
        <w:rPr>
          <w:rFonts w:ascii="Times New Roman" w:cs="Times New Roman" w:eastAsia="Times New Roman" w:hAnsi="Times New Roman"/>
        </w:rPr>
        <w:t xml:space="preserve">Projet :</w:t>
      </w:r>
    </w:p>
    <w:p>
      <w:pPr>
        <w:spacing w:before="160"/>
        <w:jc w:val="both"/>
      </w:pPr>
      <w:r>
        <w:rPr>
          <w:rFonts w:ascii="Times New Roman" w:cs="Times New Roman" w:eastAsia="Times New Roman" w:hAnsi="Times New Roman"/>
          <w:i/>
          <w:iCs/>
          <w:sz w:val="20"/>
          <w:szCs w:val="20"/>
        </w:rPr>
        <w:t xml:space="preserve">Conformément aux consignes du guide de stage, tout document utilisé est référencé ci-dessus ; aucun contenu n'a été repris sans citation de sa source.</w:t>
      </w:r>
    </w:p>
    <w:p>
      <w:pPr>
        <w:pStyle w:val="Heading1"/>
        <w:pageBreakBefore/>
        <w:spacing w:after="240"/>
      </w:pPr>
      <w:r>
        <w:rPr>
          <w:rFonts w:ascii="Times New Roman" w:cs="Times New Roman" w:eastAsia="Times New Roman" w:hAnsi="Times New Roman"/>
          <w:b/>
          <w:bCs/>
        </w:rPr>
        <w:t xml:space="preserve">Lexique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Terme</w:t>
            </w:r>
          </w:p>
        </w:tc>
        <w:tc>
          <w:tcPr>
            <w:tcW w:type="dxa" w:w="6626"/>
            <w:shd w:fill="D9D9D9" w:val="clear"/>
            <w:tcMar>
              <w:top w:type="dxa" w:w="60"/>
              <w:left w:type="dxa" w:w="100"/>
              <w:bottom w:type="dxa" w:w="60"/>
              <w:right w:type="dxa" w:w="100"/>
            </w:tcMar>
          </w:tcPr>
          <w:p>
            <w:pPr>
              <w:spacing w:after="0" w:line="260"/>
              <w:jc w:val="left"/>
            </w:pPr>
            <w:r>
              <w:rPr>
                <w:rFonts w:ascii="Times New Roman" w:cs="Times New Roman" w:eastAsia="Times New Roman" w:hAnsi="Times New Roman"/>
                <w:b/>
                <w:bCs/>
                <w:sz w:val="21"/>
                <w:szCs w:val="21"/>
              </w:rPr>
              <w:t xml:space="preserve">Définition</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Abstention</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Refus explicite du système de publier une réponse factuelle lorsque les preuves sont insuffisantes ou contradictoires.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ADR</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Architecture Decision Record : document court consignant une décision d'architecture, son contexte et ses conséquences.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Affirmation (claim)</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Proposition atomique attribuée à une source, vérifiable séparément ; agrégat central du système.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Backtest</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Simulation d'une stratégie de trading sur des données historiques, calculée de façon déterministe.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BDD / ATDD / TDD</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Développement piloté par le comportement, par les tests d'acceptation et par les tests unitaires.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Bounded context</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Frontière DDD à l'intérieur de laquelle un modèle et son langage ont un sens précis et exclusif.</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Chunk</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Fragment de document découpé pour l'indexation, traçable vers sa page et son span d'origine.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Circuit breaker</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Disjoncteur logiciel : après des échecs répétés, les appels sont bloqués jusqu'à validation du rétablissement.</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Embedding</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Représentation vectorielle dense d'un texte, permettant la recherche par similarité sémantique.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Gate</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Contrôle automatisé bloquant : un jalon ne peut être validé si une gate est rouge.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Hallucination</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Production par un LLM d'un contenu plausible mais faux ou non fondé sur les sources.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LLM</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Large Language Model : grand modèle de langage, prédicteur statistique de texte.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Local-first</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Conception dans laquelle traitement et données restent sur les machines de l'utilisateur.</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OCR</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Reconnaissance optique de caractères : extraction de texte depuis une image ou un scan.</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Outbox</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Patron garantissant la publication fiable et idempotente d'événements avec la transaction métier.</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Projection</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Représentation dérivée et régénérable des données (ex. index de recherche) ; jamais source de vérité.</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Quantification (NVFP4)</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Réduction de la précision numérique d'un modèle pour l'exécuter sur un matériel donné.</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RAG</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Retrieval-Augmented Generation : génération augmentée par la recherche de passages dans un corpus.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Rappel / précision</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Proportion des éléments pertinents retrouvés / proportion des éléments retrouvés qui sont pertinents.</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Reranker</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Modèle réordonnant les résultats d'une recherche pour en améliorer la pertinence.</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Snapshot</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Copie immuable et datée d'un état (stratégie, données) garantissant la reproductibilité.</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SourceLocator</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Identifiant publié localisant un fragment : document, version canonique, page, span.</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Version canonique</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Représentation acceptée et immuable d'un document, faisant autorité pour les traitements aval.</w:t>
            </w:r>
          </w:p>
        </w:tc>
      </w:tr>
      <w:tr>
        <w:tc>
          <w:tcPr>
            <w:tcW w:type="dxa" w:w="2400"/>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vLLM</w:t>
            </w:r>
          </w:p>
        </w:tc>
        <w:tc>
          <w:tcPr>
            <w:tcW w:type="dxa" w:w="6626"/>
            <w:tcMar>
              <w:top w:type="dxa" w:w="60"/>
              <w:left w:type="dxa" w:w="100"/>
              <w:bottom w:type="dxa" w:w="60"/>
              <w:right w:type="dxa" w:w="100"/>
            </w:tcMar>
          </w:tcPr>
          <w:p>
            <w:pPr>
              <w:spacing w:after="0" w:line="260"/>
              <w:jc w:val="left"/>
            </w:pPr>
            <w:r>
              <w:rPr>
                <w:rFonts w:ascii="Times New Roman" w:cs="Times New Roman" w:eastAsia="Times New Roman" w:hAnsi="Times New Roman"/>
                <w:b w:val="false"/>
                <w:bCs w:val="false"/>
                <w:sz w:val="21"/>
                <w:szCs w:val="21"/>
              </w:rPr>
              <w:t xml:space="preserve">Serveur d'inférence haute performance exposant un LLM derrière une API compatible OpenAI.</w:t>
            </w:r>
          </w:p>
        </w:tc>
      </w:tr>
    </w:tbl>
    <w:p>
      <w:pPr>
        <w:pStyle w:val="Heading1"/>
        <w:pageBreakBefore/>
        <w:spacing w:after="240"/>
      </w:pPr>
      <w:r>
        <w:rPr>
          <w:rFonts w:ascii="Times New Roman" w:cs="Times New Roman" w:eastAsia="Times New Roman" w:hAnsi="Times New Roman"/>
          <w:b/>
          <w:bCs/>
        </w:rPr>
        <w:t xml:space="preserve">Liste des annexes</w:t>
      </w:r>
    </w:p>
    <w:p>
      <w:pPr>
        <w:spacing w:after="140" w:line="300"/>
        <w:jc w:val="both"/>
      </w:pPr>
      <w:r>
        <w:rPr>
          <w:rFonts w:ascii="Times New Roman" w:cs="Times New Roman" w:eastAsia="Times New Roman" w:hAnsi="Times New Roman"/>
        </w:rPr>
        <w:t xml:space="preserve">Les annexes permettent d'alléger le corps du rapport tout en le valorisant ; chaque document cité y est référencé.</w:t>
      </w:r>
    </w:p>
    <w:p>
      <w:pPr>
        <w:pStyle w:val="ListParagraph"/>
        <w:numPr>
          <w:ilvl w:val="0"/>
          <w:numId w:val="2"/>
        </w:numPr>
        <w:spacing w:after="80" w:line="300"/>
        <w:jc w:val="both"/>
      </w:pPr>
      <w:r>
        <w:rPr>
          <w:rFonts w:ascii="Times New Roman" w:cs="Times New Roman" w:eastAsia="Times New Roman" w:hAnsi="Times New Roman"/>
        </w:rPr>
        <w:t xml:space="preserve">Annexe A — Procédure de dépôt du rapport sur la GED (fournie par l'ESAIP).</w:t>
      </w:r>
    </w:p>
    <w:p>
      <w:pPr>
        <w:pStyle w:val="ListParagraph"/>
        <w:numPr>
          <w:ilvl w:val="0"/>
          <w:numId w:val="2"/>
        </w:numPr>
        <w:spacing w:after="80" w:line="300"/>
        <w:jc w:val="both"/>
      </w:pPr>
      <w:r>
        <w:rPr>
          <w:rFonts w:ascii="Times New Roman" w:cs="Times New Roman" w:eastAsia="Times New Roman" w:hAnsi="Times New Roman"/>
        </w:rPr>
        <w:t xml:space="preserve">Annexe B — Index des décisions d'architecture (30 ADR) et matrice de traçabilité du projet.</w:t>
      </w:r>
    </w:p>
    <w:p>
      <w:pPr>
        <w:pStyle w:val="ListParagraph"/>
        <w:numPr>
          <w:ilvl w:val="0"/>
          <w:numId w:val="2"/>
        </w:numPr>
        <w:spacing w:after="80" w:line="300"/>
        <w:jc w:val="both"/>
      </w:pPr>
      <w:r>
        <w:rPr>
          <w:rFonts w:ascii="Times New Roman" w:cs="Times New Roman" w:eastAsia="Times New Roman" w:hAnsi="Times New Roman"/>
        </w:rPr>
        <w:t xml:space="preserve">Annexe C — Extrait de la spécification unifiée : principes directeurs du domaine et carte des contextes.</w:t>
      </w:r>
    </w:p>
    <w:p>
      <w:pPr>
        <w:pStyle w:val="ListParagraph"/>
        <w:numPr>
          <w:ilvl w:val="0"/>
          <w:numId w:val="2"/>
        </w:numPr>
        <w:spacing w:after="80" w:line="300"/>
        <w:jc w:val="both"/>
      </w:pPr>
      <w:r>
        <w:rPr>
          <w:rFonts w:ascii="Times New Roman" w:cs="Times New Roman" w:eastAsia="Times New Roman" w:hAnsi="Times New Roman"/>
        </w:rPr>
        <w:t xml:space="preserve">Annexe D — Fichier de configuration applicative d'exemple et son schéma de validation.</w:t>
      </w:r>
    </w:p>
    <w:p>
      <w:pPr>
        <w:pStyle w:val="ListParagraph"/>
        <w:numPr>
          <w:ilvl w:val="0"/>
          <w:numId w:val="2"/>
        </w:numPr>
        <w:spacing w:after="80" w:line="300"/>
        <w:jc w:val="both"/>
      </w:pPr>
      <w:r>
        <w:rPr>
          <w:rFonts w:ascii="Times New Roman" w:cs="Times New Roman" w:eastAsia="Times New Roman" w:hAnsi="Times New Roman"/>
        </w:rPr>
        <w:t xml:space="preserve">Annexe E — Guide utilisateur V1 : capacités, statuts publics et garde-fous.</w:t>
      </w:r>
    </w:p>
    <w:p>
      <w:pPr>
        <w:pStyle w:val="ListParagraph"/>
        <w:numPr>
          <w:ilvl w:val="0"/>
          <w:numId w:val="2"/>
        </w:numPr>
        <w:spacing w:after="80" w:line="300"/>
        <w:jc w:val="both"/>
      </w:pPr>
      <w:r>
        <w:rPr>
          <w:rFonts w:ascii="Times New Roman" w:cs="Times New Roman" w:eastAsia="Times New Roman" w:hAnsi="Times New Roman"/>
        </w:rPr>
        <w:t xml:space="preserve">Annexe F — Rapport d'acceptation V1 : verdicts, preuves et commandes de vérification.</w:t>
      </w:r>
    </w:p>
    <w:p>
      <w:pPr>
        <w:pStyle w:val="ListParagraph"/>
        <w:numPr>
          <w:ilvl w:val="0"/>
          <w:numId w:val="2"/>
        </w:numPr>
        <w:spacing w:after="80" w:line="300"/>
        <w:jc w:val="both"/>
      </w:pPr>
      <w:r>
        <w:rPr>
          <w:rFonts w:ascii="Times New Roman" w:cs="Times New Roman" w:eastAsia="Times New Roman" w:hAnsi="Times New Roman"/>
        </w:rPr>
        <w:t xml:space="preserve">Annexe G — Runbooks d'exploitation : démarrage local, ingestion PDF, sauvegarde/restauration, incidents Spark.</w:t>
      </w:r>
    </w:p>
    <w:p>
      <w:pPr>
        <w:spacing w:after="140" w:before="60"/>
        <w:jc w:val="left"/>
      </w:pPr>
      <w:r>
        <w:rPr>
          <w:rFonts w:ascii="Times New Roman" w:cs="Times New Roman" w:eastAsia="Times New Roman" w:hAnsi="Times New Roman"/>
          <w:b/>
          <w:bCs/>
          <w:highlight w:val="yellow"/>
          <w:highlightCs w:val="yellow"/>
        </w:rPr>
        <w:t xml:space="preserve">[À COMPLÉTER — Annexe H — Planning réel du stage (Gantt) et compte rendu d'avancement à mi-parcours.]</w:t>
      </w:r>
    </w:p>
    <w:p>
      <w:pPr>
        <w:spacing w:after="140" w:before="60"/>
        <w:jc w:val="left"/>
      </w:pPr>
      <w:r>
        <w:rPr>
          <w:rFonts w:ascii="Times New Roman" w:cs="Times New Roman" w:eastAsia="Times New Roman" w:hAnsi="Times New Roman"/>
          <w:b/>
          <w:bCs/>
          <w:highlight w:val="yellow"/>
          <w:highlightCs w:val="yellow"/>
        </w:rPr>
        <w:t xml:space="preserve">[À COMPLÉTER — Annexe I — Captures d'écran de l'interface et exemples de réponses citées.]</w:t>
      </w:r>
    </w:p>
    <w:p>
      <w:pPr>
        <w:pStyle w:val="Heading1"/>
        <w:pageBreakBefore/>
        <w:spacing w:after="240"/>
      </w:pPr>
      <w:r>
        <w:rPr>
          <w:rFonts w:ascii="Times New Roman" w:cs="Times New Roman" w:eastAsia="Times New Roman" w:hAnsi="Times New Roman"/>
          <w:b/>
          <w:bCs/>
        </w:rPr>
        <w:t xml:space="preserve">Résumés (4ᵉ de couverture)</w:t>
      </w:r>
    </w:p>
    <w:p>
      <w:pPr>
        <w:pStyle w:val="Heading2"/>
        <w:spacing w:after="160" w:before="280"/>
      </w:pPr>
      <w:r>
        <w:rPr>
          <w:rFonts w:ascii="Times New Roman" w:cs="Times New Roman" w:eastAsia="Times New Roman" w:hAnsi="Times New Roman"/>
          <w:b/>
          <w:bCs/>
        </w:rPr>
        <w:t xml:space="preserve">Résumé (français)</w:t>
      </w:r>
    </w:p>
    <w:p>
      <w:pPr>
        <w:spacing w:after="140" w:line="300"/>
        <w:jc w:val="both"/>
      </w:pPr>
      <w:r>
        <w:rPr>
          <w:rFonts w:ascii="Times New Roman" w:cs="Times New Roman" w:eastAsia="Times New Roman" w:hAnsi="Times New Roman"/>
        </w:rPr>
        <w:t xml:space="preserve">Ce stage de quatrième année, réalisé au sein de la société de conseil Sybella SA, a porté sur la conception, le développement et l'évaluation d'un chatbot personnel exécuté intégralement en local, destiné à la recherche quantitative et à l'aide à la conception de stratégies de trading. À partir d'une bibliothèque personnelle de PDF consacrés au trading et à l'investissement, le système gouverne une chaîne épistémique complète : versions canoniques immuables des documents, preuves localisables, affirmations vérifiées, réponses citées avec abstention explicite, stratégies candidates dont chaque règle a une origine, et backtests déterministes reproductibles. L'architecture est un monolithe modulaire Domain-Driven Design (sept bounded contexts) déployé sur deux hôtes : un NVIDIA DGX Spark servant le modèle Gemma via vLLM, et un hôte Docker local (PostgreSQL, Qdrant, Docling, OCRmyPDF, FastAPI). Le développement, mené en BDD/TDD sous gouvernance d'ADR et de gates automatisées, s'est conclu par une évaluation pilote chiffrée et un rapport d'acceptation V1 transparent, dont les écarts documentés constituent la feuille de route du projet.</w:t>
      </w:r>
    </w:p>
    <w:p>
      <w:pPr>
        <w:pStyle w:val="Heading2"/>
        <w:spacing w:after="160" w:before="280"/>
      </w:pPr>
      <w:r>
        <w:rPr>
          <w:rFonts w:ascii="Times New Roman" w:cs="Times New Roman" w:eastAsia="Times New Roman" w:hAnsi="Times New Roman"/>
          <w:b/>
          <w:bCs/>
        </w:rPr>
        <w:t xml:space="preserve">Abstract (English)</w:t>
      </w:r>
    </w:p>
    <w:p>
      <w:pPr>
        <w:spacing w:after="140" w:line="300"/>
        <w:jc w:val="both"/>
      </w:pPr>
      <w:r>
        <w:rPr>
          <w:rFonts w:ascii="Times New Roman" w:cs="Times New Roman" w:eastAsia="Times New Roman" w:hAnsi="Times New Roman"/>
        </w:rPr>
        <w:t xml:space="preserve">This fourth-year internship, carried out at the consulting company Sybella SA, covered the design, development and evaluation of a fully local personal chatbot for quantitative research and trading strategy design. Starting from a large personal library of trading and investment PDFs, the system governs a complete epistemic chain: immutable canonical document versions, locatable evidence, verified claims, cited answers with explicit abstention, candidate strategies in which every rule has an explicit origin, and deterministic, reproducible backtests. The architecture is a Domain-Driven Design modular monolith (seven bounded contexts) deployed across two hosts: an NVIDIA DGX Spark serving a Gemma model through vLLM, and a local Docker host running PostgreSQL, Qdrant, the Docling/OCRmyPDF document pipeline and a FastAPI orchestration layer. Development followed a strict BDD/TDD process governed by architecture decision records, automated gates and a traceability matrix, and concluded with a quantified pilot evaluation and a transparent V1 acceptance report whose documented gaps now form the project roadmap.</w:t>
      </w:r>
    </w:p>
    <w:p>
      <w:pPr>
        <w:pStyle w:val="Heading2"/>
        <w:spacing w:after="160" w:before="280"/>
      </w:pPr>
      <w:r>
        <w:rPr>
          <w:rFonts w:ascii="Times New Roman" w:cs="Times New Roman" w:eastAsia="Times New Roman" w:hAnsi="Times New Roman"/>
          <w:b/>
          <w:bCs/>
        </w:rPr>
        <w:t xml:space="preserve">Resumen (LV2 — espagnol)</w:t>
      </w:r>
    </w:p>
    <w:p>
      <w:pPr>
        <w:spacing w:after="140" w:before="60"/>
        <w:jc w:val="left"/>
      </w:pPr>
      <w:r>
        <w:rPr>
          <w:rFonts w:ascii="Times New Roman" w:cs="Times New Roman" w:eastAsia="Times New Roman" w:hAnsi="Times New Roman"/>
          <w:b/>
          <w:bCs/>
          <w:highlight w:val="yellow"/>
          <w:highlightCs w:val="yellow"/>
        </w:rPr>
        <w:t xml:space="preserve">[À COMPLÉTER — Adapter cette section à votre LV2 réelle (allemand, espagnol ou italien).]</w:t>
      </w:r>
    </w:p>
    <w:p>
      <w:pPr>
        <w:spacing w:after="140" w:line="300"/>
        <w:jc w:val="both"/>
      </w:pPr>
      <w:r>
        <w:rPr>
          <w:rFonts w:ascii="Times New Roman" w:cs="Times New Roman" w:eastAsia="Times New Roman" w:hAnsi="Times New Roman"/>
        </w:rPr>
        <w:t xml:space="preserve">Estas prácticas de cuarto año, realizadas en la consultora Sybella SA, se centraron en el diseño, el desarrollo y la evaluación de un chatbot personal totalmente local, destinado a la investigación cuantitativa y al diseño de estrategias de trading. A partir de una amplia biblioteca personal de documentos PDF sobre trading e inversión, el sistema gobierna una cadena epistémica completa: versiones canónicas inmutables de los documentos, evidencias localizables, afirmaciones verificadas, respuestas citadas con abstención explícita, estrategias candidatas cuyas reglas tienen un origen explícito y backtests deterministas y reproducibles. La arquitectura es un monolito modular basado en Domain-Driven Design (siete bounded contexts), desplegado en dos máquinas: un NVIDIA DGX Spark que sirve el modelo Gemma mediante vLLM y un host Docker local con PostgreSQL, Qdrant, Docling, OCRmyPDF y FastAPI. El desarrollo, realizado con BDD/TDD bajo la gobernanza de ADR y de controles automatizados, concluyó con una evaluación piloto cuantificada y un informe de aceptación V1 transparente, cuyas desviaciones documentadas constituyen la hoja de ruta del proyecto.</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395"/>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e33cb1bbcc29e65154ec15412a5474031d2a4a4.png"/><Relationship Id="rId10" Type="http://schemas.openxmlformats.org/officeDocument/2006/relationships/image" Target="media/d94bef19b803d08b7e4ee8054c27ddb0acf929e7.png"/><Relationship Id="rId11" Type="http://schemas.openxmlformats.org/officeDocument/2006/relationships/image" Target="media/c6e88b527479809d08c8e77145574862187cb11b.png"/><Relationship Id="rId12" Type="http://schemas.openxmlformats.org/officeDocument/2006/relationships/image" Target="media/600f1f75914ea015b30b6aa8f59c3283add1cb31.png"/><Relationship Id="rId13" Type="http://schemas.openxmlformats.org/officeDocument/2006/relationships/image" Target="media/1675e3202d56b5cb23e484cdb0736433387c7233.png"/><Relationship Id="rId14" Type="http://schemas.openxmlformats.org/officeDocument/2006/relationships/image" Target="media/3ceb15a0cd71a57e1be0cca2d8e341da6e9ab28b.png"/><Relationship Id="rId15" Type="http://schemas.openxmlformats.org/officeDocument/2006/relationships/image" Target="media/c6c0f893f2772f11a133c14d996aa68b863dd051.png"/><Relationship Id="rId16" Type="http://schemas.openxmlformats.org/officeDocument/2006/relationships/image" Target="media/f7348c4af5fdf564d82ca8b485aed4e6e70f088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ING4 — Chatbot personnel local de recherche quantitative</dc:title>
  <dc:creator>Élève ingénieur ESAIP</dc:creator>
  <cp:lastModifiedBy>Un-named</cp:lastModifiedBy>
  <cp:revision>1</cp:revision>
  <dcterms:created xsi:type="dcterms:W3CDTF">2026-07-21T09:36:44.181Z</dcterms:created>
  <dcterms:modified xsi:type="dcterms:W3CDTF">2026-07-21T09:36:44.195Z</dcterms:modified>
</cp:coreProperties>
</file>

<file path=docProps/custom.xml><?xml version="1.0" encoding="utf-8"?>
<Properties xmlns="http://schemas.openxmlformats.org/officeDocument/2006/custom-properties" xmlns:vt="http://schemas.openxmlformats.org/officeDocument/2006/docPropsVTypes"/>
</file>