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宋体"/>
          <w:b/>
          <w:sz w:val="52"/>
        </w:rPr>
        <w:t>中核集团电算协同业务</w:t>
      </w:r>
    </w:p>
    <w:p>
      <w:pPr>
        <w:jc w:val="center"/>
      </w:pPr>
      <w:r>
        <w:rPr>
          <w:rFonts w:ascii="Times New Roman" w:hAnsi="Times New Roman" w:eastAsia="宋体"/>
          <w:b/>
          <w:sz w:val="52"/>
        </w:rPr>
        <w:t>战略研究报告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面向：集团高层领导</w:t>
        <w:br/>
        <w:t>定位：战略级智库报告</w:t>
        <w:br/>
        <w:t>密级：内部资料</w:t>
        <w:br/>
        <w:t>编制单位：科技创新业务中心</w:t>
        <w:br/>
        <w:t>编制日期：2026年5月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【报告摘要】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作为新型电力系统建设与数字经济深度融合的战略交汇点，正在加速从"概念验证"迈向"规模化落地"。本报告站在国家战略高度，系统研判中核集团开展电算协同业务的宏观机遇、技术前沿与生态布局，为集团高层决策提供前瞻性智库支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核心研判：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战略机遇：中核集团在"东数西算"和"新型电力系统"双重战略交汇点上占据独特地位，核电是实现绿色算力的最优能源载体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技术前沿：数字孪生、电力大模型、具身智能、源网荷储算脑、碳能算一体化、量子计算六大技术方向构成电算协同的技术护城河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生态位势：构建"核电算力+绿色认证+碳资产"三位一体竞争优势，确立"绿色算力核心供应商"定位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实施路径：2026-2028年完成从试点探索到规模引领的战略跨越，2030年确立行业领先地位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一、形势研判：电算协同的战略窗口期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1.1 全球算力竞争格局演变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已成为衡量国家竞争力的关键指标。在全球数字化竞争加剧的背景下，主要经济体纷纷将算力基础设施提升至国家战略层面。这场算力竞赛的本质，正在从单纯的"算力规模"竞争，向"算力质量"和"算力效率"竞争转变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这一转变意味着，算力的"绿色化"将成为决定竞争胜负的关键变量。谁能提供稳定、清洁、低碳的算力能源，谁就能在未来的算力竞争中占据制高点。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1.2 算力需求爆发：2025-2030年数据洞察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算力需求激增正在重塑全球能源格局。根据国际能源署（IEA）和多家权威机构预测：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74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table1_indica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7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2025-2030年算力与电力协同核心指标预测可视化图表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关键洞察：到2030年，全球数据中心年耗电量将突破950 TWh，约等于日本全国一年的用电总量；中国数据中心用电量将突破5500亿千瓦时，占全社会用电比重达5.5%。AI驱动的算力需求将成为主要增长引擎。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1.3 国家战略布局：算力枢纽节点分布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67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figure1_hub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中国算力枢纽节点与中核布局对照图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1.4 政策演进：2026-2030年仿真推演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基于政策文本分析和历史演进规律，对2026-2030年政策走向进行仿真推演：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28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table2_poli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2026-2030年政策演进仿真推演可视化图表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二、战略研判：中核集团的独特优势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核电：绿色算力的最优能源载体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在众多能源类型中，核电具有不可替代的三大特性，使其成为绿色算力的最优能源载体：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核电三大核心特性分析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核心特性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核电指标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对比能源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对算力的价值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零碳排放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12g CO2/kWh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火电900g/kWh（75倍）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满足双碳要求，获得碳溢价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稳定基荷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7×24h连续运行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风光受天气影响大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保障算力可靠性，消除波动风险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调节可控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出力可调度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风光不可控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参与调峰，创造辅助服务收益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核电容装规模：中核集团在运核电机组25台，装机容量2375万千瓦；在建及核准待开工18台，装机容量2064万千瓦。到2035年，核电占比将达到10%，届时全国核电装机容量有望翻倍。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"源网荷储算"五力协同架构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35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figure2_five_fo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源网荷储算五力协同节点布局图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2.3 "核电-新能源-绿电"三力协同布局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38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figure3_three_fo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核电-新能源-绿电三力协同布局图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2.4 中核集团的战略卡位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卡位一：绿色算力核心供应商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中核集团应定位为国家算力基础设施的"绿色能源心脏"。核电的三大特性使其成为数据中心最理想的能源来源，这一战略卡位具有不可复制性。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卡位二：电算协同标准制定者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依托行业地位和技术积累，积极参与甚至主导电算协同领域国家标准制定：核电算力基础设施技术规范、绿色算力碳足迹核算标准、源网荷储算脑接口标准。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卡位三：电算协同示范引领者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打造"核电+算力"一体化示范项目，形成可复制、可推广的发展模式，为国家电算协同战略提供"中核方案"。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三、技术前沿：前瞻性技术研判与布局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3.1 六大前沿技术方向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基于技术成熟度、战略价值、与中核业务契合度等维度，识别六大前瞻性技术方向：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 六大前瞻性技术方向研判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技术方向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成熟度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技术内涵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与中核的结合点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布局建议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高保真数字镜像+实时仿真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核电站全生命周期管理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2026年规模化应用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★★☆☆☆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AI与物理设备深度融合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核岛高危作业替代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2027年安全突破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电力垂直领域大模型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智能调度与诊断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2026年发布1.0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电力流与算力流协同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源网荷储算协同调度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2027年试点验证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碳-电-算三要素联合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碳足迹追溯与认证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2026年启动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★☆☆☆☆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量子算法应用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科学计算加速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2026年能力储备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3.2 技术发展路线图（2026-2030年）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62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figure4_tech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2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 2026-2030年前瞻性技术发展路线图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3.3 技术-业务融合矩阵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表5 技术-业务融合矩阵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融合方向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技术组合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核心价值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预期效果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中核基础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核电站智能化运维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数字孪生+具身智能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设备状态实时感知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故障预警提前30天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金七门实践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核电商用场景创新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电力大模型+碳能算一体化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智能调度与碳认证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诊断准确率95%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同方股份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核电科学计算支撑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量子计算+高性能计算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科学计算加速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计算加速100倍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需起步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绿电算力调度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源网荷储算脑+AI调度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协同优化调度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成本降低10-15%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核电调度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四、生态运营：体系构建与路径设计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4.1 生态体系架构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35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z_figure5_ecosys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图5 中核电算协同生态体系架构图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4.2 合作伙伴生态网络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表6 生态合作伙伴分类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伙伴类型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战略价值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合作重点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代表企业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算力技术厂商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技术赋能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AI大模型、云计算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华为、阿里、百度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市场准入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调度接入、电力市场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国网、南网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云服务商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市场渠道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算力分销、联合运营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阿里云、腾讯云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科研机构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前沿创新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联合研发、人才培养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清华、中科院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碳服务机构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碳业务支撑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碳认证、碳交易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IDC运营商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运营经验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合作运营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万国数据、秦淮数据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4.3 商业模式创新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表7 商业模式创新矩阵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商业模式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价值创造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收益来源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2030年目标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核电绿电算力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零碳+稳定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高能耗数据中心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电价+绿电溢价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50000P规模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碳资产管理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碳资产增值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所有客户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碳交易收益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500万吨碳交易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调峰辅助服务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灵活性价值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辅助服务分成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年100亿千瓦时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技术能力输出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轻资产扩张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行业客户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授权许可费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10+企业部署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五、实施路径：资源配置与保障措施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5.1 三阶段实施路线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表8 三阶段实施路线图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核心目标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关键里程碑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收入预测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战略布局期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顶层设计，启动试点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战略白皮书发布；秦山/福清试点启动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10-15亿元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能力形成期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核心能力初步形成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示范项目运营；大模型1.0发布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25-35亿元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规模引领期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形成规模效应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3-5个基地运营；行业标准发布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50-70亿元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快速发展期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市场快速扩张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5-8个基地；生态伙伴30+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80-100亿元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成熟领先期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行业领先地位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10+基地；主导3-5项国家标准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150-200亿元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5.2 资源配置规划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资金投入规划（2026-2030年）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表9 资金投入规划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资金来源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金额（亿元）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主要用途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集团自有资金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60-85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核心基地建设、技术研发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政策性贷款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基础设施建设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产业投资基金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生态伙伴投资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市场化融资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12-17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运营流动资金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人才队伍规划（2026-2030年）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表10 人才队伍规划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人才类型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需求数量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来源渠道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AI/大数据专家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外部引进+内部培养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电力系统专家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核电系统内部调配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复合型人才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75人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综合培养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5.3 风险评估与防控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表11 风险评估与防控措施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发生概率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影响程度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防控措施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产学研合作；技术储备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战略合作锁定；灵活调整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密切跟踪；预案准备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加速布局；标准引领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安全风险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极低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极高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严格核安全规范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六、结语与战略建议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【核心结论】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电算协同是中核集团服务国家战略、实现转型升级的核心战略方向。在"双碳"目标和"数字中国"战略的双重驱动下，电算协同正处于历史性发展窗口期。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【战略建议】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提升战略定位：将电算协同提升为集团核心战略业务，而非单纯的多元化探索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加快布局节奏：2026年完成战略规划，2027年建成示范项目，2028年形成规模效应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强化技术引领：依托核电运行研究院和同方股份，加快核心技术研发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主导标准制定：积极参与国家标准、行业标准制定，争取行业话语权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构建开放生态：与电网企业、云服务商、科研机构建立战略合作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【2030年愿景】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算力规模：运营绿色算力超过50000P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碳资产管理：管理核电碳资产超过500万吨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技术标准：主导制定3-5项国家标准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行业地位：成为国内领先、国际一流的绿色算力服务商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收入规模：年营业收入突破150-200亿元</w:t>
      </w:r>
    </w:p>
    <w:p>
      <w:r>
        <w:br w:type="page"/>
      </w:r>
    </w:p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</w:t>
      </w:r>
    </w:p>
    <w:p>
      <w:pPr>
        <w:jc w:val="center"/>
      </w:pPr>
      <w:r>
        <w:rPr>
          <w:sz w:val="18"/>
        </w:rPr>
        <w:t>数据更新时间：2026年5月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