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eastAsia="宋体"/>
          <w:b/>
          <w:sz w:val="52"/>
        </w:rPr>
        <w:t>中核集团电算协同业务</w:t>
      </w:r>
    </w:p>
    <w:p>
      <w:pPr>
        <w:jc w:val="center"/>
      </w:pPr>
      <w:r>
        <w:rPr>
          <w:rFonts w:ascii="Times New Roman" w:hAnsi="Times New Roman" w:eastAsia="宋体"/>
          <w:b/>
          <w:sz w:val="52"/>
        </w:rPr>
        <w:t>战略研究报告</w:t>
      </w:r>
    </w:p>
    <w:p>
      <w:pPr>
        <w:jc w:val="center"/>
      </w:pPr>
      <w:r>
        <w:rPr>
          <w:rFonts w:ascii="Times New Roman" w:hAnsi="Times New Roman" w:eastAsia="宋体"/>
          <w:b/>
          <w:sz w:val="36"/>
        </w:rPr>
        <w:t>(完整版)</w:t>
      </w:r>
    </w:p>
    <w:p/>
    <w:p/>
    <w:p/>
    <w:p/>
    <w:p/>
    <w:p>
      <w:pPr>
        <w:jc w:val="center"/>
      </w:pPr>
      <w:r>
        <w:rPr>
          <w:rFonts w:ascii="Times New Roman" w:hAnsi="Times New Roman" w:eastAsia="宋体"/>
          <w:sz w:val="24"/>
        </w:rPr>
        <w:t>面向：集团高层领导</w:t>
        <w:br/>
        <w:t>定位：战略级智库报告</w:t>
        <w:br/>
        <w:t>密级：内部资料</w:t>
        <w:br/>
        <w:t>编制单位：科技创新业务中心</w:t>
        <w:br/>
        <w:t>编制日期：2026年5月</w:t>
      </w:r>
    </w:p>
    <w:p>
      <w:r>
        <w:br w:type="page"/>
      </w:r>
    </w:p>
    <w:p>
      <w:pPr>
        <w:pStyle w:val="Heading1"/>
        <w:jc w:val="left"/>
      </w:pPr>
      <w:r>
        <w:rPr>
          <w:rFonts w:ascii="Times New Roman" w:hAnsi="Times New Roman" w:eastAsia="宋体"/>
        </w:rPr>
        <w:t>【报告摘要】</w:t>
      </w:r>
    </w:p>
    <w:p>
      <w:pPr>
        <w:spacing w:line="360" w:lineRule="auto"/>
        <w:ind w:firstLine="420"/>
        <w:jc w:val="both"/>
      </w:pPr>
      <w:r>
        <w:rPr>
          <w:rFonts w:ascii="Times New Roman" w:hAnsi="Times New Roman" w:eastAsia="宋体"/>
          <w:sz w:val="24"/>
        </w:rPr>
        <w:t>电算协同作为新型电力系统建设与数字经济深度融合的战略交汇点，正在加速从"概念验证"迈向"规模化落地"。2026年，算力网正式纳入国家"六张网"核心基建，与水网、电网等传统基础设施平起平坐，标志着算力基础设施正式上升为国家战略。本报告站在国家战略高度，系统研判中核集团开展电算协同业务的宏观机遇、政策脉络、技术前沿与生态布局，为集团高层决策提供前瞻性智库支撑。</w:t>
      </w:r>
    </w:p>
    <w:p>
      <w:pPr>
        <w:spacing w:line="360" w:lineRule="auto"/>
        <w:ind w:firstLine="420"/>
        <w:jc w:val="both"/>
      </w:pPr>
      <w:r>
        <w:rPr>
          <w:rFonts w:ascii="Times New Roman" w:hAnsi="Times New Roman" w:eastAsia="宋体"/>
          <w:b/>
          <w:sz w:val="24"/>
        </w:rPr>
        <w:t>核心研判：</w:t>
      </w:r>
      <w:r>
        <w:rPr>
          <w:rFonts w:ascii="Times New Roman" w:hAnsi="Times New Roman" w:eastAsia="宋体"/>
          <w:sz w:val="24"/>
        </w:rPr>
      </w:r>
    </w:p>
    <w:p>
      <w:pPr>
        <w:pStyle w:val="ListBullet"/>
        <w:spacing w:line="360" w:lineRule="auto"/>
        <w:jc w:val="both"/>
      </w:pPr>
      <w:r>
        <w:rPr>
          <w:rFonts w:ascii="Times New Roman" w:hAnsi="Times New Roman" w:eastAsia="宋体"/>
          <w:sz w:val="24"/>
        </w:rPr>
        <w:t>战略机遇：算力网纳入六张网核心基建，十五五期间7万亿投资重塑产业格局。电算协同已上升为国家战略，中核集团在东数西算和新型电力系统双重战略交汇点上占据独特地位</w:t>
      </w:r>
    </w:p>
    <w:p>
      <w:pPr>
        <w:pStyle w:val="ListBullet"/>
        <w:spacing w:line="360" w:lineRule="auto"/>
        <w:jc w:val="both"/>
      </w:pPr>
      <w:r>
        <w:rPr>
          <w:rFonts w:ascii="Times New Roman" w:hAnsi="Times New Roman" w:eastAsia="宋体"/>
          <w:sz w:val="24"/>
        </w:rPr>
        <w:t>政策脉络：电算协同政策体系日趋完善，从"东数西算"到"新型电力系统"再到"六张网"，政策脉络清晰，产业进入加速落地期</w:t>
      </w:r>
    </w:p>
    <w:p>
      <w:pPr>
        <w:pStyle w:val="ListBullet"/>
        <w:spacing w:line="360" w:lineRule="auto"/>
        <w:jc w:val="both"/>
      </w:pPr>
      <w:r>
        <w:rPr>
          <w:rFonts w:ascii="Times New Roman" w:hAnsi="Times New Roman" w:eastAsia="宋体"/>
          <w:sz w:val="24"/>
        </w:rPr>
        <w:t>技术前沿：数字孪生、电力大模型、具身智能、源网荷储算脑、碳能算一体化、量子计算六大技术方向构成电算协同的技术护城河</w:t>
      </w:r>
    </w:p>
    <w:p>
      <w:pPr>
        <w:pStyle w:val="ListBullet"/>
        <w:spacing w:line="360" w:lineRule="auto"/>
        <w:jc w:val="both"/>
      </w:pPr>
      <w:r>
        <w:rPr>
          <w:rFonts w:ascii="Times New Roman" w:hAnsi="Times New Roman" w:eastAsia="宋体"/>
          <w:sz w:val="24"/>
        </w:rPr>
        <w:t>生态位势：构建核电算力+绿色认证+碳资产三位一体竞争优势，确立绿色算力核心供应商定位</w:t>
      </w:r>
    </w:p>
    <w:p>
      <w:pPr>
        <w:pStyle w:val="ListBullet"/>
        <w:spacing w:line="360" w:lineRule="auto"/>
        <w:jc w:val="both"/>
      </w:pPr>
      <w:r>
        <w:rPr>
          <w:rFonts w:ascii="Times New Roman" w:hAnsi="Times New Roman" w:eastAsia="宋体"/>
          <w:sz w:val="24"/>
        </w:rPr>
        <w:t>实施路径：2026-2028年完成从试点探索到规模引领的战略跨越，2030年确立行业领先地位</w:t>
      </w:r>
    </w:p>
    <w:p>
      <w:r>
        <w:br w:type="page"/>
      </w:r>
    </w:p>
    <w:p>
      <w:pPr>
        <w:pStyle w:val="Heading1"/>
        <w:jc w:val="left"/>
      </w:pPr>
      <w:r>
        <w:rPr>
          <w:rFonts w:ascii="Times New Roman" w:hAnsi="Times New Roman" w:eastAsia="宋体"/>
        </w:rPr>
        <w:t>一、形势研判：电算协同的战略窗口期</w:t>
      </w:r>
    </w:p>
    <w:p>
      <w:pPr>
        <w:pStyle w:val="Heading2"/>
        <w:jc w:val="left"/>
      </w:pPr>
      <w:r>
        <w:rPr>
          <w:rFonts w:ascii="Times New Roman" w:hAnsi="Times New Roman" w:eastAsia="宋体"/>
        </w:rPr>
        <w:t>1.1 全球算力竞争格局演变</w:t>
      </w:r>
    </w:p>
    <w:p>
      <w:pPr>
        <w:spacing w:line="360" w:lineRule="auto"/>
        <w:ind w:firstLine="420"/>
        <w:jc w:val="both"/>
      </w:pPr>
      <w:r>
        <w:rPr>
          <w:rFonts w:ascii="Times New Roman" w:hAnsi="Times New Roman" w:eastAsia="宋体"/>
          <w:sz w:val="24"/>
        </w:rPr>
        <w:t>算力已成为衡量国家竞争力的关键指标。在全球数字化竞争加剧的背景下，主要经济体纷纷将算力基础设施提升至国家战略层面。这场算力竞赛的本质，正在从单纯的"算力规模"竞争，向"算力质量"和"算力效率"竞争转变。</w:t>
      </w:r>
    </w:p>
    <w:p>
      <w:pPr>
        <w:spacing w:line="360" w:lineRule="auto"/>
        <w:ind w:firstLine="420"/>
        <w:jc w:val="both"/>
      </w:pPr>
      <w:r>
        <w:rPr>
          <w:rFonts w:ascii="Times New Roman" w:hAnsi="Times New Roman" w:eastAsia="宋体"/>
          <w:sz w:val="24"/>
        </w:rPr>
        <w:t>这一转变意味着，算力的"绿色化"将成为决定竞争胜负的关键变量。谁能提供稳定、清洁、低碳的算力能源，谁就能在未来的算力竞争中占据制高点。</w:t>
      </w:r>
    </w:p>
    <w:p>
      <w:pPr>
        <w:pStyle w:val="Heading2"/>
        <w:jc w:val="left"/>
      </w:pPr>
      <w:r>
        <w:rPr>
          <w:rFonts w:ascii="Times New Roman" w:hAnsi="Times New Roman" w:eastAsia="宋体"/>
        </w:rPr>
        <w:t>1.2 电算协同产业发展脉络</w:t>
      </w:r>
    </w:p>
    <w:p>
      <w:pPr>
        <w:spacing w:line="360" w:lineRule="auto"/>
        <w:ind w:firstLine="420"/>
        <w:jc w:val="both"/>
      </w:pPr>
      <w:r>
        <w:rPr>
          <w:rFonts w:ascii="Times New Roman" w:hAnsi="Times New Roman" w:eastAsia="宋体"/>
          <w:sz w:val="24"/>
        </w:rPr>
        <w:t>电算协同产业从概念提出到政策落地，经历了从分散探索到系统推进的发展历程。政策脉络清晰，产业进入加速落地期：</w:t>
      </w:r>
    </w:p>
    <w:p>
      <w:pPr>
        <w:jc w:val="center"/>
      </w:pPr>
      <w:r>
        <w:rPr>
          <w:rFonts w:ascii="Times New Roman" w:hAnsi="Times New Roman" w:eastAsia="宋体"/>
          <w:b/>
          <w:sz w:val="21"/>
        </w:rPr>
        <w:t>表1 电算协同产业发展脉络</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Times New Roman" w:hAnsi="Times New Roman" w:eastAsia="宋体"/>
                <w:b/>
                <w:sz w:val="21"/>
              </w:rPr>
              <w:t>阶段</w:t>
            </w:r>
          </w:p>
        </w:tc>
        <w:tc>
          <w:tcPr>
            <w:tcW w:type="dxa" w:w="1662"/>
            <w:shd w:fill="D9E2F3"/>
          </w:tcPr>
          <w:p>
            <w:pPr>
              <w:jc w:val="center"/>
            </w:pPr>
            <w:r>
              <w:rPr>
                <w:rFonts w:ascii="Times New Roman" w:hAnsi="Times New Roman" w:eastAsia="宋体"/>
                <w:b/>
                <w:sz w:val="21"/>
              </w:rPr>
              <w:t>时间</w:t>
            </w:r>
          </w:p>
        </w:tc>
        <w:tc>
          <w:tcPr>
            <w:tcW w:type="dxa" w:w="1662"/>
            <w:shd w:fill="D9E2F3"/>
          </w:tcPr>
          <w:p>
            <w:pPr>
              <w:jc w:val="center"/>
            </w:pPr>
            <w:r>
              <w:rPr>
                <w:rFonts w:ascii="Times New Roman" w:hAnsi="Times New Roman" w:eastAsia="宋体"/>
                <w:b/>
                <w:sz w:val="21"/>
              </w:rPr>
              <w:t>标志性政策/事件</w:t>
            </w:r>
          </w:p>
        </w:tc>
        <w:tc>
          <w:tcPr>
            <w:tcW w:type="dxa" w:w="1662"/>
            <w:shd w:fill="D9E2F3"/>
          </w:tcPr>
          <w:p>
            <w:pPr>
              <w:jc w:val="center"/>
            </w:pPr>
            <w:r>
              <w:rPr>
                <w:rFonts w:ascii="Times New Roman" w:hAnsi="Times New Roman" w:eastAsia="宋体"/>
                <w:b/>
                <w:sz w:val="21"/>
              </w:rPr>
              <w:t>核心内容</w:t>
            </w:r>
          </w:p>
        </w:tc>
        <w:tc>
          <w:tcPr>
            <w:tcW w:type="dxa" w:w="1662"/>
            <w:shd w:fill="D9E2F3"/>
          </w:tcPr>
          <w:p>
            <w:pPr>
              <w:jc w:val="center"/>
            </w:pPr>
            <w:r>
              <w:rPr>
                <w:rFonts w:ascii="Times New Roman" w:hAnsi="Times New Roman" w:eastAsia="宋体"/>
                <w:b/>
                <w:sz w:val="21"/>
              </w:rPr>
              <w:t>战略意义</w:t>
            </w:r>
          </w:p>
        </w:tc>
      </w:tr>
      <w:tr>
        <w:tc>
          <w:tcPr>
            <w:tcW w:type="dxa" w:w="1662"/>
          </w:tcPr>
          <w:p>
            <w:pPr>
              <w:jc w:val="center"/>
            </w:pPr>
            <w:r>
              <w:rPr>
                <w:rFonts w:ascii="Times New Roman" w:hAnsi="Times New Roman" w:eastAsia="宋体"/>
                <w:sz w:val="21"/>
              </w:rPr>
              <w:t>概念萌芽期</w:t>
            </w:r>
          </w:p>
        </w:tc>
        <w:tc>
          <w:tcPr>
            <w:tcW w:type="dxa" w:w="1662"/>
          </w:tcPr>
          <w:p>
            <w:pPr>
              <w:jc w:val="center"/>
            </w:pPr>
            <w:r>
              <w:rPr>
                <w:rFonts w:ascii="Times New Roman" w:hAnsi="Times New Roman" w:eastAsia="宋体"/>
                <w:sz w:val="21"/>
              </w:rPr>
              <w:t>2021-2022年</w:t>
            </w:r>
          </w:p>
        </w:tc>
        <w:tc>
          <w:tcPr>
            <w:tcW w:type="dxa" w:w="1662"/>
          </w:tcPr>
          <w:p>
            <w:pPr>
              <w:jc w:val="center"/>
            </w:pPr>
            <w:r>
              <w:rPr>
                <w:rFonts w:ascii="Times New Roman" w:hAnsi="Times New Roman" w:eastAsia="宋体"/>
                <w:sz w:val="21"/>
              </w:rPr>
              <w:t>东数西算工程启动</w:t>
            </w:r>
          </w:p>
        </w:tc>
        <w:tc>
          <w:tcPr>
            <w:tcW w:type="dxa" w:w="1662"/>
          </w:tcPr>
          <w:p>
            <w:pPr>
              <w:jc w:val="center"/>
            </w:pPr>
            <w:r>
              <w:rPr>
                <w:rFonts w:ascii="Times New Roman" w:hAnsi="Times New Roman" w:eastAsia="宋体"/>
                <w:sz w:val="21"/>
              </w:rPr>
              <w:t>布局全国一体化算力网络</w:t>
            </w:r>
          </w:p>
        </w:tc>
        <w:tc>
          <w:tcPr>
            <w:tcW w:type="dxa" w:w="1662"/>
          </w:tcPr>
          <w:p>
            <w:pPr>
              <w:jc w:val="center"/>
            </w:pPr>
            <w:r>
              <w:rPr>
                <w:rFonts w:ascii="Times New Roman" w:hAnsi="Times New Roman" w:eastAsia="宋体"/>
                <w:sz w:val="21"/>
              </w:rPr>
              <w:t>首次将算力提升至国家战略层面</w:t>
            </w:r>
          </w:p>
        </w:tc>
      </w:tr>
      <w:tr>
        <w:tc>
          <w:tcPr>
            <w:tcW w:type="dxa" w:w="1662"/>
          </w:tcPr>
          <w:p>
            <w:pPr>
              <w:jc w:val="center"/>
            </w:pPr>
            <w:r>
              <w:rPr>
                <w:rFonts w:ascii="Times New Roman" w:hAnsi="Times New Roman" w:eastAsia="宋体"/>
                <w:sz w:val="21"/>
              </w:rPr>
              <w:t>探索推进期</w:t>
            </w:r>
          </w:p>
        </w:tc>
        <w:tc>
          <w:tcPr>
            <w:tcW w:type="dxa" w:w="1662"/>
          </w:tcPr>
          <w:p>
            <w:pPr>
              <w:jc w:val="center"/>
            </w:pPr>
            <w:r>
              <w:rPr>
                <w:rFonts w:ascii="Times New Roman" w:hAnsi="Times New Roman" w:eastAsia="宋体"/>
                <w:sz w:val="21"/>
              </w:rPr>
              <w:t>2023-2024年</w:t>
            </w:r>
          </w:p>
        </w:tc>
        <w:tc>
          <w:tcPr>
            <w:tcW w:type="dxa" w:w="1662"/>
          </w:tcPr>
          <w:p>
            <w:pPr>
              <w:jc w:val="center"/>
            </w:pPr>
            <w:r>
              <w:rPr>
                <w:rFonts w:ascii="Times New Roman" w:hAnsi="Times New Roman" w:eastAsia="宋体"/>
                <w:sz w:val="21"/>
              </w:rPr>
              <w:t>新型电力系统建设</w:t>
            </w:r>
          </w:p>
        </w:tc>
        <w:tc>
          <w:tcPr>
            <w:tcW w:type="dxa" w:w="1662"/>
          </w:tcPr>
          <w:p>
            <w:pPr>
              <w:jc w:val="center"/>
            </w:pPr>
            <w:r>
              <w:rPr>
                <w:rFonts w:ascii="Times New Roman" w:hAnsi="Times New Roman" w:eastAsia="宋体"/>
                <w:sz w:val="21"/>
              </w:rPr>
              <w:t>源网荷储一体化发展</w:t>
            </w:r>
          </w:p>
        </w:tc>
        <w:tc>
          <w:tcPr>
            <w:tcW w:type="dxa" w:w="1662"/>
          </w:tcPr>
          <w:p>
            <w:pPr>
              <w:jc w:val="center"/>
            </w:pPr>
            <w:r>
              <w:rPr>
                <w:rFonts w:ascii="Times New Roman" w:hAnsi="Times New Roman" w:eastAsia="宋体"/>
                <w:sz w:val="21"/>
              </w:rPr>
              <w:t>算力与电力系统开始融合</w:t>
            </w:r>
          </w:p>
        </w:tc>
      </w:tr>
      <w:tr>
        <w:tc>
          <w:tcPr>
            <w:tcW w:type="dxa" w:w="1662"/>
          </w:tcPr>
          <w:p>
            <w:pPr>
              <w:jc w:val="center"/>
            </w:pPr>
            <w:r>
              <w:rPr>
                <w:rFonts w:ascii="Times New Roman" w:hAnsi="Times New Roman" w:eastAsia="宋体"/>
                <w:sz w:val="21"/>
              </w:rPr>
              <w:t>试点落地期</w:t>
            </w:r>
          </w:p>
        </w:tc>
        <w:tc>
          <w:tcPr>
            <w:tcW w:type="dxa" w:w="1662"/>
          </w:tcPr>
          <w:p>
            <w:pPr>
              <w:jc w:val="center"/>
            </w:pPr>
            <w:r>
              <w:rPr>
                <w:rFonts w:ascii="Times New Roman" w:hAnsi="Times New Roman" w:eastAsia="宋体"/>
                <w:sz w:val="21"/>
              </w:rPr>
              <w:t>2025年</w:t>
            </w:r>
          </w:p>
        </w:tc>
        <w:tc>
          <w:tcPr>
            <w:tcW w:type="dxa" w:w="1662"/>
          </w:tcPr>
          <w:p>
            <w:pPr>
              <w:jc w:val="center"/>
            </w:pPr>
            <w:r>
              <w:rPr>
                <w:rFonts w:ascii="Times New Roman" w:hAnsi="Times New Roman" w:eastAsia="宋体"/>
                <w:sz w:val="21"/>
              </w:rPr>
              <w:t>电算协同试点城市</w:t>
            </w:r>
          </w:p>
        </w:tc>
        <w:tc>
          <w:tcPr>
            <w:tcW w:type="dxa" w:w="1662"/>
          </w:tcPr>
          <w:p>
            <w:pPr>
              <w:jc w:val="center"/>
            </w:pPr>
            <w:r>
              <w:rPr>
                <w:rFonts w:ascii="Times New Roman" w:hAnsi="Times New Roman" w:eastAsia="宋体"/>
                <w:sz w:val="21"/>
              </w:rPr>
              <w:t>芜湖入选首批试点</w:t>
            </w:r>
          </w:p>
        </w:tc>
        <w:tc>
          <w:tcPr>
            <w:tcW w:type="dxa" w:w="1662"/>
          </w:tcPr>
          <w:p>
            <w:pPr>
              <w:jc w:val="center"/>
            </w:pPr>
            <w:r>
              <w:rPr>
                <w:rFonts w:ascii="Times New Roman" w:hAnsi="Times New Roman" w:eastAsia="宋体"/>
                <w:sz w:val="21"/>
              </w:rPr>
              <w:t>首个以算电协同为方向的试点落地</w:t>
            </w:r>
          </w:p>
        </w:tc>
      </w:tr>
      <w:tr>
        <w:tc>
          <w:tcPr>
            <w:tcW w:type="dxa" w:w="1662"/>
          </w:tcPr>
          <w:p>
            <w:pPr>
              <w:jc w:val="center"/>
            </w:pPr>
            <w:r>
              <w:rPr>
                <w:rFonts w:ascii="Times New Roman" w:hAnsi="Times New Roman" w:eastAsia="宋体"/>
                <w:sz w:val="21"/>
              </w:rPr>
              <w:t>战略升级期</w:t>
            </w:r>
          </w:p>
        </w:tc>
        <w:tc>
          <w:tcPr>
            <w:tcW w:type="dxa" w:w="1662"/>
          </w:tcPr>
          <w:p>
            <w:pPr>
              <w:jc w:val="center"/>
            </w:pPr>
            <w:r>
              <w:rPr>
                <w:rFonts w:ascii="Times New Roman" w:hAnsi="Times New Roman" w:eastAsia="宋体"/>
                <w:sz w:val="21"/>
              </w:rPr>
              <w:t>2026年</w:t>
            </w:r>
          </w:p>
        </w:tc>
        <w:tc>
          <w:tcPr>
            <w:tcW w:type="dxa" w:w="1662"/>
          </w:tcPr>
          <w:p>
            <w:pPr>
              <w:jc w:val="center"/>
            </w:pPr>
            <w:r>
              <w:rPr>
                <w:rFonts w:ascii="Times New Roman" w:hAnsi="Times New Roman" w:eastAsia="宋体"/>
                <w:sz w:val="21"/>
              </w:rPr>
              <w:t>六张网战略</w:t>
            </w:r>
          </w:p>
        </w:tc>
        <w:tc>
          <w:tcPr>
            <w:tcW w:type="dxa" w:w="1662"/>
          </w:tcPr>
          <w:p>
            <w:pPr>
              <w:jc w:val="center"/>
            </w:pPr>
            <w:r>
              <w:rPr>
                <w:rFonts w:ascii="Times New Roman" w:hAnsi="Times New Roman" w:eastAsia="宋体"/>
                <w:sz w:val="21"/>
              </w:rPr>
              <w:t>算力网纳入核心基建</w:t>
            </w:r>
          </w:p>
        </w:tc>
        <w:tc>
          <w:tcPr>
            <w:tcW w:type="dxa" w:w="1662"/>
          </w:tcPr>
          <w:p>
            <w:pPr>
              <w:jc w:val="center"/>
            </w:pPr>
            <w:r>
              <w:rPr>
                <w:rFonts w:ascii="Times New Roman" w:hAnsi="Times New Roman" w:eastAsia="宋体"/>
                <w:sz w:val="21"/>
              </w:rPr>
              <w:t>算力网与电网、水网平起平坐</w:t>
            </w:r>
          </w:p>
        </w:tc>
      </w:tr>
    </w:tbl>
    <w:p>
      <w:pPr>
        <w:pStyle w:val="Heading2"/>
        <w:jc w:val="left"/>
      </w:pPr>
      <w:r>
        <w:rPr>
          <w:rFonts w:ascii="Times New Roman" w:hAnsi="Times New Roman" w:eastAsia="宋体"/>
        </w:rPr>
        <w:t>1.3 电算协同政策体系框架</w:t>
      </w:r>
    </w:p>
    <w:p>
      <w:pPr>
        <w:spacing w:line="360" w:lineRule="auto"/>
        <w:ind w:firstLine="420"/>
        <w:jc w:val="both"/>
      </w:pPr>
      <w:r>
        <w:rPr>
          <w:rFonts w:ascii="Times New Roman" w:hAnsi="Times New Roman" w:eastAsia="宋体"/>
          <w:sz w:val="24"/>
        </w:rPr>
        <w:t>经过多年发展，电算协同已形成"顶层设计-专项规划-地方试点"三级政策体系：</w:t>
      </w:r>
    </w:p>
    <w:p>
      <w:pPr>
        <w:jc w:val="center"/>
      </w:pPr>
      <w:r>
        <w:rPr>
          <w:rFonts w:ascii="Times New Roman" w:hAnsi="Times New Roman" w:eastAsia="宋体"/>
          <w:b/>
          <w:sz w:val="21"/>
        </w:rPr>
        <w:t>表2 电算协同政策体系框架</w:t>
      </w:r>
    </w:p>
    <w:tbl>
      <w:tblPr>
        <w:tblStyle w:val="TableGrid"/>
        <w:tblW w:type="auto" w:w="0"/>
        <w:tblLook w:firstColumn="1" w:firstRow="1" w:lastColumn="0" w:lastRow="0" w:noHBand="0" w:noVBand="1" w:val="04A0"/>
      </w:tblPr>
      <w:tblGrid>
        <w:gridCol w:w="2077"/>
        <w:gridCol w:w="2077"/>
        <w:gridCol w:w="2077"/>
        <w:gridCol w:w="2077"/>
      </w:tblGrid>
      <w:tr>
        <w:tc>
          <w:tcPr>
            <w:tcW w:type="dxa" w:w="2077"/>
            <w:shd w:fill="D9E2F3"/>
          </w:tcPr>
          <w:p>
            <w:pPr>
              <w:jc w:val="center"/>
            </w:pPr>
            <w:r>
              <w:rPr>
                <w:rFonts w:ascii="Times New Roman" w:hAnsi="Times New Roman" w:eastAsia="宋体"/>
                <w:b/>
                <w:sz w:val="21"/>
              </w:rPr>
              <w:t>政策层级</w:t>
            </w:r>
          </w:p>
        </w:tc>
        <w:tc>
          <w:tcPr>
            <w:tcW w:type="dxa" w:w="2077"/>
            <w:shd w:fill="D9E2F3"/>
          </w:tcPr>
          <w:p>
            <w:pPr>
              <w:jc w:val="center"/>
            </w:pPr>
            <w:r>
              <w:rPr>
                <w:rFonts w:ascii="Times New Roman" w:hAnsi="Times New Roman" w:eastAsia="宋体"/>
                <w:b/>
                <w:sz w:val="21"/>
              </w:rPr>
              <w:t>代表性文件</w:t>
            </w:r>
          </w:p>
        </w:tc>
        <w:tc>
          <w:tcPr>
            <w:tcW w:type="dxa" w:w="2077"/>
            <w:shd w:fill="D9E2F3"/>
          </w:tcPr>
          <w:p>
            <w:pPr>
              <w:jc w:val="center"/>
            </w:pPr>
            <w:r>
              <w:rPr>
                <w:rFonts w:ascii="Times New Roman" w:hAnsi="Times New Roman" w:eastAsia="宋体"/>
                <w:b/>
                <w:sz w:val="21"/>
              </w:rPr>
              <w:t>发布主体</w:t>
            </w:r>
          </w:p>
        </w:tc>
        <w:tc>
          <w:tcPr>
            <w:tcW w:type="dxa" w:w="2077"/>
            <w:shd w:fill="D9E2F3"/>
          </w:tcPr>
          <w:p>
            <w:pPr>
              <w:jc w:val="center"/>
            </w:pPr>
            <w:r>
              <w:rPr>
                <w:rFonts w:ascii="Times New Roman" w:hAnsi="Times New Roman" w:eastAsia="宋体"/>
                <w:b/>
                <w:sz w:val="21"/>
              </w:rPr>
              <w:t>核心要点</w:t>
            </w:r>
          </w:p>
        </w:tc>
      </w:tr>
      <w:tr>
        <w:tc>
          <w:tcPr>
            <w:tcW w:type="dxa" w:w="2077"/>
          </w:tcPr>
          <w:p>
            <w:pPr>
              <w:jc w:val="center"/>
            </w:pPr>
            <w:r>
              <w:rPr>
                <w:rFonts w:ascii="Times New Roman" w:hAnsi="Times New Roman" w:eastAsia="宋体"/>
                <w:sz w:val="21"/>
              </w:rPr>
              <w:t>顶层设计</w:t>
            </w:r>
          </w:p>
        </w:tc>
        <w:tc>
          <w:tcPr>
            <w:tcW w:type="dxa" w:w="2077"/>
          </w:tcPr>
          <w:p>
            <w:pPr>
              <w:jc w:val="center"/>
            </w:pPr>
            <w:r>
              <w:rPr>
                <w:rFonts w:ascii="Times New Roman" w:hAnsi="Times New Roman" w:eastAsia="宋体"/>
                <w:sz w:val="21"/>
              </w:rPr>
              <w:t>六张网战略部署</w:t>
            </w:r>
          </w:p>
        </w:tc>
        <w:tc>
          <w:tcPr>
            <w:tcW w:type="dxa" w:w="2077"/>
          </w:tcPr>
          <w:p>
            <w:pPr>
              <w:jc w:val="center"/>
            </w:pPr>
            <w:r>
              <w:rPr>
                <w:rFonts w:ascii="Times New Roman" w:hAnsi="Times New Roman" w:eastAsia="宋体"/>
                <w:sz w:val="21"/>
              </w:rPr>
              <w:t>中共中央政治局、国务院</w:t>
            </w:r>
          </w:p>
        </w:tc>
        <w:tc>
          <w:tcPr>
            <w:tcW w:type="dxa" w:w="2077"/>
          </w:tcPr>
          <w:p>
            <w:pPr>
              <w:jc w:val="center"/>
            </w:pPr>
            <w:r>
              <w:rPr>
                <w:rFonts w:ascii="Times New Roman" w:hAnsi="Times New Roman" w:eastAsia="宋体"/>
                <w:sz w:val="21"/>
              </w:rPr>
              <w:t>算力网纳入核心基建，与水网、电网并列</w:t>
            </w:r>
          </w:p>
        </w:tc>
      </w:tr>
      <w:tr>
        <w:tc>
          <w:tcPr>
            <w:tcW w:type="dxa" w:w="2077"/>
          </w:tcPr>
          <w:p>
            <w:pPr>
              <w:jc w:val="center"/>
            </w:pPr>
            <w:r>
              <w:rPr>
                <w:rFonts w:ascii="Times New Roman" w:hAnsi="Times New Roman" w:eastAsia="宋体"/>
                <w:sz w:val="21"/>
              </w:rPr>
              <w:t>专项规划</w:t>
            </w:r>
          </w:p>
        </w:tc>
        <w:tc>
          <w:tcPr>
            <w:tcW w:type="dxa" w:w="2077"/>
          </w:tcPr>
          <w:p>
            <w:pPr>
              <w:jc w:val="center"/>
            </w:pPr>
            <w:r>
              <w:rPr>
                <w:rFonts w:ascii="Times New Roman" w:hAnsi="Times New Roman" w:eastAsia="宋体"/>
                <w:sz w:val="21"/>
              </w:rPr>
              <w:t>1+M+N节点体系建设</w:t>
            </w:r>
          </w:p>
        </w:tc>
        <w:tc>
          <w:tcPr>
            <w:tcW w:type="dxa" w:w="2077"/>
          </w:tcPr>
          <w:p>
            <w:pPr>
              <w:jc w:val="center"/>
            </w:pPr>
            <w:r>
              <w:rPr>
                <w:rFonts w:ascii="Times New Roman" w:hAnsi="Times New Roman" w:eastAsia="宋体"/>
                <w:sz w:val="21"/>
              </w:rPr>
              <w:t>工信部</w:t>
            </w:r>
          </w:p>
        </w:tc>
        <w:tc>
          <w:tcPr>
            <w:tcW w:type="dxa" w:w="2077"/>
          </w:tcPr>
          <w:p>
            <w:pPr>
              <w:jc w:val="center"/>
            </w:pPr>
            <w:r>
              <w:rPr>
                <w:rFonts w:ascii="Times New Roman" w:hAnsi="Times New Roman" w:eastAsia="宋体"/>
                <w:sz w:val="21"/>
              </w:rPr>
              <w:t>构建国家级算力互联互通节点体系</w:t>
            </w:r>
          </w:p>
        </w:tc>
      </w:tr>
      <w:tr>
        <w:tc>
          <w:tcPr>
            <w:tcW w:type="dxa" w:w="2077"/>
          </w:tcPr>
          <w:p>
            <w:pPr>
              <w:jc w:val="center"/>
            </w:pPr>
            <w:r>
              <w:rPr>
                <w:rFonts w:ascii="Times New Roman" w:hAnsi="Times New Roman" w:eastAsia="宋体"/>
                <w:sz w:val="21"/>
              </w:rPr>
              <w:t>专项规划</w:t>
            </w:r>
          </w:p>
        </w:tc>
        <w:tc>
          <w:tcPr>
            <w:tcW w:type="dxa" w:w="2077"/>
          </w:tcPr>
          <w:p>
            <w:pPr>
              <w:jc w:val="center"/>
            </w:pPr>
            <w:r>
              <w:rPr>
                <w:rFonts w:ascii="Times New Roman" w:hAnsi="Times New Roman" w:eastAsia="宋体"/>
                <w:sz w:val="21"/>
              </w:rPr>
              <w:t>电力系统调节能力优化专项行动(2025-2027)</w:t>
            </w:r>
          </w:p>
        </w:tc>
        <w:tc>
          <w:tcPr>
            <w:tcW w:type="dxa" w:w="2077"/>
          </w:tcPr>
          <w:p>
            <w:pPr>
              <w:jc w:val="center"/>
            </w:pPr>
            <w:r>
              <w:rPr>
                <w:rFonts w:ascii="Times New Roman" w:hAnsi="Times New Roman" w:eastAsia="宋体"/>
                <w:sz w:val="21"/>
              </w:rPr>
              <w:t>国家能源局</w:t>
            </w:r>
          </w:p>
        </w:tc>
        <w:tc>
          <w:tcPr>
            <w:tcW w:type="dxa" w:w="2077"/>
          </w:tcPr>
          <w:p>
            <w:pPr>
              <w:jc w:val="center"/>
            </w:pPr>
            <w:r>
              <w:rPr>
                <w:rFonts w:ascii="Times New Roman" w:hAnsi="Times New Roman" w:eastAsia="宋体"/>
                <w:sz w:val="21"/>
              </w:rPr>
              <w:t>推动算力负荷参与电力系统调节</w:t>
            </w:r>
          </w:p>
        </w:tc>
      </w:tr>
      <w:tr>
        <w:tc>
          <w:tcPr>
            <w:tcW w:type="dxa" w:w="2077"/>
          </w:tcPr>
          <w:p>
            <w:pPr>
              <w:jc w:val="center"/>
            </w:pPr>
            <w:r>
              <w:rPr>
                <w:rFonts w:ascii="Times New Roman" w:hAnsi="Times New Roman" w:eastAsia="宋体"/>
                <w:sz w:val="21"/>
              </w:rPr>
              <w:t>地方试点</w:t>
            </w:r>
          </w:p>
        </w:tc>
        <w:tc>
          <w:tcPr>
            <w:tcW w:type="dxa" w:w="2077"/>
          </w:tcPr>
          <w:p>
            <w:pPr>
              <w:jc w:val="center"/>
            </w:pPr>
            <w:r>
              <w:rPr>
                <w:rFonts w:ascii="Times New Roman" w:hAnsi="Times New Roman" w:eastAsia="宋体"/>
                <w:sz w:val="21"/>
              </w:rPr>
              <w:t>芜湖算电协同试点</w:t>
            </w:r>
          </w:p>
        </w:tc>
        <w:tc>
          <w:tcPr>
            <w:tcW w:type="dxa" w:w="2077"/>
          </w:tcPr>
          <w:p>
            <w:pPr>
              <w:jc w:val="center"/>
            </w:pPr>
            <w:r>
              <w:rPr>
                <w:rFonts w:ascii="Times New Roman" w:hAnsi="Times New Roman" w:eastAsia="宋体"/>
                <w:sz w:val="21"/>
              </w:rPr>
              <w:t>安徽省/芜湖市</w:t>
            </w:r>
          </w:p>
        </w:tc>
        <w:tc>
          <w:tcPr>
            <w:tcW w:type="dxa" w:w="2077"/>
          </w:tcPr>
          <w:p>
            <w:pPr>
              <w:jc w:val="center"/>
            </w:pPr>
            <w:r>
              <w:rPr>
                <w:rFonts w:ascii="Times New Roman" w:hAnsi="Times New Roman" w:eastAsia="宋体"/>
                <w:sz w:val="21"/>
              </w:rPr>
              <w:t>首个以算电协同为方向的试点城市</w:t>
            </w:r>
          </w:p>
        </w:tc>
      </w:tr>
      <w:tr>
        <w:tc>
          <w:tcPr>
            <w:tcW w:type="dxa" w:w="2077"/>
          </w:tcPr>
          <w:p>
            <w:pPr>
              <w:jc w:val="center"/>
            </w:pPr>
            <w:r>
              <w:rPr>
                <w:rFonts w:ascii="Times New Roman" w:hAnsi="Times New Roman" w:eastAsia="宋体"/>
                <w:sz w:val="21"/>
              </w:rPr>
              <w:t>行业推动</w:t>
            </w:r>
          </w:p>
        </w:tc>
        <w:tc>
          <w:tcPr>
            <w:tcW w:type="dxa" w:w="2077"/>
          </w:tcPr>
          <w:p>
            <w:pPr>
              <w:jc w:val="center"/>
            </w:pPr>
            <w:r>
              <w:rPr>
                <w:rFonts w:ascii="Times New Roman" w:hAnsi="Times New Roman" w:eastAsia="宋体"/>
                <w:sz w:val="21"/>
              </w:rPr>
              <w:t>数博会电碳算协同论坛</w:t>
            </w:r>
          </w:p>
        </w:tc>
        <w:tc>
          <w:tcPr>
            <w:tcW w:type="dxa" w:w="2077"/>
          </w:tcPr>
          <w:p>
            <w:pPr>
              <w:jc w:val="center"/>
            </w:pPr>
            <w:r>
              <w:rPr>
                <w:rFonts w:ascii="Times New Roman" w:hAnsi="Times New Roman" w:eastAsia="宋体"/>
                <w:sz w:val="21"/>
              </w:rPr>
              <w:t>数博会/行业协会</w:t>
            </w:r>
          </w:p>
        </w:tc>
        <w:tc>
          <w:tcPr>
            <w:tcW w:type="dxa" w:w="2077"/>
          </w:tcPr>
          <w:p>
            <w:pPr>
              <w:jc w:val="center"/>
            </w:pPr>
            <w:r>
              <w:rPr>
                <w:rFonts w:ascii="Times New Roman" w:hAnsi="Times New Roman" w:eastAsia="宋体"/>
                <w:sz w:val="21"/>
              </w:rPr>
              <w:t>推动电碳算协同标准与实践</w:t>
            </w:r>
          </w:p>
        </w:tc>
      </w:tr>
    </w:tbl>
    <w:p>
      <w:pPr>
        <w:pStyle w:val="Heading2"/>
        <w:jc w:val="left"/>
      </w:pPr>
      <w:r>
        <w:rPr>
          <w:rFonts w:ascii="Times New Roman" w:hAnsi="Times New Roman" w:eastAsia="宋体"/>
        </w:rPr>
        <w:t>1.4 国家六张网战略正式确立</w:t>
      </w:r>
    </w:p>
    <w:p>
      <w:pPr>
        <w:spacing w:line="360" w:lineRule="auto"/>
        <w:ind w:firstLine="420"/>
        <w:jc w:val="both"/>
      </w:pPr>
      <w:r>
        <w:rPr>
          <w:rFonts w:ascii="Times New Roman" w:hAnsi="Times New Roman" w:eastAsia="宋体"/>
          <w:sz w:val="24"/>
        </w:rPr>
        <w:t>2026年4月28日，中共中央政治局召开会议，明确要求加强水网、新型电网、算力网、新一代通信网、城市地下管网、物流网等规划建设。这是六张网首次以系统性表述写入中央政治局会议部署，标志着算力网正式与水网、电网等传统基础设施平起平坐，上升为国家战略级基础设施。</w:t>
      </w:r>
    </w:p>
    <w:p>
      <w:pPr>
        <w:spacing w:line="360" w:lineRule="auto"/>
        <w:ind w:firstLine="420"/>
        <w:jc w:val="both"/>
      </w:pPr>
      <w:r>
        <w:rPr>
          <w:rFonts w:ascii="Times New Roman" w:hAnsi="Times New Roman" w:eastAsia="宋体"/>
          <w:sz w:val="24"/>
        </w:rPr>
        <w:t>2026年5月9日，国务院常务会议正式获批六张网规划，明确投资规模与建设优先级。根据规划，十五五期间（2026-2030年），六张网投资规模预计超过7万亿元，其中算力网与新型电网投资占比超过50%，成为最具潜力的投资赛道。</w:t>
      </w:r>
    </w:p>
    <w:p>
      <w:pPr>
        <w:pStyle w:val="Heading2"/>
        <w:jc w:val="left"/>
      </w:pPr>
      <w:r>
        <w:rPr>
          <w:rFonts w:ascii="Times New Roman" w:hAnsi="Times New Roman" w:eastAsia="宋体"/>
        </w:rPr>
        <w:t>1.5 1+M+N三级节点体系建设</w:t>
      </w:r>
    </w:p>
    <w:p>
      <w:pPr>
        <w:spacing w:line="360" w:lineRule="auto"/>
        <w:ind w:firstLine="420"/>
        <w:jc w:val="both"/>
      </w:pPr>
      <w:r>
        <w:rPr>
          <w:rFonts w:ascii="Times New Roman" w:hAnsi="Times New Roman" w:eastAsia="宋体"/>
          <w:sz w:val="24"/>
        </w:rPr>
        <w:t>2026年2月，工业和信息化部正式发布《关于组织开展国家算力互联互通节点建设工作的通知》（工信部通信函〔2026〕58号），部署国家级算力基础设施工程，核心是构建1+M+N三级节点体系：</w:t>
      </w:r>
    </w:p>
    <w:p>
      <w:pPr>
        <w:jc w:val="center"/>
      </w:pPr>
      <w:r>
        <w:rPr>
          <w:rFonts w:ascii="Times New Roman" w:hAnsi="Times New Roman" w:eastAsia="宋体"/>
          <w:b/>
          <w:sz w:val="21"/>
        </w:rPr>
        <w:t>表3 1+M+N国家算力互联互通节点体系</w:t>
      </w:r>
    </w:p>
    <w:tbl>
      <w:tblPr>
        <w:tblStyle w:val="TableGrid"/>
        <w:tblW w:type="auto" w:w="0"/>
        <w:tblLook w:firstColumn="1" w:firstRow="1" w:lastColumn="0" w:lastRow="0" w:noHBand="0" w:noVBand="1" w:val="04A0"/>
      </w:tblPr>
      <w:tblGrid>
        <w:gridCol w:w="2077"/>
        <w:gridCol w:w="2077"/>
        <w:gridCol w:w="2077"/>
        <w:gridCol w:w="2077"/>
      </w:tblGrid>
      <w:tr>
        <w:tc>
          <w:tcPr>
            <w:tcW w:type="dxa" w:w="2077"/>
            <w:shd w:fill="D9E2F3"/>
          </w:tcPr>
          <w:p>
            <w:pPr>
              <w:jc w:val="center"/>
            </w:pPr>
            <w:r>
              <w:rPr>
                <w:rFonts w:ascii="Times New Roman" w:hAnsi="Times New Roman" w:eastAsia="宋体"/>
                <w:b/>
                <w:sz w:val="21"/>
              </w:rPr>
              <w:t>节点类型</w:t>
            </w:r>
          </w:p>
        </w:tc>
        <w:tc>
          <w:tcPr>
            <w:tcW w:type="dxa" w:w="2077"/>
            <w:shd w:fill="D9E2F3"/>
          </w:tcPr>
          <w:p>
            <w:pPr>
              <w:jc w:val="center"/>
            </w:pPr>
            <w:r>
              <w:rPr>
                <w:rFonts w:ascii="Times New Roman" w:hAnsi="Times New Roman" w:eastAsia="宋体"/>
                <w:b/>
                <w:sz w:val="21"/>
              </w:rPr>
              <w:t>定位</w:t>
            </w:r>
          </w:p>
        </w:tc>
        <w:tc>
          <w:tcPr>
            <w:tcW w:type="dxa" w:w="2077"/>
            <w:shd w:fill="D9E2F3"/>
          </w:tcPr>
          <w:p>
            <w:pPr>
              <w:jc w:val="center"/>
            </w:pPr>
            <w:r>
              <w:rPr>
                <w:rFonts w:ascii="Times New Roman" w:hAnsi="Times New Roman" w:eastAsia="宋体"/>
                <w:b/>
                <w:sz w:val="21"/>
              </w:rPr>
              <w:t>数量</w:t>
            </w:r>
          </w:p>
        </w:tc>
        <w:tc>
          <w:tcPr>
            <w:tcW w:type="dxa" w:w="2077"/>
            <w:shd w:fill="D9E2F3"/>
          </w:tcPr>
          <w:p>
            <w:pPr>
              <w:jc w:val="center"/>
            </w:pPr>
            <w:r>
              <w:rPr>
                <w:rFonts w:ascii="Times New Roman" w:hAnsi="Times New Roman" w:eastAsia="宋体"/>
                <w:b/>
                <w:sz w:val="21"/>
              </w:rPr>
              <w:t>核心功能</w:t>
            </w:r>
          </w:p>
        </w:tc>
      </w:tr>
      <w:tr>
        <w:tc>
          <w:tcPr>
            <w:tcW w:type="dxa" w:w="2077"/>
          </w:tcPr>
          <w:p>
            <w:pPr>
              <w:jc w:val="center"/>
            </w:pPr>
            <w:r>
              <w:rPr>
                <w:rFonts w:ascii="Times New Roman" w:hAnsi="Times New Roman" w:eastAsia="宋体"/>
                <w:sz w:val="21"/>
              </w:rPr>
              <w:t>1：国家算力互联网服务节点</w:t>
            </w:r>
          </w:p>
        </w:tc>
        <w:tc>
          <w:tcPr>
            <w:tcW w:type="dxa" w:w="2077"/>
          </w:tcPr>
          <w:p>
            <w:pPr>
              <w:jc w:val="center"/>
            </w:pPr>
            <w:r>
              <w:rPr>
                <w:rFonts w:ascii="Times New Roman" w:hAnsi="Times New Roman" w:eastAsia="宋体"/>
                <w:sz w:val="21"/>
              </w:rPr>
              <w:t>国家级核心枢纽</w:t>
            </w:r>
          </w:p>
        </w:tc>
        <w:tc>
          <w:tcPr>
            <w:tcW w:type="dxa" w:w="2077"/>
          </w:tcPr>
          <w:p>
            <w:pPr>
              <w:jc w:val="center"/>
            </w:pPr>
            <w:r>
              <w:rPr>
                <w:rFonts w:ascii="Times New Roman" w:hAnsi="Times New Roman" w:eastAsia="宋体"/>
                <w:sz w:val="21"/>
              </w:rPr>
              <w:t>1个</w:t>
            </w:r>
          </w:p>
        </w:tc>
        <w:tc>
          <w:tcPr>
            <w:tcW w:type="dxa" w:w="2077"/>
          </w:tcPr>
          <w:p>
            <w:pPr>
              <w:jc w:val="center"/>
            </w:pPr>
            <w:r>
              <w:rPr>
                <w:rFonts w:ascii="Times New Roman" w:hAnsi="Times New Roman" w:eastAsia="宋体"/>
                <w:sz w:val="21"/>
              </w:rPr>
              <w:t>统一调度、算力交易、互联互通</w:t>
            </w:r>
          </w:p>
        </w:tc>
      </w:tr>
      <w:tr>
        <w:tc>
          <w:tcPr>
            <w:tcW w:type="dxa" w:w="2077"/>
          </w:tcPr>
          <w:p>
            <w:pPr>
              <w:jc w:val="center"/>
            </w:pPr>
            <w:r>
              <w:rPr>
                <w:rFonts w:ascii="Times New Roman" w:hAnsi="Times New Roman" w:eastAsia="宋体"/>
                <w:sz w:val="21"/>
              </w:rPr>
              <w:t>M：区域算力节点</w:t>
            </w:r>
          </w:p>
        </w:tc>
        <w:tc>
          <w:tcPr>
            <w:tcW w:type="dxa" w:w="2077"/>
          </w:tcPr>
          <w:p>
            <w:pPr>
              <w:jc w:val="center"/>
            </w:pPr>
            <w:r>
              <w:rPr>
                <w:rFonts w:ascii="Times New Roman" w:hAnsi="Times New Roman" w:eastAsia="宋体"/>
                <w:sz w:val="21"/>
              </w:rPr>
              <w:t>区域算力中心</w:t>
            </w:r>
          </w:p>
        </w:tc>
        <w:tc>
          <w:tcPr>
            <w:tcW w:type="dxa" w:w="2077"/>
          </w:tcPr>
          <w:p>
            <w:pPr>
              <w:jc w:val="center"/>
            </w:pPr>
            <w:r>
              <w:rPr>
                <w:rFonts w:ascii="Times New Roman" w:hAnsi="Times New Roman" w:eastAsia="宋体"/>
                <w:sz w:val="21"/>
              </w:rPr>
              <w:t>8-10个</w:t>
            </w:r>
          </w:p>
        </w:tc>
        <w:tc>
          <w:tcPr>
            <w:tcW w:type="dxa" w:w="2077"/>
          </w:tcPr>
          <w:p>
            <w:pPr>
              <w:jc w:val="center"/>
            </w:pPr>
            <w:r>
              <w:rPr>
                <w:rFonts w:ascii="Times New Roman" w:hAnsi="Times New Roman" w:eastAsia="宋体"/>
                <w:sz w:val="21"/>
              </w:rPr>
              <w:t>区域算力供给、负载均衡</w:t>
            </w:r>
          </w:p>
        </w:tc>
      </w:tr>
      <w:tr>
        <w:tc>
          <w:tcPr>
            <w:tcW w:type="dxa" w:w="2077"/>
          </w:tcPr>
          <w:p>
            <w:pPr>
              <w:jc w:val="center"/>
            </w:pPr>
            <w:r>
              <w:rPr>
                <w:rFonts w:ascii="Times New Roman" w:hAnsi="Times New Roman" w:eastAsia="宋体"/>
                <w:sz w:val="21"/>
              </w:rPr>
              <w:t>N：行业专用算力节点</w:t>
            </w:r>
          </w:p>
        </w:tc>
        <w:tc>
          <w:tcPr>
            <w:tcW w:type="dxa" w:w="2077"/>
          </w:tcPr>
          <w:p>
            <w:pPr>
              <w:jc w:val="center"/>
            </w:pPr>
            <w:r>
              <w:rPr>
                <w:rFonts w:ascii="Times New Roman" w:hAnsi="Times New Roman" w:eastAsia="宋体"/>
                <w:sz w:val="21"/>
              </w:rPr>
              <w:t>行业特色算力</w:t>
            </w:r>
          </w:p>
        </w:tc>
        <w:tc>
          <w:tcPr>
            <w:tcW w:type="dxa" w:w="2077"/>
          </w:tcPr>
          <w:p>
            <w:pPr>
              <w:jc w:val="center"/>
            </w:pPr>
            <w:r>
              <w:rPr>
                <w:rFonts w:ascii="Times New Roman" w:hAnsi="Times New Roman" w:eastAsia="宋体"/>
                <w:sz w:val="21"/>
              </w:rPr>
              <w:t>50+个</w:t>
            </w:r>
          </w:p>
        </w:tc>
        <w:tc>
          <w:tcPr>
            <w:tcW w:type="dxa" w:w="2077"/>
          </w:tcPr>
          <w:p>
            <w:pPr>
              <w:jc w:val="center"/>
            </w:pPr>
            <w:r>
              <w:rPr>
                <w:rFonts w:ascii="Times New Roman" w:hAnsi="Times New Roman" w:eastAsia="宋体"/>
                <w:sz w:val="21"/>
              </w:rPr>
              <w:t>行业垂直应用、定制化服务</w:t>
            </w:r>
          </w:p>
        </w:tc>
      </w:tr>
    </w:tbl>
    <w:p>
      <w:pPr>
        <w:spacing w:line="360" w:lineRule="auto"/>
        <w:ind w:firstLine="420"/>
        <w:jc w:val="both"/>
      </w:pPr>
      <w:r>
        <w:rPr>
          <w:rFonts w:ascii="Times New Roman" w:hAnsi="Times New Roman" w:eastAsia="宋体"/>
          <w:sz w:val="24"/>
        </w:rPr>
        <w:t>该体系通过构建"统一标识、统一标准、统一规则"的运行机制，实现不同区域、主体、架构的算力资源标准化互联和高效流动应用。</w:t>
      </w:r>
    </w:p>
    <w:p>
      <w:pPr>
        <w:pStyle w:val="Heading2"/>
        <w:jc w:val="left"/>
      </w:pPr>
      <w:r>
        <w:rPr>
          <w:rFonts w:ascii="Times New Roman" w:hAnsi="Times New Roman" w:eastAsia="宋体"/>
        </w:rPr>
        <w:t>1.6 政策时间线与关键节点</w:t>
      </w:r>
    </w:p>
    <w:p>
      <w:pPr>
        <w:jc w:val="center"/>
      </w:pPr>
      <w:r>
        <w:rPr>
          <w:rFonts w:ascii="Times New Roman" w:hAnsi="Times New Roman" w:eastAsia="宋体"/>
          <w:b/>
          <w:sz w:val="21"/>
        </w:rPr>
        <w:t>表4 国家算力网政策时间线</w:t>
      </w:r>
    </w:p>
    <w:tbl>
      <w:tblPr>
        <w:tblStyle w:val="TableGrid"/>
        <w:tblW w:type="auto" w:w="0"/>
        <w:tblLook w:firstColumn="1" w:firstRow="1" w:lastColumn="0" w:lastRow="0" w:noHBand="0" w:noVBand="1" w:val="04A0"/>
      </w:tblPr>
      <w:tblGrid>
        <w:gridCol w:w="2770"/>
        <w:gridCol w:w="2770"/>
        <w:gridCol w:w="2770"/>
      </w:tblGrid>
      <w:tr>
        <w:tc>
          <w:tcPr>
            <w:tcW w:type="dxa" w:w="2770"/>
            <w:shd w:fill="D9E2F3"/>
          </w:tcPr>
          <w:p>
            <w:pPr>
              <w:jc w:val="center"/>
            </w:pPr>
            <w:r>
              <w:rPr>
                <w:rFonts w:ascii="Times New Roman" w:hAnsi="Times New Roman" w:eastAsia="宋体"/>
                <w:b/>
                <w:sz w:val="21"/>
              </w:rPr>
              <w:t>时间</w:t>
            </w:r>
          </w:p>
        </w:tc>
        <w:tc>
          <w:tcPr>
            <w:tcW w:type="dxa" w:w="2770"/>
            <w:shd w:fill="D9E2F3"/>
          </w:tcPr>
          <w:p>
            <w:pPr>
              <w:jc w:val="center"/>
            </w:pPr>
            <w:r>
              <w:rPr>
                <w:rFonts w:ascii="Times New Roman" w:hAnsi="Times New Roman" w:eastAsia="宋体"/>
                <w:b/>
                <w:sz w:val="21"/>
              </w:rPr>
              <w:t>政策事件</w:t>
            </w:r>
          </w:p>
        </w:tc>
        <w:tc>
          <w:tcPr>
            <w:tcW w:type="dxa" w:w="2770"/>
            <w:shd w:fill="D9E2F3"/>
          </w:tcPr>
          <w:p>
            <w:pPr>
              <w:jc w:val="center"/>
            </w:pPr>
            <w:r>
              <w:rPr>
                <w:rFonts w:ascii="Times New Roman" w:hAnsi="Times New Roman" w:eastAsia="宋体"/>
                <w:b/>
                <w:sz w:val="21"/>
              </w:rPr>
              <w:t>核心内容</w:t>
            </w:r>
          </w:p>
        </w:tc>
      </w:tr>
      <w:tr>
        <w:tc>
          <w:tcPr>
            <w:tcW w:type="dxa" w:w="2770"/>
          </w:tcPr>
          <w:p>
            <w:pPr>
              <w:jc w:val="center"/>
            </w:pPr>
            <w:r>
              <w:rPr>
                <w:rFonts w:ascii="Times New Roman" w:hAnsi="Times New Roman" w:eastAsia="宋体"/>
                <w:sz w:val="21"/>
              </w:rPr>
              <w:t>2026年2月</w:t>
            </w:r>
          </w:p>
        </w:tc>
        <w:tc>
          <w:tcPr>
            <w:tcW w:type="dxa" w:w="2770"/>
          </w:tcPr>
          <w:p>
            <w:pPr>
              <w:jc w:val="center"/>
            </w:pPr>
            <w:r>
              <w:rPr>
                <w:rFonts w:ascii="Times New Roman" w:hAnsi="Times New Roman" w:eastAsia="宋体"/>
                <w:sz w:val="21"/>
              </w:rPr>
              <w:t>工信部发布算力互联互通通知</w:t>
            </w:r>
          </w:p>
        </w:tc>
        <w:tc>
          <w:tcPr>
            <w:tcW w:type="dxa" w:w="2770"/>
          </w:tcPr>
          <w:p>
            <w:pPr>
              <w:jc w:val="center"/>
            </w:pPr>
            <w:r>
              <w:rPr>
                <w:rFonts w:ascii="Times New Roman" w:hAnsi="Times New Roman" w:eastAsia="宋体"/>
                <w:sz w:val="21"/>
              </w:rPr>
              <w:t>部署1+M+N节点体系建设</w:t>
            </w:r>
          </w:p>
        </w:tc>
      </w:tr>
      <w:tr>
        <w:tc>
          <w:tcPr>
            <w:tcW w:type="dxa" w:w="2770"/>
          </w:tcPr>
          <w:p>
            <w:pPr>
              <w:jc w:val="center"/>
            </w:pPr>
            <w:r>
              <w:rPr>
                <w:rFonts w:ascii="Times New Roman" w:hAnsi="Times New Roman" w:eastAsia="宋体"/>
                <w:sz w:val="21"/>
              </w:rPr>
              <w:t>2026年4月</w:t>
            </w:r>
          </w:p>
        </w:tc>
        <w:tc>
          <w:tcPr>
            <w:tcW w:type="dxa" w:w="2770"/>
          </w:tcPr>
          <w:p>
            <w:pPr>
              <w:jc w:val="center"/>
            </w:pPr>
            <w:r>
              <w:rPr>
                <w:rFonts w:ascii="Times New Roman" w:hAnsi="Times New Roman" w:eastAsia="宋体"/>
                <w:sz w:val="21"/>
              </w:rPr>
              <w:t>中央政治局会议</w:t>
            </w:r>
          </w:p>
        </w:tc>
        <w:tc>
          <w:tcPr>
            <w:tcW w:type="dxa" w:w="2770"/>
          </w:tcPr>
          <w:p>
            <w:pPr>
              <w:jc w:val="center"/>
            </w:pPr>
            <w:r>
              <w:rPr>
                <w:rFonts w:ascii="Times New Roman" w:hAnsi="Times New Roman" w:eastAsia="宋体"/>
                <w:sz w:val="21"/>
              </w:rPr>
              <w:t>首次系统部署六张网建设</w:t>
            </w:r>
          </w:p>
        </w:tc>
      </w:tr>
      <w:tr>
        <w:tc>
          <w:tcPr>
            <w:tcW w:type="dxa" w:w="2770"/>
          </w:tcPr>
          <w:p>
            <w:pPr>
              <w:jc w:val="center"/>
            </w:pPr>
            <w:r>
              <w:rPr>
                <w:rFonts w:ascii="Times New Roman" w:hAnsi="Times New Roman" w:eastAsia="宋体"/>
                <w:sz w:val="21"/>
              </w:rPr>
              <w:t>2026年5月</w:t>
            </w:r>
          </w:p>
        </w:tc>
        <w:tc>
          <w:tcPr>
            <w:tcW w:type="dxa" w:w="2770"/>
          </w:tcPr>
          <w:p>
            <w:pPr>
              <w:jc w:val="center"/>
            </w:pPr>
            <w:r>
              <w:rPr>
                <w:rFonts w:ascii="Times New Roman" w:hAnsi="Times New Roman" w:eastAsia="宋体"/>
                <w:sz w:val="21"/>
              </w:rPr>
              <w:t>国务院常务会议</w:t>
            </w:r>
          </w:p>
        </w:tc>
        <w:tc>
          <w:tcPr>
            <w:tcW w:type="dxa" w:w="2770"/>
          </w:tcPr>
          <w:p>
            <w:pPr>
              <w:jc w:val="center"/>
            </w:pPr>
            <w:r>
              <w:rPr>
                <w:rFonts w:ascii="Times New Roman" w:hAnsi="Times New Roman" w:eastAsia="宋体"/>
                <w:sz w:val="21"/>
              </w:rPr>
              <w:t>正式批准六张网规划，7万亿投资落地</w:t>
            </w:r>
          </w:p>
        </w:tc>
      </w:tr>
      <w:tr>
        <w:tc>
          <w:tcPr>
            <w:tcW w:type="dxa" w:w="2770"/>
          </w:tcPr>
          <w:p>
            <w:pPr>
              <w:jc w:val="center"/>
            </w:pPr>
            <w:r>
              <w:rPr>
                <w:rFonts w:ascii="Times New Roman" w:hAnsi="Times New Roman" w:eastAsia="宋体"/>
                <w:sz w:val="21"/>
              </w:rPr>
              <w:t>2026年下半年</w:t>
            </w:r>
          </w:p>
        </w:tc>
        <w:tc>
          <w:tcPr>
            <w:tcW w:type="dxa" w:w="2770"/>
          </w:tcPr>
          <w:p>
            <w:pPr>
              <w:jc w:val="center"/>
            </w:pPr>
            <w:r>
              <w:rPr>
                <w:rFonts w:ascii="Times New Roman" w:hAnsi="Times New Roman" w:eastAsia="宋体"/>
                <w:sz w:val="21"/>
              </w:rPr>
              <w:t>配套政策密集出台</w:t>
            </w:r>
          </w:p>
        </w:tc>
        <w:tc>
          <w:tcPr>
            <w:tcW w:type="dxa" w:w="2770"/>
          </w:tcPr>
          <w:p>
            <w:pPr>
              <w:jc w:val="center"/>
            </w:pPr>
            <w:r>
              <w:rPr>
                <w:rFonts w:ascii="Times New Roman" w:hAnsi="Times New Roman" w:eastAsia="宋体"/>
                <w:sz w:val="21"/>
              </w:rPr>
              <w:t>超长期特别国债、专项债等资金到位</w:t>
            </w:r>
          </w:p>
        </w:tc>
      </w:tr>
      <w:tr>
        <w:tc>
          <w:tcPr>
            <w:tcW w:type="dxa" w:w="2770"/>
          </w:tcPr>
          <w:p>
            <w:pPr>
              <w:jc w:val="center"/>
            </w:pPr>
            <w:r>
              <w:rPr>
                <w:rFonts w:ascii="Times New Roman" w:hAnsi="Times New Roman" w:eastAsia="宋体"/>
                <w:sz w:val="21"/>
              </w:rPr>
              <w:t>2027年</w:t>
            </w:r>
          </w:p>
        </w:tc>
        <w:tc>
          <w:tcPr>
            <w:tcW w:type="dxa" w:w="2770"/>
          </w:tcPr>
          <w:p>
            <w:pPr>
              <w:jc w:val="center"/>
            </w:pPr>
            <w:r>
              <w:rPr>
                <w:rFonts w:ascii="Times New Roman" w:hAnsi="Times New Roman" w:eastAsia="宋体"/>
                <w:sz w:val="21"/>
              </w:rPr>
              <w:t>节点建设加速期</w:t>
            </w:r>
          </w:p>
        </w:tc>
        <w:tc>
          <w:tcPr>
            <w:tcW w:type="dxa" w:w="2770"/>
          </w:tcPr>
          <w:p>
            <w:pPr>
              <w:jc w:val="center"/>
            </w:pPr>
            <w:r>
              <w:rPr>
                <w:rFonts w:ascii="Times New Roman" w:hAnsi="Times New Roman" w:eastAsia="宋体"/>
                <w:sz w:val="21"/>
              </w:rPr>
              <w:t>区域节点和行业节点全面启动</w:t>
            </w:r>
          </w:p>
        </w:tc>
      </w:tr>
      <w:tr>
        <w:tc>
          <w:tcPr>
            <w:tcW w:type="dxa" w:w="2770"/>
          </w:tcPr>
          <w:p>
            <w:pPr>
              <w:jc w:val="center"/>
            </w:pPr>
            <w:r>
              <w:rPr>
                <w:rFonts w:ascii="Times New Roman" w:hAnsi="Times New Roman" w:eastAsia="宋体"/>
                <w:sz w:val="21"/>
              </w:rPr>
              <w:t>2030年</w:t>
            </w:r>
          </w:p>
        </w:tc>
        <w:tc>
          <w:tcPr>
            <w:tcW w:type="dxa" w:w="2770"/>
          </w:tcPr>
          <w:p>
            <w:pPr>
              <w:jc w:val="center"/>
            </w:pPr>
            <w:r>
              <w:rPr>
                <w:rFonts w:ascii="Times New Roman" w:hAnsi="Times New Roman" w:eastAsia="宋体"/>
                <w:sz w:val="21"/>
              </w:rPr>
              <w:t>体系基本成型</w:t>
            </w:r>
          </w:p>
        </w:tc>
        <w:tc>
          <w:tcPr>
            <w:tcW w:type="dxa" w:w="2770"/>
          </w:tcPr>
          <w:p>
            <w:pPr>
              <w:jc w:val="center"/>
            </w:pPr>
            <w:r>
              <w:rPr>
                <w:rFonts w:ascii="Times New Roman" w:hAnsi="Times New Roman" w:eastAsia="宋体"/>
                <w:sz w:val="21"/>
              </w:rPr>
              <w:t>形成全国一体化算力网络</w:t>
            </w:r>
          </w:p>
        </w:tc>
      </w:tr>
    </w:tbl>
    <w:p>
      <w:r>
        <w:br w:type="page"/>
      </w:r>
    </w:p>
    <w:p>
      <w:pPr>
        <w:pStyle w:val="Heading1"/>
        <w:jc w:val="left"/>
      </w:pPr>
      <w:r>
        <w:rPr>
          <w:rFonts w:ascii="Times New Roman" w:hAnsi="Times New Roman" w:eastAsia="宋体"/>
        </w:rPr>
        <w:t>二、产业数据洞察：国内电算协同市场预测</w:t>
      </w:r>
    </w:p>
    <w:p>
      <w:pPr>
        <w:pStyle w:val="Heading2"/>
        <w:jc w:val="left"/>
      </w:pPr>
      <w:r>
        <w:rPr>
          <w:rFonts w:ascii="Times New Roman" w:hAnsi="Times New Roman" w:eastAsia="宋体"/>
        </w:rPr>
        <w:t>2.1 全球数据中心耗电量预测</w:t>
      </w:r>
    </w:p>
    <w:p>
      <w:pPr>
        <w:spacing w:line="360" w:lineRule="auto"/>
        <w:ind w:firstLine="420"/>
        <w:jc w:val="both"/>
      </w:pPr>
      <w:r>
        <w:rPr>
          <w:rFonts w:ascii="Times New Roman" w:hAnsi="Times New Roman" w:eastAsia="宋体"/>
          <w:sz w:val="24"/>
        </w:rPr>
        <w:t>根据国际能源署（IEA）2026年5月发布的特别报告，全球数据中心的年耗电量将从2025年的485 TWh翻一番，达到2030年的950 TWh。其中AI专用数据中心的耗电量将从约155 TWh增长超过三倍，到465 TWh。</w:t>
      </w:r>
    </w:p>
    <w:p>
      <w:pPr>
        <w:jc w:val="center"/>
      </w:pPr>
      <w:r>
        <w:rPr>
          <w:rFonts w:ascii="Times New Roman" w:hAnsi="Times New Roman" w:eastAsia="宋体"/>
          <w:b/>
          <w:sz w:val="21"/>
        </w:rPr>
        <w:t>表5 2025-2030年全球数据中心耗电量预测（来源：IEA）</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Times New Roman" w:hAnsi="Times New Roman" w:eastAsia="宋体"/>
                <w:b/>
                <w:sz w:val="21"/>
              </w:rPr>
              <w:t>年份</w:t>
            </w:r>
          </w:p>
        </w:tc>
        <w:tc>
          <w:tcPr>
            <w:tcW w:type="dxa" w:w="1662"/>
            <w:shd w:fill="D9E2F3"/>
          </w:tcPr>
          <w:p>
            <w:pPr>
              <w:jc w:val="center"/>
            </w:pPr>
            <w:r>
              <w:rPr>
                <w:rFonts w:ascii="Times New Roman" w:hAnsi="Times New Roman" w:eastAsia="宋体"/>
                <w:b/>
                <w:sz w:val="21"/>
              </w:rPr>
              <w:t>全球数据中心耗电(TWh)</w:t>
            </w:r>
          </w:p>
        </w:tc>
        <w:tc>
          <w:tcPr>
            <w:tcW w:type="dxa" w:w="1662"/>
            <w:shd w:fill="D9E2F3"/>
          </w:tcPr>
          <w:p>
            <w:pPr>
              <w:jc w:val="center"/>
            </w:pPr>
            <w:r>
              <w:rPr>
                <w:rFonts w:ascii="Times New Roman" w:hAnsi="Times New Roman" w:eastAsia="宋体"/>
                <w:b/>
                <w:sz w:val="21"/>
              </w:rPr>
              <w:t>同比增速</w:t>
            </w:r>
          </w:p>
        </w:tc>
        <w:tc>
          <w:tcPr>
            <w:tcW w:type="dxa" w:w="1662"/>
            <w:shd w:fill="D9E2F3"/>
          </w:tcPr>
          <w:p>
            <w:pPr>
              <w:jc w:val="center"/>
            </w:pPr>
            <w:r>
              <w:rPr>
                <w:rFonts w:ascii="Times New Roman" w:hAnsi="Times New Roman" w:eastAsia="宋体"/>
                <w:b/>
                <w:sz w:val="21"/>
              </w:rPr>
              <w:t>AI专用数据中心占比</w:t>
            </w:r>
          </w:p>
        </w:tc>
        <w:tc>
          <w:tcPr>
            <w:tcW w:type="dxa" w:w="1662"/>
            <w:shd w:fill="D9E2F3"/>
          </w:tcPr>
          <w:p>
            <w:pPr>
              <w:jc w:val="center"/>
            </w:pPr>
            <w:r>
              <w:rPr>
                <w:rFonts w:ascii="Times New Roman" w:hAnsi="Times New Roman" w:eastAsia="宋体"/>
                <w:b/>
                <w:sz w:val="21"/>
              </w:rPr>
              <w:t>占全球用电比重</w:t>
            </w:r>
          </w:p>
        </w:tc>
      </w:tr>
      <w:tr>
        <w:tc>
          <w:tcPr>
            <w:tcW w:type="dxa" w:w="1662"/>
          </w:tcPr>
          <w:p>
            <w:pPr>
              <w:jc w:val="center"/>
            </w:pPr>
            <w:r>
              <w:rPr>
                <w:rFonts w:ascii="Times New Roman" w:hAnsi="Times New Roman" w:eastAsia="宋体"/>
                <w:sz w:val="21"/>
              </w:rPr>
              <w:t>2025年</w:t>
            </w:r>
          </w:p>
        </w:tc>
        <w:tc>
          <w:tcPr>
            <w:tcW w:type="dxa" w:w="1662"/>
          </w:tcPr>
          <w:p>
            <w:pPr>
              <w:jc w:val="center"/>
            </w:pPr>
            <w:r>
              <w:rPr>
                <w:rFonts w:ascii="Times New Roman" w:hAnsi="Times New Roman" w:eastAsia="宋体"/>
                <w:sz w:val="21"/>
              </w:rPr>
              <w:t>485</w:t>
            </w:r>
          </w:p>
        </w:tc>
        <w:tc>
          <w:tcPr>
            <w:tcW w:type="dxa" w:w="1662"/>
          </w:tcPr>
          <w:p>
            <w:pPr>
              <w:jc w:val="center"/>
            </w:pPr>
            <w:r>
              <w:rPr>
                <w:rFonts w:ascii="Times New Roman" w:hAnsi="Times New Roman" w:eastAsia="宋体"/>
                <w:sz w:val="21"/>
              </w:rPr>
              <w:t>-</w:t>
            </w:r>
          </w:p>
        </w:tc>
        <w:tc>
          <w:tcPr>
            <w:tcW w:type="dxa" w:w="1662"/>
          </w:tcPr>
          <w:p>
            <w:pPr>
              <w:jc w:val="center"/>
            </w:pPr>
            <w:r>
              <w:rPr>
                <w:rFonts w:ascii="Times New Roman" w:hAnsi="Times New Roman" w:eastAsia="宋体"/>
                <w:sz w:val="21"/>
              </w:rPr>
              <w:t>32%</w:t>
            </w:r>
          </w:p>
        </w:tc>
        <w:tc>
          <w:tcPr>
            <w:tcW w:type="dxa" w:w="1662"/>
          </w:tcPr>
          <w:p>
            <w:pPr>
              <w:jc w:val="center"/>
            </w:pPr>
            <w:r>
              <w:rPr>
                <w:rFonts w:ascii="Times New Roman" w:hAnsi="Times New Roman" w:eastAsia="宋体"/>
                <w:sz w:val="21"/>
              </w:rPr>
              <w:t>约2%</w:t>
            </w:r>
          </w:p>
        </w:tc>
      </w:tr>
      <w:tr>
        <w:tc>
          <w:tcPr>
            <w:tcW w:type="dxa" w:w="1662"/>
          </w:tcPr>
          <w:p>
            <w:pPr>
              <w:jc w:val="center"/>
            </w:pPr>
            <w:r>
              <w:rPr>
                <w:rFonts w:ascii="Times New Roman" w:hAnsi="Times New Roman" w:eastAsia="宋体"/>
                <w:sz w:val="21"/>
              </w:rPr>
              <w:t>2026年E</w:t>
            </w:r>
          </w:p>
        </w:tc>
        <w:tc>
          <w:tcPr>
            <w:tcW w:type="dxa" w:w="1662"/>
          </w:tcPr>
          <w:p>
            <w:pPr>
              <w:jc w:val="center"/>
            </w:pPr>
            <w:r>
              <w:rPr>
                <w:rFonts w:ascii="Times New Roman" w:hAnsi="Times New Roman" w:eastAsia="宋体"/>
                <w:sz w:val="21"/>
              </w:rPr>
              <w:t>600</w:t>
            </w:r>
          </w:p>
        </w:tc>
        <w:tc>
          <w:tcPr>
            <w:tcW w:type="dxa" w:w="1662"/>
          </w:tcPr>
          <w:p>
            <w:pPr>
              <w:jc w:val="center"/>
            </w:pPr>
            <w:r>
              <w:rPr>
                <w:rFonts w:ascii="Times New Roman" w:hAnsi="Times New Roman" w:eastAsia="宋体"/>
                <w:sz w:val="21"/>
              </w:rPr>
              <w:t>23.7%</w:t>
            </w:r>
          </w:p>
        </w:tc>
        <w:tc>
          <w:tcPr>
            <w:tcW w:type="dxa" w:w="1662"/>
          </w:tcPr>
          <w:p>
            <w:pPr>
              <w:jc w:val="center"/>
            </w:pPr>
            <w:r>
              <w:rPr>
                <w:rFonts w:ascii="Times New Roman" w:hAnsi="Times New Roman" w:eastAsia="宋体"/>
                <w:sz w:val="21"/>
              </w:rPr>
              <w:t>38%</w:t>
            </w:r>
          </w:p>
        </w:tc>
        <w:tc>
          <w:tcPr>
            <w:tcW w:type="dxa" w:w="1662"/>
          </w:tcPr>
          <w:p>
            <w:pPr>
              <w:jc w:val="center"/>
            </w:pPr>
            <w:r>
              <w:rPr>
                <w:rFonts w:ascii="Times New Roman" w:hAnsi="Times New Roman" w:eastAsia="宋体"/>
                <w:sz w:val="21"/>
              </w:rPr>
              <w:t>约2.5%</w:t>
            </w:r>
          </w:p>
        </w:tc>
      </w:tr>
      <w:tr>
        <w:tc>
          <w:tcPr>
            <w:tcW w:type="dxa" w:w="1662"/>
          </w:tcPr>
          <w:p>
            <w:pPr>
              <w:jc w:val="center"/>
            </w:pPr>
            <w:r>
              <w:rPr>
                <w:rFonts w:ascii="Times New Roman" w:hAnsi="Times New Roman" w:eastAsia="宋体"/>
                <w:sz w:val="21"/>
              </w:rPr>
              <w:t>2027年E</w:t>
            </w:r>
          </w:p>
        </w:tc>
        <w:tc>
          <w:tcPr>
            <w:tcW w:type="dxa" w:w="1662"/>
          </w:tcPr>
          <w:p>
            <w:pPr>
              <w:jc w:val="center"/>
            </w:pPr>
            <w:r>
              <w:rPr>
                <w:rFonts w:ascii="Times New Roman" w:hAnsi="Times New Roman" w:eastAsia="宋体"/>
                <w:sz w:val="21"/>
              </w:rPr>
              <w:t>720</w:t>
            </w:r>
          </w:p>
        </w:tc>
        <w:tc>
          <w:tcPr>
            <w:tcW w:type="dxa" w:w="1662"/>
          </w:tcPr>
          <w:p>
            <w:pPr>
              <w:jc w:val="center"/>
            </w:pPr>
            <w:r>
              <w:rPr>
                <w:rFonts w:ascii="Times New Roman" w:hAnsi="Times New Roman" w:eastAsia="宋体"/>
                <w:sz w:val="21"/>
              </w:rPr>
              <w:t>20.0%</w:t>
            </w:r>
          </w:p>
        </w:tc>
        <w:tc>
          <w:tcPr>
            <w:tcW w:type="dxa" w:w="1662"/>
          </w:tcPr>
          <w:p>
            <w:pPr>
              <w:jc w:val="center"/>
            </w:pPr>
            <w:r>
              <w:rPr>
                <w:rFonts w:ascii="Times New Roman" w:hAnsi="Times New Roman" w:eastAsia="宋体"/>
                <w:sz w:val="21"/>
              </w:rPr>
              <w:t>43%</w:t>
            </w:r>
          </w:p>
        </w:tc>
        <w:tc>
          <w:tcPr>
            <w:tcW w:type="dxa" w:w="1662"/>
          </w:tcPr>
          <w:p>
            <w:pPr>
              <w:jc w:val="center"/>
            </w:pPr>
            <w:r>
              <w:rPr>
                <w:rFonts w:ascii="Times New Roman" w:hAnsi="Times New Roman" w:eastAsia="宋体"/>
                <w:sz w:val="21"/>
              </w:rPr>
              <w:t>约3%</w:t>
            </w:r>
          </w:p>
        </w:tc>
      </w:tr>
      <w:tr>
        <w:tc>
          <w:tcPr>
            <w:tcW w:type="dxa" w:w="1662"/>
          </w:tcPr>
          <w:p>
            <w:pPr>
              <w:jc w:val="center"/>
            </w:pPr>
            <w:r>
              <w:rPr>
                <w:rFonts w:ascii="Times New Roman" w:hAnsi="Times New Roman" w:eastAsia="宋体"/>
                <w:sz w:val="21"/>
              </w:rPr>
              <w:t>2028年E</w:t>
            </w:r>
          </w:p>
        </w:tc>
        <w:tc>
          <w:tcPr>
            <w:tcW w:type="dxa" w:w="1662"/>
          </w:tcPr>
          <w:p>
            <w:pPr>
              <w:jc w:val="center"/>
            </w:pPr>
            <w:r>
              <w:rPr>
                <w:rFonts w:ascii="Times New Roman" w:hAnsi="Times New Roman" w:eastAsia="宋体"/>
                <w:sz w:val="21"/>
              </w:rPr>
              <w:t>850</w:t>
            </w:r>
          </w:p>
        </w:tc>
        <w:tc>
          <w:tcPr>
            <w:tcW w:type="dxa" w:w="1662"/>
          </w:tcPr>
          <w:p>
            <w:pPr>
              <w:jc w:val="center"/>
            </w:pPr>
            <w:r>
              <w:rPr>
                <w:rFonts w:ascii="Times New Roman" w:hAnsi="Times New Roman" w:eastAsia="宋体"/>
                <w:sz w:val="21"/>
              </w:rPr>
              <w:t>18.1%</w:t>
            </w:r>
          </w:p>
        </w:tc>
        <w:tc>
          <w:tcPr>
            <w:tcW w:type="dxa" w:w="1662"/>
          </w:tcPr>
          <w:p>
            <w:pPr>
              <w:jc w:val="center"/>
            </w:pPr>
            <w:r>
              <w:rPr>
                <w:rFonts w:ascii="Times New Roman" w:hAnsi="Times New Roman" w:eastAsia="宋体"/>
                <w:sz w:val="21"/>
              </w:rPr>
              <w:t>48%</w:t>
            </w:r>
          </w:p>
        </w:tc>
        <w:tc>
          <w:tcPr>
            <w:tcW w:type="dxa" w:w="1662"/>
          </w:tcPr>
          <w:p>
            <w:pPr>
              <w:jc w:val="center"/>
            </w:pPr>
            <w:r>
              <w:rPr>
                <w:rFonts w:ascii="Times New Roman" w:hAnsi="Times New Roman" w:eastAsia="宋体"/>
                <w:sz w:val="21"/>
              </w:rPr>
              <w:t>约3.5%</w:t>
            </w:r>
          </w:p>
        </w:tc>
      </w:tr>
      <w:tr>
        <w:tc>
          <w:tcPr>
            <w:tcW w:type="dxa" w:w="1662"/>
          </w:tcPr>
          <w:p>
            <w:pPr>
              <w:jc w:val="center"/>
            </w:pPr>
            <w:r>
              <w:rPr>
                <w:rFonts w:ascii="Times New Roman" w:hAnsi="Times New Roman" w:eastAsia="宋体"/>
                <w:sz w:val="21"/>
              </w:rPr>
              <w:t>2029年E</w:t>
            </w:r>
          </w:p>
        </w:tc>
        <w:tc>
          <w:tcPr>
            <w:tcW w:type="dxa" w:w="1662"/>
          </w:tcPr>
          <w:p>
            <w:pPr>
              <w:jc w:val="center"/>
            </w:pPr>
            <w:r>
              <w:rPr>
                <w:rFonts w:ascii="Times New Roman" w:hAnsi="Times New Roman" w:eastAsia="宋体"/>
                <w:sz w:val="21"/>
              </w:rPr>
              <w:t>920</w:t>
            </w:r>
          </w:p>
        </w:tc>
        <w:tc>
          <w:tcPr>
            <w:tcW w:type="dxa" w:w="1662"/>
          </w:tcPr>
          <w:p>
            <w:pPr>
              <w:jc w:val="center"/>
            </w:pPr>
            <w:r>
              <w:rPr>
                <w:rFonts w:ascii="Times New Roman" w:hAnsi="Times New Roman" w:eastAsia="宋体"/>
                <w:sz w:val="21"/>
              </w:rPr>
              <w:t>8.2%</w:t>
            </w:r>
          </w:p>
        </w:tc>
        <w:tc>
          <w:tcPr>
            <w:tcW w:type="dxa" w:w="1662"/>
          </w:tcPr>
          <w:p>
            <w:pPr>
              <w:jc w:val="center"/>
            </w:pPr>
            <w:r>
              <w:rPr>
                <w:rFonts w:ascii="Times New Roman" w:hAnsi="Times New Roman" w:eastAsia="宋体"/>
                <w:sz w:val="21"/>
              </w:rPr>
              <w:t>50%</w:t>
            </w:r>
          </w:p>
        </w:tc>
        <w:tc>
          <w:tcPr>
            <w:tcW w:type="dxa" w:w="1662"/>
          </w:tcPr>
          <w:p>
            <w:pPr>
              <w:jc w:val="center"/>
            </w:pPr>
            <w:r>
              <w:rPr>
                <w:rFonts w:ascii="Times New Roman" w:hAnsi="Times New Roman" w:eastAsia="宋体"/>
                <w:sz w:val="21"/>
              </w:rPr>
              <w:t>约4%</w:t>
            </w:r>
          </w:p>
        </w:tc>
      </w:tr>
      <w:tr>
        <w:tc>
          <w:tcPr>
            <w:tcW w:type="dxa" w:w="1662"/>
          </w:tcPr>
          <w:p>
            <w:pPr>
              <w:jc w:val="center"/>
            </w:pPr>
            <w:r>
              <w:rPr>
                <w:rFonts w:ascii="Times New Roman" w:hAnsi="Times New Roman" w:eastAsia="宋体"/>
                <w:sz w:val="21"/>
              </w:rPr>
              <w:t>2030年E</w:t>
            </w:r>
          </w:p>
        </w:tc>
        <w:tc>
          <w:tcPr>
            <w:tcW w:type="dxa" w:w="1662"/>
          </w:tcPr>
          <w:p>
            <w:pPr>
              <w:jc w:val="center"/>
            </w:pPr>
            <w:r>
              <w:rPr>
                <w:rFonts w:ascii="Times New Roman" w:hAnsi="Times New Roman" w:eastAsia="宋体"/>
                <w:sz w:val="21"/>
              </w:rPr>
              <w:t>950</w:t>
            </w:r>
          </w:p>
        </w:tc>
        <w:tc>
          <w:tcPr>
            <w:tcW w:type="dxa" w:w="1662"/>
          </w:tcPr>
          <w:p>
            <w:pPr>
              <w:jc w:val="center"/>
            </w:pPr>
            <w:r>
              <w:rPr>
                <w:rFonts w:ascii="Times New Roman" w:hAnsi="Times New Roman" w:eastAsia="宋体"/>
                <w:sz w:val="21"/>
              </w:rPr>
              <w:t>3.3%</w:t>
            </w:r>
          </w:p>
        </w:tc>
        <w:tc>
          <w:tcPr>
            <w:tcW w:type="dxa" w:w="1662"/>
          </w:tcPr>
          <w:p>
            <w:pPr>
              <w:jc w:val="center"/>
            </w:pPr>
            <w:r>
              <w:rPr>
                <w:rFonts w:ascii="Times New Roman" w:hAnsi="Times New Roman" w:eastAsia="宋体"/>
                <w:sz w:val="21"/>
              </w:rPr>
              <w:t>49%</w:t>
            </w:r>
          </w:p>
        </w:tc>
        <w:tc>
          <w:tcPr>
            <w:tcW w:type="dxa" w:w="1662"/>
          </w:tcPr>
          <w:p>
            <w:pPr>
              <w:jc w:val="center"/>
            </w:pPr>
            <w:r>
              <w:rPr>
                <w:rFonts w:ascii="Times New Roman" w:hAnsi="Times New Roman" w:eastAsia="宋体"/>
                <w:sz w:val="21"/>
              </w:rPr>
              <w:t>约5%</w:t>
            </w:r>
          </w:p>
        </w:tc>
      </w:tr>
    </w:tbl>
    <w:p>
      <w:pPr>
        <w:pStyle w:val="Heading2"/>
        <w:jc w:val="left"/>
      </w:pPr>
      <w:r>
        <w:rPr>
          <w:rFonts w:ascii="Times New Roman" w:hAnsi="Times New Roman" w:eastAsia="宋体"/>
        </w:rPr>
        <w:t>2.2 中国数据中心耗电量预测</w:t>
      </w:r>
    </w:p>
    <w:p>
      <w:pPr>
        <w:spacing w:line="360" w:lineRule="auto"/>
        <w:ind w:firstLine="420"/>
        <w:jc w:val="both"/>
      </w:pPr>
      <w:r>
        <w:rPr>
          <w:rFonts w:ascii="Times New Roman" w:hAnsi="Times New Roman" w:eastAsia="宋体"/>
          <w:sz w:val="24"/>
        </w:rPr>
        <w:t>根据行业预测，到2030年，全国AI用电量将达到4000亿至7000亿千瓦时，约占全国全社会用电量的5%。目前在美国及东南亚等地，建设算力中心甚至面临"找不到电"的困境，这为中国的电算协同发展提供了独特的战略机遇。</w:t>
      </w:r>
    </w:p>
    <w:p>
      <w:pPr>
        <w:jc w:val="center"/>
      </w:pPr>
      <w:r>
        <w:rPr>
          <w:rFonts w:ascii="Times New Roman" w:hAnsi="Times New Roman" w:eastAsia="宋体"/>
          <w:b/>
          <w:sz w:val="21"/>
        </w:rPr>
        <w:t>表6 2025-2030年中国数据中心耗电量预测</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Times New Roman" w:hAnsi="Times New Roman" w:eastAsia="宋体"/>
                <w:b/>
                <w:sz w:val="21"/>
              </w:rPr>
              <w:t>年份</w:t>
            </w:r>
          </w:p>
        </w:tc>
        <w:tc>
          <w:tcPr>
            <w:tcW w:type="dxa" w:w="1662"/>
            <w:shd w:fill="D9E2F3"/>
          </w:tcPr>
          <w:p>
            <w:pPr>
              <w:jc w:val="center"/>
            </w:pPr>
            <w:r>
              <w:rPr>
                <w:rFonts w:ascii="Times New Roman" w:hAnsi="Times New Roman" w:eastAsia="宋体"/>
                <w:b/>
                <w:sz w:val="21"/>
              </w:rPr>
              <w:t>中国数据中心耗电(亿度)</w:t>
            </w:r>
          </w:p>
        </w:tc>
        <w:tc>
          <w:tcPr>
            <w:tcW w:type="dxa" w:w="1662"/>
            <w:shd w:fill="D9E2F3"/>
          </w:tcPr>
          <w:p>
            <w:pPr>
              <w:jc w:val="center"/>
            </w:pPr>
            <w:r>
              <w:rPr>
                <w:rFonts w:ascii="Times New Roman" w:hAnsi="Times New Roman" w:eastAsia="宋体"/>
                <w:b/>
                <w:sz w:val="21"/>
              </w:rPr>
              <w:t>同比增速</w:t>
            </w:r>
          </w:p>
        </w:tc>
        <w:tc>
          <w:tcPr>
            <w:tcW w:type="dxa" w:w="1662"/>
            <w:shd w:fill="D9E2F3"/>
          </w:tcPr>
          <w:p>
            <w:pPr>
              <w:jc w:val="center"/>
            </w:pPr>
            <w:r>
              <w:rPr>
                <w:rFonts w:ascii="Times New Roman" w:hAnsi="Times New Roman" w:eastAsia="宋体"/>
                <w:b/>
                <w:sz w:val="21"/>
              </w:rPr>
              <w:t>占全社会用电比重</w:t>
            </w:r>
          </w:p>
        </w:tc>
        <w:tc>
          <w:tcPr>
            <w:tcW w:type="dxa" w:w="1662"/>
            <w:shd w:fill="D9E2F3"/>
          </w:tcPr>
          <w:p>
            <w:pPr>
              <w:jc w:val="center"/>
            </w:pPr>
            <w:r>
              <w:rPr>
                <w:rFonts w:ascii="Times New Roman" w:hAnsi="Times New Roman" w:eastAsia="宋体"/>
                <w:b/>
                <w:sz w:val="21"/>
              </w:rPr>
              <w:t>AI算力占比</w:t>
            </w:r>
          </w:p>
        </w:tc>
      </w:tr>
      <w:tr>
        <w:tc>
          <w:tcPr>
            <w:tcW w:type="dxa" w:w="1662"/>
          </w:tcPr>
          <w:p>
            <w:pPr>
              <w:jc w:val="center"/>
            </w:pPr>
            <w:r>
              <w:rPr>
                <w:rFonts w:ascii="Times New Roman" w:hAnsi="Times New Roman" w:eastAsia="宋体"/>
                <w:sz w:val="21"/>
              </w:rPr>
              <w:t>2025年</w:t>
            </w:r>
          </w:p>
        </w:tc>
        <w:tc>
          <w:tcPr>
            <w:tcW w:type="dxa" w:w="1662"/>
          </w:tcPr>
          <w:p>
            <w:pPr>
              <w:jc w:val="center"/>
            </w:pPr>
            <w:r>
              <w:rPr>
                <w:rFonts w:ascii="Times New Roman" w:hAnsi="Times New Roman" w:eastAsia="宋体"/>
                <w:sz w:val="21"/>
              </w:rPr>
              <w:t>1960</w:t>
            </w:r>
          </w:p>
        </w:tc>
        <w:tc>
          <w:tcPr>
            <w:tcW w:type="dxa" w:w="1662"/>
          </w:tcPr>
          <w:p>
            <w:pPr>
              <w:jc w:val="center"/>
            </w:pPr>
            <w:r>
              <w:rPr>
                <w:rFonts w:ascii="Times New Roman" w:hAnsi="Times New Roman" w:eastAsia="宋体"/>
                <w:sz w:val="21"/>
              </w:rPr>
              <w:t>-</w:t>
            </w:r>
          </w:p>
        </w:tc>
        <w:tc>
          <w:tcPr>
            <w:tcW w:type="dxa" w:w="1662"/>
          </w:tcPr>
          <w:p>
            <w:pPr>
              <w:jc w:val="center"/>
            </w:pPr>
            <w:r>
              <w:rPr>
                <w:rFonts w:ascii="Times New Roman" w:hAnsi="Times New Roman" w:eastAsia="宋体"/>
                <w:sz w:val="21"/>
              </w:rPr>
              <w:t>1.89%</w:t>
            </w:r>
          </w:p>
        </w:tc>
        <w:tc>
          <w:tcPr>
            <w:tcW w:type="dxa" w:w="1662"/>
          </w:tcPr>
          <w:p>
            <w:pPr>
              <w:jc w:val="center"/>
            </w:pPr>
            <w:r>
              <w:rPr>
                <w:rFonts w:ascii="Times New Roman" w:hAnsi="Times New Roman" w:eastAsia="宋体"/>
                <w:sz w:val="21"/>
              </w:rPr>
              <w:t>30%</w:t>
            </w:r>
          </w:p>
        </w:tc>
      </w:tr>
      <w:tr>
        <w:tc>
          <w:tcPr>
            <w:tcW w:type="dxa" w:w="1662"/>
          </w:tcPr>
          <w:p>
            <w:pPr>
              <w:jc w:val="center"/>
            </w:pPr>
            <w:r>
              <w:rPr>
                <w:rFonts w:ascii="Times New Roman" w:hAnsi="Times New Roman" w:eastAsia="宋体"/>
                <w:sz w:val="21"/>
              </w:rPr>
              <w:t>2026年E</w:t>
            </w:r>
          </w:p>
        </w:tc>
        <w:tc>
          <w:tcPr>
            <w:tcW w:type="dxa" w:w="1662"/>
          </w:tcPr>
          <w:p>
            <w:pPr>
              <w:jc w:val="center"/>
            </w:pPr>
            <w:r>
              <w:rPr>
                <w:rFonts w:ascii="Times New Roman" w:hAnsi="Times New Roman" w:eastAsia="宋体"/>
                <w:sz w:val="21"/>
              </w:rPr>
              <w:t>2500</w:t>
            </w:r>
          </w:p>
        </w:tc>
        <w:tc>
          <w:tcPr>
            <w:tcW w:type="dxa" w:w="1662"/>
          </w:tcPr>
          <w:p>
            <w:pPr>
              <w:jc w:val="center"/>
            </w:pPr>
            <w:r>
              <w:rPr>
                <w:rFonts w:ascii="Times New Roman" w:hAnsi="Times New Roman" w:eastAsia="宋体"/>
                <w:sz w:val="21"/>
              </w:rPr>
              <w:t>27.6%</w:t>
            </w:r>
          </w:p>
        </w:tc>
        <w:tc>
          <w:tcPr>
            <w:tcW w:type="dxa" w:w="1662"/>
          </w:tcPr>
          <w:p>
            <w:pPr>
              <w:jc w:val="center"/>
            </w:pPr>
            <w:r>
              <w:rPr>
                <w:rFonts w:ascii="Times New Roman" w:hAnsi="Times New Roman" w:eastAsia="宋体"/>
                <w:sz w:val="21"/>
              </w:rPr>
              <w:t>2.5%</w:t>
            </w:r>
          </w:p>
        </w:tc>
        <w:tc>
          <w:tcPr>
            <w:tcW w:type="dxa" w:w="1662"/>
          </w:tcPr>
          <w:p>
            <w:pPr>
              <w:jc w:val="center"/>
            </w:pPr>
            <w:r>
              <w:rPr>
                <w:rFonts w:ascii="Times New Roman" w:hAnsi="Times New Roman" w:eastAsia="宋体"/>
                <w:sz w:val="21"/>
              </w:rPr>
              <w:t>35%</w:t>
            </w:r>
          </w:p>
        </w:tc>
      </w:tr>
      <w:tr>
        <w:tc>
          <w:tcPr>
            <w:tcW w:type="dxa" w:w="1662"/>
          </w:tcPr>
          <w:p>
            <w:pPr>
              <w:jc w:val="center"/>
            </w:pPr>
            <w:r>
              <w:rPr>
                <w:rFonts w:ascii="Times New Roman" w:hAnsi="Times New Roman" w:eastAsia="宋体"/>
                <w:sz w:val="21"/>
              </w:rPr>
              <w:t>2027年E</w:t>
            </w:r>
          </w:p>
        </w:tc>
        <w:tc>
          <w:tcPr>
            <w:tcW w:type="dxa" w:w="1662"/>
          </w:tcPr>
          <w:p>
            <w:pPr>
              <w:jc w:val="center"/>
            </w:pPr>
            <w:r>
              <w:rPr>
                <w:rFonts w:ascii="Times New Roman" w:hAnsi="Times New Roman" w:eastAsia="宋体"/>
                <w:sz w:val="21"/>
              </w:rPr>
              <w:t>3200</w:t>
            </w:r>
          </w:p>
        </w:tc>
        <w:tc>
          <w:tcPr>
            <w:tcW w:type="dxa" w:w="1662"/>
          </w:tcPr>
          <w:p>
            <w:pPr>
              <w:jc w:val="center"/>
            </w:pPr>
            <w:r>
              <w:rPr>
                <w:rFonts w:ascii="Times New Roman" w:hAnsi="Times New Roman" w:eastAsia="宋体"/>
                <w:sz w:val="21"/>
              </w:rPr>
              <w:t>28.0%</w:t>
            </w:r>
          </w:p>
        </w:tc>
        <w:tc>
          <w:tcPr>
            <w:tcW w:type="dxa" w:w="1662"/>
          </w:tcPr>
          <w:p>
            <w:pPr>
              <w:jc w:val="center"/>
            </w:pPr>
            <w:r>
              <w:rPr>
                <w:rFonts w:ascii="Times New Roman" w:hAnsi="Times New Roman" w:eastAsia="宋体"/>
                <w:sz w:val="21"/>
              </w:rPr>
              <w:t>3.0%</w:t>
            </w:r>
          </w:p>
        </w:tc>
        <w:tc>
          <w:tcPr>
            <w:tcW w:type="dxa" w:w="1662"/>
          </w:tcPr>
          <w:p>
            <w:pPr>
              <w:jc w:val="center"/>
            </w:pPr>
            <w:r>
              <w:rPr>
                <w:rFonts w:ascii="Times New Roman" w:hAnsi="Times New Roman" w:eastAsia="宋体"/>
                <w:sz w:val="21"/>
              </w:rPr>
              <w:t>40%</w:t>
            </w:r>
          </w:p>
        </w:tc>
      </w:tr>
      <w:tr>
        <w:tc>
          <w:tcPr>
            <w:tcW w:type="dxa" w:w="1662"/>
          </w:tcPr>
          <w:p>
            <w:pPr>
              <w:jc w:val="center"/>
            </w:pPr>
            <w:r>
              <w:rPr>
                <w:rFonts w:ascii="Times New Roman" w:hAnsi="Times New Roman" w:eastAsia="宋体"/>
                <w:sz w:val="21"/>
              </w:rPr>
              <w:t>2028年E</w:t>
            </w:r>
          </w:p>
        </w:tc>
        <w:tc>
          <w:tcPr>
            <w:tcW w:type="dxa" w:w="1662"/>
          </w:tcPr>
          <w:p>
            <w:pPr>
              <w:jc w:val="center"/>
            </w:pPr>
            <w:r>
              <w:rPr>
                <w:rFonts w:ascii="Times New Roman" w:hAnsi="Times New Roman" w:eastAsia="宋体"/>
                <w:sz w:val="21"/>
              </w:rPr>
              <w:t>4000</w:t>
            </w:r>
          </w:p>
        </w:tc>
        <w:tc>
          <w:tcPr>
            <w:tcW w:type="dxa" w:w="1662"/>
          </w:tcPr>
          <w:p>
            <w:pPr>
              <w:jc w:val="center"/>
            </w:pPr>
            <w:r>
              <w:rPr>
                <w:rFonts w:ascii="Times New Roman" w:hAnsi="Times New Roman" w:eastAsia="宋体"/>
                <w:sz w:val="21"/>
              </w:rPr>
              <w:t>25.0%</w:t>
            </w:r>
          </w:p>
        </w:tc>
        <w:tc>
          <w:tcPr>
            <w:tcW w:type="dxa" w:w="1662"/>
          </w:tcPr>
          <w:p>
            <w:pPr>
              <w:jc w:val="center"/>
            </w:pPr>
            <w:r>
              <w:rPr>
                <w:rFonts w:ascii="Times New Roman" w:hAnsi="Times New Roman" w:eastAsia="宋体"/>
                <w:sz w:val="21"/>
              </w:rPr>
              <w:t>3.5%</w:t>
            </w:r>
          </w:p>
        </w:tc>
        <w:tc>
          <w:tcPr>
            <w:tcW w:type="dxa" w:w="1662"/>
          </w:tcPr>
          <w:p>
            <w:pPr>
              <w:jc w:val="center"/>
            </w:pPr>
            <w:r>
              <w:rPr>
                <w:rFonts w:ascii="Times New Roman" w:hAnsi="Times New Roman" w:eastAsia="宋体"/>
                <w:sz w:val="21"/>
              </w:rPr>
              <w:t>45%</w:t>
            </w:r>
          </w:p>
        </w:tc>
      </w:tr>
      <w:tr>
        <w:tc>
          <w:tcPr>
            <w:tcW w:type="dxa" w:w="1662"/>
          </w:tcPr>
          <w:p>
            <w:pPr>
              <w:jc w:val="center"/>
            </w:pPr>
            <w:r>
              <w:rPr>
                <w:rFonts w:ascii="Times New Roman" w:hAnsi="Times New Roman" w:eastAsia="宋体"/>
                <w:sz w:val="21"/>
              </w:rPr>
              <w:t>2029年E</w:t>
            </w:r>
          </w:p>
        </w:tc>
        <w:tc>
          <w:tcPr>
            <w:tcW w:type="dxa" w:w="1662"/>
          </w:tcPr>
          <w:p>
            <w:pPr>
              <w:jc w:val="center"/>
            </w:pPr>
            <w:r>
              <w:rPr>
                <w:rFonts w:ascii="Times New Roman" w:hAnsi="Times New Roman" w:eastAsia="宋体"/>
                <w:sz w:val="21"/>
              </w:rPr>
              <w:t>5000</w:t>
            </w:r>
          </w:p>
        </w:tc>
        <w:tc>
          <w:tcPr>
            <w:tcW w:type="dxa" w:w="1662"/>
          </w:tcPr>
          <w:p>
            <w:pPr>
              <w:jc w:val="center"/>
            </w:pPr>
            <w:r>
              <w:rPr>
                <w:rFonts w:ascii="Times New Roman" w:hAnsi="Times New Roman" w:eastAsia="宋体"/>
                <w:sz w:val="21"/>
              </w:rPr>
              <w:t>25.0%</w:t>
            </w:r>
          </w:p>
        </w:tc>
        <w:tc>
          <w:tcPr>
            <w:tcW w:type="dxa" w:w="1662"/>
          </w:tcPr>
          <w:p>
            <w:pPr>
              <w:jc w:val="center"/>
            </w:pPr>
            <w:r>
              <w:rPr>
                <w:rFonts w:ascii="Times New Roman" w:hAnsi="Times New Roman" w:eastAsia="宋体"/>
                <w:sz w:val="21"/>
              </w:rPr>
              <w:t>4.5%</w:t>
            </w:r>
          </w:p>
        </w:tc>
        <w:tc>
          <w:tcPr>
            <w:tcW w:type="dxa" w:w="1662"/>
          </w:tcPr>
          <w:p>
            <w:pPr>
              <w:jc w:val="center"/>
            </w:pPr>
            <w:r>
              <w:rPr>
                <w:rFonts w:ascii="Times New Roman" w:hAnsi="Times New Roman" w:eastAsia="宋体"/>
                <w:sz w:val="21"/>
              </w:rPr>
              <w:t>48%</w:t>
            </w:r>
          </w:p>
        </w:tc>
      </w:tr>
      <w:tr>
        <w:tc>
          <w:tcPr>
            <w:tcW w:type="dxa" w:w="1662"/>
          </w:tcPr>
          <w:p>
            <w:pPr>
              <w:jc w:val="center"/>
            </w:pPr>
            <w:r>
              <w:rPr>
                <w:rFonts w:ascii="Times New Roman" w:hAnsi="Times New Roman" w:eastAsia="宋体"/>
                <w:sz w:val="21"/>
              </w:rPr>
              <w:t>2030年E</w:t>
            </w:r>
          </w:p>
        </w:tc>
        <w:tc>
          <w:tcPr>
            <w:tcW w:type="dxa" w:w="1662"/>
          </w:tcPr>
          <w:p>
            <w:pPr>
              <w:jc w:val="center"/>
            </w:pPr>
            <w:r>
              <w:rPr>
                <w:rFonts w:ascii="Times New Roman" w:hAnsi="Times New Roman" w:eastAsia="宋体"/>
                <w:sz w:val="21"/>
              </w:rPr>
              <w:t>5500</w:t>
            </w:r>
          </w:p>
        </w:tc>
        <w:tc>
          <w:tcPr>
            <w:tcW w:type="dxa" w:w="1662"/>
          </w:tcPr>
          <w:p>
            <w:pPr>
              <w:jc w:val="center"/>
            </w:pPr>
            <w:r>
              <w:rPr>
                <w:rFonts w:ascii="Times New Roman" w:hAnsi="Times New Roman" w:eastAsia="宋体"/>
                <w:sz w:val="21"/>
              </w:rPr>
              <w:t>10.0%</w:t>
            </w:r>
          </w:p>
        </w:tc>
        <w:tc>
          <w:tcPr>
            <w:tcW w:type="dxa" w:w="1662"/>
          </w:tcPr>
          <w:p>
            <w:pPr>
              <w:jc w:val="center"/>
            </w:pPr>
            <w:r>
              <w:rPr>
                <w:rFonts w:ascii="Times New Roman" w:hAnsi="Times New Roman" w:eastAsia="宋体"/>
                <w:sz w:val="21"/>
              </w:rPr>
              <w:t>5.5%</w:t>
            </w:r>
          </w:p>
        </w:tc>
        <w:tc>
          <w:tcPr>
            <w:tcW w:type="dxa" w:w="1662"/>
          </w:tcPr>
          <w:p>
            <w:pPr>
              <w:jc w:val="center"/>
            </w:pPr>
            <w:r>
              <w:rPr>
                <w:rFonts w:ascii="Times New Roman" w:hAnsi="Times New Roman" w:eastAsia="宋体"/>
                <w:sz w:val="21"/>
              </w:rPr>
              <w:t>50%</w:t>
            </w:r>
          </w:p>
        </w:tc>
      </w:tr>
    </w:tbl>
    <w:p>
      <w:pPr>
        <w:pStyle w:val="Heading2"/>
        <w:jc w:val="left"/>
      </w:pPr>
      <w:r>
        <w:rPr>
          <w:rFonts w:ascii="Times New Roman" w:hAnsi="Times New Roman" w:eastAsia="宋体"/>
        </w:rPr>
        <w:t>2.3 电算协同市场规模预测</w:t>
      </w:r>
    </w:p>
    <w:p>
      <w:pPr>
        <w:spacing w:line="360" w:lineRule="auto"/>
        <w:ind w:firstLine="420"/>
        <w:jc w:val="both"/>
      </w:pPr>
      <w:r>
        <w:rPr>
          <w:rFonts w:ascii="Times New Roman" w:hAnsi="Times New Roman" w:eastAsia="宋体"/>
          <w:sz w:val="24"/>
        </w:rPr>
        <w:t>电算协同产业正处于爆发式增长前夜，政策、技术、市场三重因素叠加，产业规模将呈现指数级增长。</w:t>
      </w:r>
    </w:p>
    <w:p>
      <w:pPr>
        <w:jc w:val="center"/>
      </w:pPr>
      <w:r>
        <w:rPr>
          <w:rFonts w:ascii="Times New Roman" w:hAnsi="Times New Roman" w:eastAsia="宋体"/>
          <w:b/>
          <w:sz w:val="21"/>
        </w:rPr>
        <w:t>表7 2025-2030年中国电算协同市场规模预测</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Times New Roman" w:hAnsi="Times New Roman" w:eastAsia="宋体"/>
                <w:b/>
                <w:sz w:val="21"/>
              </w:rPr>
              <w:t>年份</w:t>
            </w:r>
          </w:p>
        </w:tc>
        <w:tc>
          <w:tcPr>
            <w:tcW w:type="dxa" w:w="1662"/>
            <w:shd w:fill="D9E2F3"/>
          </w:tcPr>
          <w:p>
            <w:pPr>
              <w:jc w:val="center"/>
            </w:pPr>
            <w:r>
              <w:rPr>
                <w:rFonts w:ascii="Times New Roman" w:hAnsi="Times New Roman" w:eastAsia="宋体"/>
                <w:b/>
                <w:sz w:val="21"/>
              </w:rPr>
              <w:t>中国数据中心市场规模(亿元)</w:t>
            </w:r>
          </w:p>
        </w:tc>
        <w:tc>
          <w:tcPr>
            <w:tcW w:type="dxa" w:w="1662"/>
            <w:shd w:fill="D9E2F3"/>
          </w:tcPr>
          <w:p>
            <w:pPr>
              <w:jc w:val="center"/>
            </w:pPr>
            <w:r>
              <w:rPr>
                <w:rFonts w:ascii="Times New Roman" w:hAnsi="Times New Roman" w:eastAsia="宋体"/>
                <w:b/>
                <w:sz w:val="21"/>
              </w:rPr>
              <w:t>电算协同服务市场规模(亿元)</w:t>
            </w:r>
          </w:p>
        </w:tc>
        <w:tc>
          <w:tcPr>
            <w:tcW w:type="dxa" w:w="1662"/>
            <w:shd w:fill="D9E2F3"/>
          </w:tcPr>
          <w:p>
            <w:pPr>
              <w:jc w:val="center"/>
            </w:pPr>
            <w:r>
              <w:rPr>
                <w:rFonts w:ascii="Times New Roman" w:hAnsi="Times New Roman" w:eastAsia="宋体"/>
                <w:b/>
                <w:sz w:val="21"/>
              </w:rPr>
              <w:t>渗透率</w:t>
            </w:r>
          </w:p>
        </w:tc>
        <w:tc>
          <w:tcPr>
            <w:tcW w:type="dxa" w:w="1662"/>
            <w:shd w:fill="D9E2F3"/>
          </w:tcPr>
          <w:p>
            <w:pPr>
              <w:jc w:val="center"/>
            </w:pPr>
            <w:r>
              <w:rPr>
                <w:rFonts w:ascii="Times New Roman" w:hAnsi="Times New Roman" w:eastAsia="宋体"/>
                <w:b/>
                <w:sz w:val="21"/>
              </w:rPr>
              <w:t>CAGR</w:t>
            </w:r>
          </w:p>
        </w:tc>
      </w:tr>
      <w:tr>
        <w:tc>
          <w:tcPr>
            <w:tcW w:type="dxa" w:w="1662"/>
          </w:tcPr>
          <w:p>
            <w:pPr>
              <w:jc w:val="center"/>
            </w:pPr>
            <w:r>
              <w:rPr>
                <w:rFonts w:ascii="Times New Roman" w:hAnsi="Times New Roman" w:eastAsia="宋体"/>
                <w:sz w:val="21"/>
              </w:rPr>
              <w:t>2025年</w:t>
            </w:r>
          </w:p>
        </w:tc>
        <w:tc>
          <w:tcPr>
            <w:tcW w:type="dxa" w:w="1662"/>
          </w:tcPr>
          <w:p>
            <w:pPr>
              <w:jc w:val="center"/>
            </w:pPr>
            <w:r>
              <w:rPr>
                <w:rFonts w:ascii="Times New Roman" w:hAnsi="Times New Roman" w:eastAsia="宋体"/>
                <w:sz w:val="21"/>
              </w:rPr>
              <w:t>2800</w:t>
            </w:r>
          </w:p>
        </w:tc>
        <w:tc>
          <w:tcPr>
            <w:tcW w:type="dxa" w:w="1662"/>
          </w:tcPr>
          <w:p>
            <w:pPr>
              <w:jc w:val="center"/>
            </w:pPr>
            <w:r>
              <w:rPr>
                <w:rFonts w:ascii="Times New Roman" w:hAnsi="Times New Roman" w:eastAsia="宋体"/>
                <w:sz w:val="21"/>
              </w:rPr>
              <w:t>140</w:t>
            </w:r>
          </w:p>
        </w:tc>
        <w:tc>
          <w:tcPr>
            <w:tcW w:type="dxa" w:w="1662"/>
          </w:tcPr>
          <w:p>
            <w:pPr>
              <w:jc w:val="center"/>
            </w:pPr>
            <w:r>
              <w:rPr>
                <w:rFonts w:ascii="Times New Roman" w:hAnsi="Times New Roman" w:eastAsia="宋体"/>
                <w:sz w:val="21"/>
              </w:rPr>
              <w:t>5%</w:t>
            </w:r>
          </w:p>
        </w:tc>
        <w:tc>
          <w:tcPr>
            <w:tcW w:type="dxa" w:w="1662"/>
          </w:tcPr>
          <w:p>
            <w:pPr>
              <w:jc w:val="center"/>
            </w:pPr>
            <w:r>
              <w:rPr>
                <w:rFonts w:ascii="Times New Roman" w:hAnsi="Times New Roman" w:eastAsia="宋体"/>
                <w:sz w:val="21"/>
              </w:rPr>
              <w:t>-</w:t>
            </w:r>
          </w:p>
        </w:tc>
      </w:tr>
      <w:tr>
        <w:tc>
          <w:tcPr>
            <w:tcW w:type="dxa" w:w="1662"/>
          </w:tcPr>
          <w:p>
            <w:pPr>
              <w:jc w:val="center"/>
            </w:pPr>
            <w:r>
              <w:rPr>
                <w:rFonts w:ascii="Times New Roman" w:hAnsi="Times New Roman" w:eastAsia="宋体"/>
                <w:sz w:val="21"/>
              </w:rPr>
              <w:t>2026年E</w:t>
            </w:r>
          </w:p>
        </w:tc>
        <w:tc>
          <w:tcPr>
            <w:tcW w:type="dxa" w:w="1662"/>
          </w:tcPr>
          <w:p>
            <w:pPr>
              <w:jc w:val="center"/>
            </w:pPr>
            <w:r>
              <w:rPr>
                <w:rFonts w:ascii="Times New Roman" w:hAnsi="Times New Roman" w:eastAsia="宋体"/>
                <w:sz w:val="21"/>
              </w:rPr>
              <w:t>3500</w:t>
            </w:r>
          </w:p>
        </w:tc>
        <w:tc>
          <w:tcPr>
            <w:tcW w:type="dxa" w:w="1662"/>
          </w:tcPr>
          <w:p>
            <w:pPr>
              <w:jc w:val="center"/>
            </w:pPr>
            <w:r>
              <w:rPr>
                <w:rFonts w:ascii="Times New Roman" w:hAnsi="Times New Roman" w:eastAsia="宋体"/>
                <w:sz w:val="21"/>
              </w:rPr>
              <w:t>245</w:t>
            </w:r>
          </w:p>
        </w:tc>
        <w:tc>
          <w:tcPr>
            <w:tcW w:type="dxa" w:w="1662"/>
          </w:tcPr>
          <w:p>
            <w:pPr>
              <w:jc w:val="center"/>
            </w:pPr>
            <w:r>
              <w:rPr>
                <w:rFonts w:ascii="Times New Roman" w:hAnsi="Times New Roman" w:eastAsia="宋体"/>
                <w:sz w:val="21"/>
              </w:rPr>
              <w:t>7%</w:t>
            </w:r>
          </w:p>
        </w:tc>
        <w:tc>
          <w:tcPr>
            <w:tcW w:type="dxa" w:w="1662"/>
          </w:tcPr>
          <w:p>
            <w:pPr>
              <w:jc w:val="center"/>
            </w:pPr>
            <w:r>
              <w:rPr>
                <w:rFonts w:ascii="Times New Roman" w:hAnsi="Times New Roman" w:eastAsia="宋体"/>
                <w:sz w:val="21"/>
              </w:rPr>
              <w:t>75%</w:t>
            </w:r>
          </w:p>
        </w:tc>
      </w:tr>
      <w:tr>
        <w:tc>
          <w:tcPr>
            <w:tcW w:type="dxa" w:w="1662"/>
          </w:tcPr>
          <w:p>
            <w:pPr>
              <w:jc w:val="center"/>
            </w:pPr>
            <w:r>
              <w:rPr>
                <w:rFonts w:ascii="Times New Roman" w:hAnsi="Times New Roman" w:eastAsia="宋体"/>
                <w:sz w:val="21"/>
              </w:rPr>
              <w:t>2027年E</w:t>
            </w:r>
          </w:p>
        </w:tc>
        <w:tc>
          <w:tcPr>
            <w:tcW w:type="dxa" w:w="1662"/>
          </w:tcPr>
          <w:p>
            <w:pPr>
              <w:jc w:val="center"/>
            </w:pPr>
            <w:r>
              <w:rPr>
                <w:rFonts w:ascii="Times New Roman" w:hAnsi="Times New Roman" w:eastAsia="宋体"/>
                <w:sz w:val="21"/>
              </w:rPr>
              <w:t>4200</w:t>
            </w:r>
          </w:p>
        </w:tc>
        <w:tc>
          <w:tcPr>
            <w:tcW w:type="dxa" w:w="1662"/>
          </w:tcPr>
          <w:p>
            <w:pPr>
              <w:jc w:val="center"/>
            </w:pPr>
            <w:r>
              <w:rPr>
                <w:rFonts w:ascii="Times New Roman" w:hAnsi="Times New Roman" w:eastAsia="宋体"/>
                <w:sz w:val="21"/>
              </w:rPr>
              <w:t>420</w:t>
            </w:r>
          </w:p>
        </w:tc>
        <w:tc>
          <w:tcPr>
            <w:tcW w:type="dxa" w:w="1662"/>
          </w:tcPr>
          <w:p>
            <w:pPr>
              <w:jc w:val="center"/>
            </w:pPr>
            <w:r>
              <w:rPr>
                <w:rFonts w:ascii="Times New Roman" w:hAnsi="Times New Roman" w:eastAsia="宋体"/>
                <w:sz w:val="21"/>
              </w:rPr>
              <w:t>10%</w:t>
            </w:r>
          </w:p>
        </w:tc>
        <w:tc>
          <w:tcPr>
            <w:tcW w:type="dxa" w:w="1662"/>
          </w:tcPr>
          <w:p>
            <w:pPr>
              <w:jc w:val="center"/>
            </w:pPr>
            <w:r>
              <w:rPr>
                <w:rFonts w:ascii="Times New Roman" w:hAnsi="Times New Roman" w:eastAsia="宋体"/>
                <w:sz w:val="21"/>
              </w:rPr>
              <w:t>71%</w:t>
            </w:r>
          </w:p>
        </w:tc>
      </w:tr>
      <w:tr>
        <w:tc>
          <w:tcPr>
            <w:tcW w:type="dxa" w:w="1662"/>
          </w:tcPr>
          <w:p>
            <w:pPr>
              <w:jc w:val="center"/>
            </w:pPr>
            <w:r>
              <w:rPr>
                <w:rFonts w:ascii="Times New Roman" w:hAnsi="Times New Roman" w:eastAsia="宋体"/>
                <w:sz w:val="21"/>
              </w:rPr>
              <w:t>2028年E</w:t>
            </w:r>
          </w:p>
        </w:tc>
        <w:tc>
          <w:tcPr>
            <w:tcW w:type="dxa" w:w="1662"/>
          </w:tcPr>
          <w:p>
            <w:pPr>
              <w:jc w:val="center"/>
            </w:pPr>
            <w:r>
              <w:rPr>
                <w:rFonts w:ascii="Times New Roman" w:hAnsi="Times New Roman" w:eastAsia="宋体"/>
                <w:sz w:val="21"/>
              </w:rPr>
              <w:t>5000</w:t>
            </w:r>
          </w:p>
        </w:tc>
        <w:tc>
          <w:tcPr>
            <w:tcW w:type="dxa" w:w="1662"/>
          </w:tcPr>
          <w:p>
            <w:pPr>
              <w:jc w:val="center"/>
            </w:pPr>
            <w:r>
              <w:rPr>
                <w:rFonts w:ascii="Times New Roman" w:hAnsi="Times New Roman" w:eastAsia="宋体"/>
                <w:sz w:val="21"/>
              </w:rPr>
              <w:t>700</w:t>
            </w:r>
          </w:p>
        </w:tc>
        <w:tc>
          <w:tcPr>
            <w:tcW w:type="dxa" w:w="1662"/>
          </w:tcPr>
          <w:p>
            <w:pPr>
              <w:jc w:val="center"/>
            </w:pPr>
            <w:r>
              <w:rPr>
                <w:rFonts w:ascii="Times New Roman" w:hAnsi="Times New Roman" w:eastAsia="宋体"/>
                <w:sz w:val="21"/>
              </w:rPr>
              <w:t>14%</w:t>
            </w:r>
          </w:p>
        </w:tc>
        <w:tc>
          <w:tcPr>
            <w:tcW w:type="dxa" w:w="1662"/>
          </w:tcPr>
          <w:p>
            <w:pPr>
              <w:jc w:val="center"/>
            </w:pPr>
            <w:r>
              <w:rPr>
                <w:rFonts w:ascii="Times New Roman" w:hAnsi="Times New Roman" w:eastAsia="宋体"/>
                <w:sz w:val="21"/>
              </w:rPr>
              <w:t>67%</w:t>
            </w:r>
          </w:p>
        </w:tc>
      </w:tr>
      <w:tr>
        <w:tc>
          <w:tcPr>
            <w:tcW w:type="dxa" w:w="1662"/>
          </w:tcPr>
          <w:p>
            <w:pPr>
              <w:jc w:val="center"/>
            </w:pPr>
            <w:r>
              <w:rPr>
                <w:rFonts w:ascii="Times New Roman" w:hAnsi="Times New Roman" w:eastAsia="宋体"/>
                <w:sz w:val="21"/>
              </w:rPr>
              <w:t>2029年E</w:t>
            </w:r>
          </w:p>
        </w:tc>
        <w:tc>
          <w:tcPr>
            <w:tcW w:type="dxa" w:w="1662"/>
          </w:tcPr>
          <w:p>
            <w:pPr>
              <w:jc w:val="center"/>
            </w:pPr>
            <w:r>
              <w:rPr>
                <w:rFonts w:ascii="Times New Roman" w:hAnsi="Times New Roman" w:eastAsia="宋体"/>
                <w:sz w:val="21"/>
              </w:rPr>
              <w:t>5800</w:t>
            </w:r>
          </w:p>
        </w:tc>
        <w:tc>
          <w:tcPr>
            <w:tcW w:type="dxa" w:w="1662"/>
          </w:tcPr>
          <w:p>
            <w:pPr>
              <w:jc w:val="center"/>
            </w:pPr>
            <w:r>
              <w:rPr>
                <w:rFonts w:ascii="Times New Roman" w:hAnsi="Times New Roman" w:eastAsia="宋体"/>
                <w:sz w:val="21"/>
              </w:rPr>
              <w:t>986</w:t>
            </w:r>
          </w:p>
        </w:tc>
        <w:tc>
          <w:tcPr>
            <w:tcW w:type="dxa" w:w="1662"/>
          </w:tcPr>
          <w:p>
            <w:pPr>
              <w:jc w:val="center"/>
            </w:pPr>
            <w:r>
              <w:rPr>
                <w:rFonts w:ascii="Times New Roman" w:hAnsi="Times New Roman" w:eastAsia="宋体"/>
                <w:sz w:val="21"/>
              </w:rPr>
              <w:t>17%</w:t>
            </w:r>
          </w:p>
        </w:tc>
        <w:tc>
          <w:tcPr>
            <w:tcW w:type="dxa" w:w="1662"/>
          </w:tcPr>
          <w:p>
            <w:pPr>
              <w:jc w:val="center"/>
            </w:pPr>
            <w:r>
              <w:rPr>
                <w:rFonts w:ascii="Times New Roman" w:hAnsi="Times New Roman" w:eastAsia="宋体"/>
                <w:sz w:val="21"/>
              </w:rPr>
              <w:t>41%</w:t>
            </w:r>
          </w:p>
        </w:tc>
      </w:tr>
      <w:tr>
        <w:tc>
          <w:tcPr>
            <w:tcW w:type="dxa" w:w="1662"/>
          </w:tcPr>
          <w:p>
            <w:pPr>
              <w:jc w:val="center"/>
            </w:pPr>
            <w:r>
              <w:rPr>
                <w:rFonts w:ascii="Times New Roman" w:hAnsi="Times New Roman" w:eastAsia="宋体"/>
                <w:sz w:val="21"/>
              </w:rPr>
              <w:t>2030年E</w:t>
            </w:r>
          </w:p>
        </w:tc>
        <w:tc>
          <w:tcPr>
            <w:tcW w:type="dxa" w:w="1662"/>
          </w:tcPr>
          <w:p>
            <w:pPr>
              <w:jc w:val="center"/>
            </w:pPr>
            <w:r>
              <w:rPr>
                <w:rFonts w:ascii="Times New Roman" w:hAnsi="Times New Roman" w:eastAsia="宋体"/>
                <w:sz w:val="21"/>
              </w:rPr>
              <w:t>6500</w:t>
            </w:r>
          </w:p>
        </w:tc>
        <w:tc>
          <w:tcPr>
            <w:tcW w:type="dxa" w:w="1662"/>
          </w:tcPr>
          <w:p>
            <w:pPr>
              <w:jc w:val="center"/>
            </w:pPr>
            <w:r>
              <w:rPr>
                <w:rFonts w:ascii="Times New Roman" w:hAnsi="Times New Roman" w:eastAsia="宋体"/>
                <w:sz w:val="21"/>
              </w:rPr>
              <w:t>1300</w:t>
            </w:r>
          </w:p>
        </w:tc>
        <w:tc>
          <w:tcPr>
            <w:tcW w:type="dxa" w:w="1662"/>
          </w:tcPr>
          <w:p>
            <w:pPr>
              <w:jc w:val="center"/>
            </w:pPr>
            <w:r>
              <w:rPr>
                <w:rFonts w:ascii="Times New Roman" w:hAnsi="Times New Roman" w:eastAsia="宋体"/>
                <w:sz w:val="21"/>
              </w:rPr>
              <w:t>20%</w:t>
            </w:r>
          </w:p>
        </w:tc>
        <w:tc>
          <w:tcPr>
            <w:tcW w:type="dxa" w:w="1662"/>
          </w:tcPr>
          <w:p>
            <w:pPr>
              <w:jc w:val="center"/>
            </w:pPr>
            <w:r>
              <w:rPr>
                <w:rFonts w:ascii="Times New Roman" w:hAnsi="Times New Roman" w:eastAsia="宋体"/>
                <w:sz w:val="21"/>
              </w:rPr>
              <w:t>32%</w:t>
            </w:r>
          </w:p>
        </w:tc>
      </w:tr>
    </w:tbl>
    <w:p>
      <w:pPr>
        <w:spacing w:line="360" w:lineRule="auto"/>
        <w:ind w:firstLine="420"/>
        <w:jc w:val="both"/>
      </w:pPr>
      <w:r>
        <w:rPr>
          <w:rFonts w:ascii="Times New Roman" w:hAnsi="Times New Roman" w:eastAsia="宋体"/>
          <w:sz w:val="24"/>
        </w:rPr>
        <w:t>说明：电算协同服务市场包括绿色算力服务、碳资产管理、调峰辅助服务、技术输出等细分领域。随着政策推动和市场成熟，渗透率将从2025年的5%提升至2030年的20%。</w:t>
      </w:r>
    </w:p>
    <w:p>
      <w:pPr>
        <w:pStyle w:val="Heading2"/>
        <w:jc w:val="left"/>
      </w:pPr>
      <w:r>
        <w:rPr>
          <w:rFonts w:ascii="Times New Roman" w:hAnsi="Times New Roman" w:eastAsia="宋体"/>
        </w:rPr>
        <w:t>2.4 碳价与绿色溢价预测</w:t>
      </w:r>
    </w:p>
    <w:p>
      <w:pPr>
        <w:spacing w:line="360" w:lineRule="auto"/>
        <w:ind w:firstLine="420"/>
        <w:jc w:val="both"/>
      </w:pPr>
      <w:r>
        <w:rPr>
          <w:rFonts w:ascii="Times New Roman" w:hAnsi="Times New Roman" w:eastAsia="宋体"/>
          <w:sz w:val="24"/>
        </w:rPr>
        <w:t>碳市场的发展将为电算协同提供重要的价值变现渠道。随着全国碳市场的完善和绿色算力需求的增长，碳价和绿色溢价将持续提升。</w:t>
      </w:r>
    </w:p>
    <w:p>
      <w:pPr>
        <w:jc w:val="center"/>
      </w:pPr>
      <w:r>
        <w:rPr>
          <w:rFonts w:ascii="Times New Roman" w:hAnsi="Times New Roman" w:eastAsia="宋体"/>
          <w:b/>
          <w:sz w:val="21"/>
        </w:rPr>
        <w:t>表8 2025-2030年碳价与绿色溢价预测</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Times New Roman" w:hAnsi="Times New Roman" w:eastAsia="宋体"/>
                <w:b/>
                <w:sz w:val="21"/>
              </w:rPr>
              <w:t>年份</w:t>
            </w:r>
          </w:p>
        </w:tc>
        <w:tc>
          <w:tcPr>
            <w:tcW w:type="dxa" w:w="1662"/>
            <w:shd w:fill="D9E2F3"/>
          </w:tcPr>
          <w:p>
            <w:pPr>
              <w:jc w:val="center"/>
            </w:pPr>
            <w:r>
              <w:rPr>
                <w:rFonts w:ascii="Times New Roman" w:hAnsi="Times New Roman" w:eastAsia="宋体"/>
                <w:b/>
                <w:sz w:val="21"/>
              </w:rPr>
              <w:t>碳配额均价(元/吨)</w:t>
            </w:r>
          </w:p>
        </w:tc>
        <w:tc>
          <w:tcPr>
            <w:tcW w:type="dxa" w:w="1662"/>
            <w:shd w:fill="D9E2F3"/>
          </w:tcPr>
          <w:p>
            <w:pPr>
              <w:jc w:val="center"/>
            </w:pPr>
            <w:r>
              <w:rPr>
                <w:rFonts w:ascii="Times New Roman" w:hAnsi="Times New Roman" w:eastAsia="宋体"/>
                <w:b/>
                <w:sz w:val="21"/>
              </w:rPr>
              <w:t>绿色算力溢价</w:t>
            </w:r>
          </w:p>
        </w:tc>
        <w:tc>
          <w:tcPr>
            <w:tcW w:type="dxa" w:w="1662"/>
            <w:shd w:fill="D9E2F3"/>
          </w:tcPr>
          <w:p>
            <w:pPr>
              <w:jc w:val="center"/>
            </w:pPr>
            <w:r>
              <w:rPr>
                <w:rFonts w:ascii="Times New Roman" w:hAnsi="Times New Roman" w:eastAsia="宋体"/>
                <w:b/>
                <w:sz w:val="21"/>
              </w:rPr>
              <w:t>绿电采购成本溢价</w:t>
            </w:r>
          </w:p>
        </w:tc>
        <w:tc>
          <w:tcPr>
            <w:tcW w:type="dxa" w:w="1662"/>
            <w:shd w:fill="D9E2F3"/>
          </w:tcPr>
          <w:p>
            <w:pPr>
              <w:jc w:val="center"/>
            </w:pPr>
            <w:r>
              <w:rPr>
                <w:rFonts w:ascii="Times New Roman" w:hAnsi="Times New Roman" w:eastAsia="宋体"/>
                <w:b/>
                <w:sz w:val="21"/>
              </w:rPr>
              <w:t>核电零碳溢价空间</w:t>
            </w:r>
          </w:p>
        </w:tc>
      </w:tr>
      <w:tr>
        <w:tc>
          <w:tcPr>
            <w:tcW w:type="dxa" w:w="1662"/>
          </w:tcPr>
          <w:p>
            <w:pPr>
              <w:jc w:val="center"/>
            </w:pPr>
            <w:r>
              <w:rPr>
                <w:rFonts w:ascii="Times New Roman" w:hAnsi="Times New Roman" w:eastAsia="宋体"/>
                <w:sz w:val="21"/>
              </w:rPr>
              <w:t>2025年</w:t>
            </w:r>
          </w:p>
        </w:tc>
        <w:tc>
          <w:tcPr>
            <w:tcW w:type="dxa" w:w="1662"/>
          </w:tcPr>
          <w:p>
            <w:pPr>
              <w:jc w:val="center"/>
            </w:pPr>
            <w:r>
              <w:rPr>
                <w:rFonts w:ascii="Times New Roman" w:hAnsi="Times New Roman" w:eastAsia="宋体"/>
                <w:sz w:val="21"/>
              </w:rPr>
              <w:t>110</w:t>
            </w:r>
          </w:p>
        </w:tc>
        <w:tc>
          <w:tcPr>
            <w:tcW w:type="dxa" w:w="1662"/>
          </w:tcPr>
          <w:p>
            <w:pPr>
              <w:jc w:val="center"/>
            </w:pPr>
            <w:r>
              <w:rPr>
                <w:rFonts w:ascii="Times New Roman" w:hAnsi="Times New Roman" w:eastAsia="宋体"/>
                <w:sz w:val="21"/>
              </w:rPr>
              <w:t>5%</w:t>
            </w:r>
          </w:p>
        </w:tc>
        <w:tc>
          <w:tcPr>
            <w:tcW w:type="dxa" w:w="1662"/>
          </w:tcPr>
          <w:p>
            <w:pPr>
              <w:jc w:val="center"/>
            </w:pPr>
            <w:r>
              <w:rPr>
                <w:rFonts w:ascii="Times New Roman" w:hAnsi="Times New Roman" w:eastAsia="宋体"/>
                <w:sz w:val="21"/>
              </w:rPr>
              <w:t>10%</w:t>
            </w:r>
          </w:p>
        </w:tc>
        <w:tc>
          <w:tcPr>
            <w:tcW w:type="dxa" w:w="1662"/>
          </w:tcPr>
          <w:p>
            <w:pPr>
              <w:jc w:val="center"/>
            </w:pPr>
            <w:r>
              <w:rPr>
                <w:rFonts w:ascii="Times New Roman" w:hAnsi="Times New Roman" w:eastAsia="宋体"/>
                <w:sz w:val="21"/>
              </w:rPr>
              <w:t>15-20%</w:t>
            </w:r>
          </w:p>
        </w:tc>
      </w:tr>
      <w:tr>
        <w:tc>
          <w:tcPr>
            <w:tcW w:type="dxa" w:w="1662"/>
          </w:tcPr>
          <w:p>
            <w:pPr>
              <w:jc w:val="center"/>
            </w:pPr>
            <w:r>
              <w:rPr>
                <w:rFonts w:ascii="Times New Roman" w:hAnsi="Times New Roman" w:eastAsia="宋体"/>
                <w:sz w:val="21"/>
              </w:rPr>
              <w:t>2026年E</w:t>
            </w:r>
          </w:p>
        </w:tc>
        <w:tc>
          <w:tcPr>
            <w:tcW w:type="dxa" w:w="1662"/>
          </w:tcPr>
          <w:p>
            <w:pPr>
              <w:jc w:val="center"/>
            </w:pPr>
            <w:r>
              <w:rPr>
                <w:rFonts w:ascii="Times New Roman" w:hAnsi="Times New Roman" w:eastAsia="宋体"/>
                <w:sz w:val="21"/>
              </w:rPr>
              <w:t>125</w:t>
            </w:r>
          </w:p>
        </w:tc>
        <w:tc>
          <w:tcPr>
            <w:tcW w:type="dxa" w:w="1662"/>
          </w:tcPr>
          <w:p>
            <w:pPr>
              <w:jc w:val="center"/>
            </w:pPr>
            <w:r>
              <w:rPr>
                <w:rFonts w:ascii="Times New Roman" w:hAnsi="Times New Roman" w:eastAsia="宋体"/>
                <w:sz w:val="21"/>
              </w:rPr>
              <w:t>5%</w:t>
            </w:r>
          </w:p>
        </w:tc>
        <w:tc>
          <w:tcPr>
            <w:tcW w:type="dxa" w:w="1662"/>
          </w:tcPr>
          <w:p>
            <w:pPr>
              <w:jc w:val="center"/>
            </w:pPr>
            <w:r>
              <w:rPr>
                <w:rFonts w:ascii="Times New Roman" w:hAnsi="Times New Roman" w:eastAsia="宋体"/>
                <w:sz w:val="21"/>
              </w:rPr>
              <w:t>12%</w:t>
            </w:r>
          </w:p>
        </w:tc>
        <w:tc>
          <w:tcPr>
            <w:tcW w:type="dxa" w:w="1662"/>
          </w:tcPr>
          <w:p>
            <w:pPr>
              <w:jc w:val="center"/>
            </w:pPr>
            <w:r>
              <w:rPr>
                <w:rFonts w:ascii="Times New Roman" w:hAnsi="Times New Roman" w:eastAsia="宋体"/>
                <w:sz w:val="21"/>
              </w:rPr>
              <w:t>18-23%</w:t>
            </w:r>
          </w:p>
        </w:tc>
      </w:tr>
      <w:tr>
        <w:tc>
          <w:tcPr>
            <w:tcW w:type="dxa" w:w="1662"/>
          </w:tcPr>
          <w:p>
            <w:pPr>
              <w:jc w:val="center"/>
            </w:pPr>
            <w:r>
              <w:rPr>
                <w:rFonts w:ascii="Times New Roman" w:hAnsi="Times New Roman" w:eastAsia="宋体"/>
                <w:sz w:val="21"/>
              </w:rPr>
              <w:t>2027年E</w:t>
            </w:r>
          </w:p>
        </w:tc>
        <w:tc>
          <w:tcPr>
            <w:tcW w:type="dxa" w:w="1662"/>
          </w:tcPr>
          <w:p>
            <w:pPr>
              <w:jc w:val="center"/>
            </w:pPr>
            <w:r>
              <w:rPr>
                <w:rFonts w:ascii="Times New Roman" w:hAnsi="Times New Roman" w:eastAsia="宋体"/>
                <w:sz w:val="21"/>
              </w:rPr>
              <w:t>140</w:t>
            </w:r>
          </w:p>
        </w:tc>
        <w:tc>
          <w:tcPr>
            <w:tcW w:type="dxa" w:w="1662"/>
          </w:tcPr>
          <w:p>
            <w:pPr>
              <w:jc w:val="center"/>
            </w:pPr>
            <w:r>
              <w:rPr>
                <w:rFonts w:ascii="Times New Roman" w:hAnsi="Times New Roman" w:eastAsia="宋体"/>
                <w:sz w:val="21"/>
              </w:rPr>
              <w:t>8%</w:t>
            </w:r>
          </w:p>
        </w:tc>
        <w:tc>
          <w:tcPr>
            <w:tcW w:type="dxa" w:w="1662"/>
          </w:tcPr>
          <w:p>
            <w:pPr>
              <w:jc w:val="center"/>
            </w:pPr>
            <w:r>
              <w:rPr>
                <w:rFonts w:ascii="Times New Roman" w:hAnsi="Times New Roman" w:eastAsia="宋体"/>
                <w:sz w:val="21"/>
              </w:rPr>
              <w:t>14%</w:t>
            </w:r>
          </w:p>
        </w:tc>
        <w:tc>
          <w:tcPr>
            <w:tcW w:type="dxa" w:w="1662"/>
          </w:tcPr>
          <w:p>
            <w:pPr>
              <w:jc w:val="center"/>
            </w:pPr>
            <w:r>
              <w:rPr>
                <w:rFonts w:ascii="Times New Roman" w:hAnsi="Times New Roman" w:eastAsia="宋体"/>
                <w:sz w:val="21"/>
              </w:rPr>
              <w:t>20-25%</w:t>
            </w:r>
          </w:p>
        </w:tc>
      </w:tr>
      <w:tr>
        <w:tc>
          <w:tcPr>
            <w:tcW w:type="dxa" w:w="1662"/>
          </w:tcPr>
          <w:p>
            <w:pPr>
              <w:jc w:val="center"/>
            </w:pPr>
            <w:r>
              <w:rPr>
                <w:rFonts w:ascii="Times New Roman" w:hAnsi="Times New Roman" w:eastAsia="宋体"/>
                <w:sz w:val="21"/>
              </w:rPr>
              <w:t>2028年E</w:t>
            </w:r>
          </w:p>
        </w:tc>
        <w:tc>
          <w:tcPr>
            <w:tcW w:type="dxa" w:w="1662"/>
          </w:tcPr>
          <w:p>
            <w:pPr>
              <w:jc w:val="center"/>
            </w:pPr>
            <w:r>
              <w:rPr>
                <w:rFonts w:ascii="Times New Roman" w:hAnsi="Times New Roman" w:eastAsia="宋体"/>
                <w:sz w:val="21"/>
              </w:rPr>
              <w:t>155</w:t>
            </w:r>
          </w:p>
        </w:tc>
        <w:tc>
          <w:tcPr>
            <w:tcW w:type="dxa" w:w="1662"/>
          </w:tcPr>
          <w:p>
            <w:pPr>
              <w:jc w:val="center"/>
            </w:pPr>
            <w:r>
              <w:rPr>
                <w:rFonts w:ascii="Times New Roman" w:hAnsi="Times New Roman" w:eastAsia="宋体"/>
                <w:sz w:val="21"/>
              </w:rPr>
              <w:t>10%</w:t>
            </w:r>
          </w:p>
        </w:tc>
        <w:tc>
          <w:tcPr>
            <w:tcW w:type="dxa" w:w="1662"/>
          </w:tcPr>
          <w:p>
            <w:pPr>
              <w:jc w:val="center"/>
            </w:pPr>
            <w:r>
              <w:rPr>
                <w:rFonts w:ascii="Times New Roman" w:hAnsi="Times New Roman" w:eastAsia="宋体"/>
                <w:sz w:val="21"/>
              </w:rPr>
              <w:t>16%</w:t>
            </w:r>
          </w:p>
        </w:tc>
        <w:tc>
          <w:tcPr>
            <w:tcW w:type="dxa" w:w="1662"/>
          </w:tcPr>
          <w:p>
            <w:pPr>
              <w:jc w:val="center"/>
            </w:pPr>
            <w:r>
              <w:rPr>
                <w:rFonts w:ascii="Times New Roman" w:hAnsi="Times New Roman" w:eastAsia="宋体"/>
                <w:sz w:val="21"/>
              </w:rPr>
              <w:t>22-27%</w:t>
            </w:r>
          </w:p>
        </w:tc>
      </w:tr>
      <w:tr>
        <w:tc>
          <w:tcPr>
            <w:tcW w:type="dxa" w:w="1662"/>
          </w:tcPr>
          <w:p>
            <w:pPr>
              <w:jc w:val="center"/>
            </w:pPr>
            <w:r>
              <w:rPr>
                <w:rFonts w:ascii="Times New Roman" w:hAnsi="Times New Roman" w:eastAsia="宋体"/>
                <w:sz w:val="21"/>
              </w:rPr>
              <w:t>2029年E</w:t>
            </w:r>
          </w:p>
        </w:tc>
        <w:tc>
          <w:tcPr>
            <w:tcW w:type="dxa" w:w="1662"/>
          </w:tcPr>
          <w:p>
            <w:pPr>
              <w:jc w:val="center"/>
            </w:pPr>
            <w:r>
              <w:rPr>
                <w:rFonts w:ascii="Times New Roman" w:hAnsi="Times New Roman" w:eastAsia="宋体"/>
                <w:sz w:val="21"/>
              </w:rPr>
              <w:t>170</w:t>
            </w:r>
          </w:p>
        </w:tc>
        <w:tc>
          <w:tcPr>
            <w:tcW w:type="dxa" w:w="1662"/>
          </w:tcPr>
          <w:p>
            <w:pPr>
              <w:jc w:val="center"/>
            </w:pPr>
            <w:r>
              <w:rPr>
                <w:rFonts w:ascii="Times New Roman" w:hAnsi="Times New Roman" w:eastAsia="宋体"/>
                <w:sz w:val="21"/>
              </w:rPr>
              <w:t>12%</w:t>
            </w:r>
          </w:p>
        </w:tc>
        <w:tc>
          <w:tcPr>
            <w:tcW w:type="dxa" w:w="1662"/>
          </w:tcPr>
          <w:p>
            <w:pPr>
              <w:jc w:val="center"/>
            </w:pPr>
            <w:r>
              <w:rPr>
                <w:rFonts w:ascii="Times New Roman" w:hAnsi="Times New Roman" w:eastAsia="宋体"/>
                <w:sz w:val="21"/>
              </w:rPr>
              <w:t>18%</w:t>
            </w:r>
          </w:p>
        </w:tc>
        <w:tc>
          <w:tcPr>
            <w:tcW w:type="dxa" w:w="1662"/>
          </w:tcPr>
          <w:p>
            <w:pPr>
              <w:jc w:val="center"/>
            </w:pPr>
            <w:r>
              <w:rPr>
                <w:rFonts w:ascii="Times New Roman" w:hAnsi="Times New Roman" w:eastAsia="宋体"/>
                <w:sz w:val="21"/>
              </w:rPr>
              <w:t>24-29%</w:t>
            </w:r>
          </w:p>
        </w:tc>
      </w:tr>
      <w:tr>
        <w:tc>
          <w:tcPr>
            <w:tcW w:type="dxa" w:w="1662"/>
          </w:tcPr>
          <w:p>
            <w:pPr>
              <w:jc w:val="center"/>
            </w:pPr>
            <w:r>
              <w:rPr>
                <w:rFonts w:ascii="Times New Roman" w:hAnsi="Times New Roman" w:eastAsia="宋体"/>
                <w:sz w:val="21"/>
              </w:rPr>
              <w:t>2030年E</w:t>
            </w:r>
          </w:p>
        </w:tc>
        <w:tc>
          <w:tcPr>
            <w:tcW w:type="dxa" w:w="1662"/>
          </w:tcPr>
          <w:p>
            <w:pPr>
              <w:jc w:val="center"/>
            </w:pPr>
            <w:r>
              <w:rPr>
                <w:rFonts w:ascii="Times New Roman" w:hAnsi="Times New Roman" w:eastAsia="宋体"/>
                <w:sz w:val="21"/>
              </w:rPr>
              <w:t>185</w:t>
            </w:r>
          </w:p>
        </w:tc>
        <w:tc>
          <w:tcPr>
            <w:tcW w:type="dxa" w:w="1662"/>
          </w:tcPr>
          <w:p>
            <w:pPr>
              <w:jc w:val="center"/>
            </w:pPr>
            <w:r>
              <w:rPr>
                <w:rFonts w:ascii="Times New Roman" w:hAnsi="Times New Roman" w:eastAsia="宋体"/>
                <w:sz w:val="21"/>
              </w:rPr>
              <w:t>15%</w:t>
            </w:r>
          </w:p>
        </w:tc>
        <w:tc>
          <w:tcPr>
            <w:tcW w:type="dxa" w:w="1662"/>
          </w:tcPr>
          <w:p>
            <w:pPr>
              <w:jc w:val="center"/>
            </w:pPr>
            <w:r>
              <w:rPr>
                <w:rFonts w:ascii="Times New Roman" w:hAnsi="Times New Roman" w:eastAsia="宋体"/>
                <w:sz w:val="21"/>
              </w:rPr>
              <w:t>20%</w:t>
            </w:r>
          </w:p>
        </w:tc>
        <w:tc>
          <w:tcPr>
            <w:tcW w:type="dxa" w:w="1662"/>
          </w:tcPr>
          <w:p>
            <w:pPr>
              <w:jc w:val="center"/>
            </w:pPr>
            <w:r>
              <w:rPr>
                <w:rFonts w:ascii="Times New Roman" w:hAnsi="Times New Roman" w:eastAsia="宋体"/>
                <w:sz w:val="21"/>
              </w:rPr>
              <w:t>26-31%</w:t>
            </w:r>
          </w:p>
        </w:tc>
      </w:tr>
    </w:tbl>
    <w:p>
      <w:pPr>
        <w:pStyle w:val="Heading2"/>
        <w:jc w:val="left"/>
      </w:pPr>
      <w:r>
        <w:rPr>
          <w:rFonts w:ascii="Times New Roman" w:hAnsi="Times New Roman" w:eastAsia="宋体"/>
        </w:rPr>
        <w:t>2.5 关键结论</w:t>
      </w:r>
    </w:p>
    <w:p>
      <w:pPr>
        <w:pStyle w:val="ListBullet"/>
        <w:spacing w:line="360" w:lineRule="auto"/>
        <w:jc w:val="both"/>
      </w:pPr>
      <w:r>
        <w:rPr>
          <w:rFonts w:ascii="Times New Roman" w:hAnsi="Times New Roman" w:eastAsia="宋体"/>
          <w:sz w:val="24"/>
        </w:rPr>
        <w:t>全球数据中心耗电量将翻番：2025年485 TWh → 2030年950 TWh，AI驱动是主因</w:t>
      </w:r>
    </w:p>
    <w:p>
      <w:pPr>
        <w:pStyle w:val="ListBullet"/>
        <w:spacing w:line="360" w:lineRule="auto"/>
        <w:jc w:val="both"/>
      </w:pPr>
      <w:r>
        <w:rPr>
          <w:rFonts w:ascii="Times New Roman" w:hAnsi="Times New Roman" w:eastAsia="宋体"/>
          <w:sz w:val="24"/>
        </w:rPr>
        <w:t>中国算力需求爆发：2030年数据中心用电量将突破5500亿千瓦时，占全社会用电5.5%</w:t>
      </w:r>
    </w:p>
    <w:p>
      <w:pPr>
        <w:pStyle w:val="ListBullet"/>
        <w:spacing w:line="360" w:lineRule="auto"/>
        <w:jc w:val="both"/>
      </w:pPr>
      <w:r>
        <w:rPr>
          <w:rFonts w:ascii="Times New Roman" w:hAnsi="Times New Roman" w:eastAsia="宋体"/>
          <w:sz w:val="24"/>
        </w:rPr>
        <w:t>产业规模加速增长：电算协同服务市场规模将从140亿元增长至1300亿元，CAGR超70%</w:t>
      </w:r>
    </w:p>
    <w:p>
      <w:pPr>
        <w:pStyle w:val="ListBullet"/>
        <w:spacing w:line="360" w:lineRule="auto"/>
        <w:jc w:val="both"/>
      </w:pPr>
      <w:r>
        <w:rPr>
          <w:rFonts w:ascii="Times New Roman" w:hAnsi="Times New Roman" w:eastAsia="宋体"/>
          <w:sz w:val="24"/>
        </w:rPr>
        <w:t>绿色溢价持续扩大：核电零碳溢价空间将从15-20%扩大至26-31%</w:t>
      </w:r>
    </w:p>
    <w:p>
      <w:pPr>
        <w:pStyle w:val="ListBullet"/>
        <w:spacing w:line="360" w:lineRule="auto"/>
        <w:jc w:val="both"/>
      </w:pPr>
      <w:r>
        <w:rPr>
          <w:rFonts w:ascii="Times New Roman" w:hAnsi="Times New Roman" w:eastAsia="宋体"/>
          <w:sz w:val="24"/>
        </w:rPr>
        <w:t>战略窗口期已至：全球算力中心面临"缺电"困境，核电+算力模式优势凸显</w:t>
      </w:r>
    </w:p>
    <w:p>
      <w:r>
        <w:br w:type="page"/>
      </w:r>
    </w:p>
    <w:p>
      <w:pPr>
        <w:pStyle w:val="Heading1"/>
        <w:jc w:val="left"/>
      </w:pPr>
      <w:r>
        <w:rPr>
          <w:rFonts w:ascii="Times New Roman" w:hAnsi="Times New Roman" w:eastAsia="宋体"/>
        </w:rPr>
        <w:t>三、战略研判：中核集团的独特优势</w:t>
      </w:r>
    </w:p>
    <w:p>
      <w:pPr>
        <w:pStyle w:val="Heading2"/>
        <w:jc w:val="left"/>
      </w:pPr>
      <w:r>
        <w:rPr>
          <w:rFonts w:ascii="Times New Roman" w:hAnsi="Times New Roman" w:eastAsia="宋体"/>
        </w:rPr>
        <w:t>3.1 核电：绿色算力的最优能源载体</w:t>
      </w:r>
    </w:p>
    <w:p>
      <w:pPr>
        <w:spacing w:line="360" w:lineRule="auto"/>
        <w:ind w:firstLine="420"/>
        <w:jc w:val="both"/>
      </w:pPr>
      <w:r>
        <w:rPr>
          <w:rFonts w:ascii="Times New Roman" w:hAnsi="Times New Roman" w:eastAsia="宋体"/>
          <w:sz w:val="24"/>
        </w:rPr>
        <w:t>在众多能源类型中，核电具有不可替代的三大特性，使其成为绿色算力的最优能源载体：</w:t>
      </w:r>
    </w:p>
    <w:p>
      <w:pPr>
        <w:jc w:val="center"/>
      </w:pPr>
      <w:r>
        <w:rPr>
          <w:rFonts w:ascii="Times New Roman" w:hAnsi="Times New Roman" w:eastAsia="宋体"/>
          <w:b/>
          <w:sz w:val="21"/>
        </w:rPr>
        <w:t>表9 核电三大核心特性分析</w:t>
      </w:r>
    </w:p>
    <w:tbl>
      <w:tblPr>
        <w:tblStyle w:val="TableGrid"/>
        <w:tblW w:type="auto" w:w="0"/>
        <w:tblLook w:firstColumn="1" w:firstRow="1" w:lastColumn="0" w:lastRow="0" w:noHBand="0" w:noVBand="1" w:val="04A0"/>
      </w:tblPr>
      <w:tblGrid>
        <w:gridCol w:w="2077"/>
        <w:gridCol w:w="2077"/>
        <w:gridCol w:w="2077"/>
        <w:gridCol w:w="2077"/>
      </w:tblGrid>
      <w:tr>
        <w:tc>
          <w:tcPr>
            <w:tcW w:type="dxa" w:w="2077"/>
            <w:shd w:fill="D9E2F3"/>
          </w:tcPr>
          <w:p>
            <w:pPr>
              <w:jc w:val="center"/>
            </w:pPr>
            <w:r>
              <w:rPr>
                <w:rFonts w:ascii="Times New Roman" w:hAnsi="Times New Roman" w:eastAsia="宋体"/>
                <w:b/>
                <w:sz w:val="21"/>
              </w:rPr>
              <w:t>核心特性</w:t>
            </w:r>
          </w:p>
        </w:tc>
        <w:tc>
          <w:tcPr>
            <w:tcW w:type="dxa" w:w="2077"/>
            <w:shd w:fill="D9E2F3"/>
          </w:tcPr>
          <w:p>
            <w:pPr>
              <w:jc w:val="center"/>
            </w:pPr>
            <w:r>
              <w:rPr>
                <w:rFonts w:ascii="Times New Roman" w:hAnsi="Times New Roman" w:eastAsia="宋体"/>
                <w:b/>
                <w:sz w:val="21"/>
              </w:rPr>
              <w:t>核电指标</w:t>
            </w:r>
          </w:p>
        </w:tc>
        <w:tc>
          <w:tcPr>
            <w:tcW w:type="dxa" w:w="2077"/>
            <w:shd w:fill="D9E2F3"/>
          </w:tcPr>
          <w:p>
            <w:pPr>
              <w:jc w:val="center"/>
            </w:pPr>
            <w:r>
              <w:rPr>
                <w:rFonts w:ascii="Times New Roman" w:hAnsi="Times New Roman" w:eastAsia="宋体"/>
                <w:b/>
                <w:sz w:val="21"/>
              </w:rPr>
              <w:t>对比能源</w:t>
            </w:r>
          </w:p>
        </w:tc>
        <w:tc>
          <w:tcPr>
            <w:tcW w:type="dxa" w:w="2077"/>
            <w:shd w:fill="D9E2F3"/>
          </w:tcPr>
          <w:p>
            <w:pPr>
              <w:jc w:val="center"/>
            </w:pPr>
            <w:r>
              <w:rPr>
                <w:rFonts w:ascii="Times New Roman" w:hAnsi="Times New Roman" w:eastAsia="宋体"/>
                <w:b/>
                <w:sz w:val="21"/>
              </w:rPr>
              <w:t>对算力的价值</w:t>
            </w:r>
          </w:p>
        </w:tc>
      </w:tr>
      <w:tr>
        <w:tc>
          <w:tcPr>
            <w:tcW w:type="dxa" w:w="2077"/>
          </w:tcPr>
          <w:p>
            <w:pPr>
              <w:jc w:val="center"/>
            </w:pPr>
            <w:r>
              <w:rPr>
                <w:rFonts w:ascii="Times New Roman" w:hAnsi="Times New Roman" w:eastAsia="宋体"/>
                <w:sz w:val="21"/>
              </w:rPr>
              <w:t>零碳排放</w:t>
            </w:r>
          </w:p>
        </w:tc>
        <w:tc>
          <w:tcPr>
            <w:tcW w:type="dxa" w:w="2077"/>
          </w:tcPr>
          <w:p>
            <w:pPr>
              <w:jc w:val="center"/>
            </w:pPr>
            <w:r>
              <w:rPr>
                <w:rFonts w:ascii="Times New Roman" w:hAnsi="Times New Roman" w:eastAsia="宋体"/>
                <w:sz w:val="21"/>
              </w:rPr>
              <w:t>12g CO2/kWh</w:t>
            </w:r>
          </w:p>
        </w:tc>
        <w:tc>
          <w:tcPr>
            <w:tcW w:type="dxa" w:w="2077"/>
          </w:tcPr>
          <w:p>
            <w:pPr>
              <w:jc w:val="center"/>
            </w:pPr>
            <w:r>
              <w:rPr>
                <w:rFonts w:ascii="Times New Roman" w:hAnsi="Times New Roman" w:eastAsia="宋体"/>
                <w:sz w:val="21"/>
              </w:rPr>
              <w:t>火电900g/kWh（75倍）</w:t>
            </w:r>
          </w:p>
        </w:tc>
        <w:tc>
          <w:tcPr>
            <w:tcW w:type="dxa" w:w="2077"/>
          </w:tcPr>
          <w:p>
            <w:pPr>
              <w:jc w:val="center"/>
            </w:pPr>
            <w:r>
              <w:rPr>
                <w:rFonts w:ascii="Times New Roman" w:hAnsi="Times New Roman" w:eastAsia="宋体"/>
                <w:sz w:val="21"/>
              </w:rPr>
              <w:t>满足双碳要求，获得碳溢价</w:t>
            </w:r>
          </w:p>
        </w:tc>
      </w:tr>
      <w:tr>
        <w:tc>
          <w:tcPr>
            <w:tcW w:type="dxa" w:w="2077"/>
          </w:tcPr>
          <w:p>
            <w:pPr>
              <w:jc w:val="center"/>
            </w:pPr>
            <w:r>
              <w:rPr>
                <w:rFonts w:ascii="Times New Roman" w:hAnsi="Times New Roman" w:eastAsia="宋体"/>
                <w:sz w:val="21"/>
              </w:rPr>
              <w:t>稳定基荷</w:t>
            </w:r>
          </w:p>
        </w:tc>
        <w:tc>
          <w:tcPr>
            <w:tcW w:type="dxa" w:w="2077"/>
          </w:tcPr>
          <w:p>
            <w:pPr>
              <w:jc w:val="center"/>
            </w:pPr>
            <w:r>
              <w:rPr>
                <w:rFonts w:ascii="Times New Roman" w:hAnsi="Times New Roman" w:eastAsia="宋体"/>
                <w:sz w:val="21"/>
              </w:rPr>
              <w:t>7×24h连续运行</w:t>
            </w:r>
          </w:p>
        </w:tc>
        <w:tc>
          <w:tcPr>
            <w:tcW w:type="dxa" w:w="2077"/>
          </w:tcPr>
          <w:p>
            <w:pPr>
              <w:jc w:val="center"/>
            </w:pPr>
            <w:r>
              <w:rPr>
                <w:rFonts w:ascii="Times New Roman" w:hAnsi="Times New Roman" w:eastAsia="宋体"/>
                <w:sz w:val="21"/>
              </w:rPr>
              <w:t>风光受天气影响大</w:t>
            </w:r>
          </w:p>
        </w:tc>
        <w:tc>
          <w:tcPr>
            <w:tcW w:type="dxa" w:w="2077"/>
          </w:tcPr>
          <w:p>
            <w:pPr>
              <w:jc w:val="center"/>
            </w:pPr>
            <w:r>
              <w:rPr>
                <w:rFonts w:ascii="Times New Roman" w:hAnsi="Times New Roman" w:eastAsia="宋体"/>
                <w:sz w:val="21"/>
              </w:rPr>
              <w:t>保障算力可靠性，消除波动风险</w:t>
            </w:r>
          </w:p>
        </w:tc>
      </w:tr>
      <w:tr>
        <w:tc>
          <w:tcPr>
            <w:tcW w:type="dxa" w:w="2077"/>
          </w:tcPr>
          <w:p>
            <w:pPr>
              <w:jc w:val="center"/>
            </w:pPr>
            <w:r>
              <w:rPr>
                <w:rFonts w:ascii="Times New Roman" w:hAnsi="Times New Roman" w:eastAsia="宋体"/>
                <w:sz w:val="21"/>
              </w:rPr>
              <w:t>调节可控</w:t>
            </w:r>
          </w:p>
        </w:tc>
        <w:tc>
          <w:tcPr>
            <w:tcW w:type="dxa" w:w="2077"/>
          </w:tcPr>
          <w:p>
            <w:pPr>
              <w:jc w:val="center"/>
            </w:pPr>
            <w:r>
              <w:rPr>
                <w:rFonts w:ascii="Times New Roman" w:hAnsi="Times New Roman" w:eastAsia="宋体"/>
                <w:sz w:val="21"/>
              </w:rPr>
              <w:t>出力可调度</w:t>
            </w:r>
          </w:p>
        </w:tc>
        <w:tc>
          <w:tcPr>
            <w:tcW w:type="dxa" w:w="2077"/>
          </w:tcPr>
          <w:p>
            <w:pPr>
              <w:jc w:val="center"/>
            </w:pPr>
            <w:r>
              <w:rPr>
                <w:rFonts w:ascii="Times New Roman" w:hAnsi="Times New Roman" w:eastAsia="宋体"/>
                <w:sz w:val="21"/>
              </w:rPr>
              <w:t>风光不可控</w:t>
            </w:r>
          </w:p>
        </w:tc>
        <w:tc>
          <w:tcPr>
            <w:tcW w:type="dxa" w:w="2077"/>
          </w:tcPr>
          <w:p>
            <w:pPr>
              <w:jc w:val="center"/>
            </w:pPr>
            <w:r>
              <w:rPr>
                <w:rFonts w:ascii="Times New Roman" w:hAnsi="Times New Roman" w:eastAsia="宋体"/>
                <w:sz w:val="21"/>
              </w:rPr>
              <w:t>参与调峰，创造辅助服务收益</w:t>
            </w:r>
          </w:p>
        </w:tc>
      </w:tr>
    </w:tbl>
    <w:p>
      <w:pPr>
        <w:spacing w:line="360" w:lineRule="auto"/>
        <w:ind w:firstLine="420"/>
        <w:jc w:val="both"/>
      </w:pPr>
      <w:r>
        <w:rPr>
          <w:rFonts w:ascii="Times New Roman" w:hAnsi="Times New Roman" w:eastAsia="宋体"/>
          <w:sz w:val="24"/>
        </w:rPr>
        <w:t>核电容装规模：中核集团在运核电机组25台，装机容量2375万千瓦；在建及核准待开工18台，装机容量2064万千瓦。到2035年，核电占比将达到10%，届时全国核电装机容量有望翻倍。</w:t>
      </w:r>
    </w:p>
    <w:p>
      <w:pPr>
        <w:pStyle w:val="Heading2"/>
        <w:jc w:val="left"/>
      </w:pPr>
      <w:r>
        <w:rPr>
          <w:rFonts w:ascii="Times New Roman" w:hAnsi="Times New Roman" w:eastAsia="宋体"/>
        </w:rPr>
        <w:t>3.2 中核集团在国家算力网中的战略机遇</w:t>
      </w:r>
    </w:p>
    <w:p>
      <w:pPr>
        <w:spacing w:line="360" w:lineRule="auto"/>
        <w:ind w:firstLine="420"/>
        <w:jc w:val="both"/>
      </w:pPr>
      <w:r>
        <w:rPr>
          <w:rFonts w:ascii="Times New Roman" w:hAnsi="Times New Roman" w:eastAsia="宋体"/>
          <w:sz w:val="24"/>
        </w:rPr>
        <w:t>基于1+M+N体系架构，中核集团可在以下三个维度寻求战略突破：</w:t>
      </w:r>
    </w:p>
    <w:p>
      <w:pPr>
        <w:spacing w:line="360" w:lineRule="auto"/>
        <w:ind w:firstLine="420"/>
        <w:jc w:val="both"/>
      </w:pPr>
      <w:r>
        <w:rPr>
          <w:rFonts w:ascii="Times New Roman" w:hAnsi="Times New Roman" w:eastAsia="宋体"/>
          <w:b/>
          <w:sz w:val="24"/>
        </w:rPr>
        <w:t>战略机遇一：N类节点（行业专用节点）</w:t>
      </w:r>
      <w:r>
        <w:rPr>
          <w:rFonts w:ascii="Times New Roman" w:hAnsi="Times New Roman" w:eastAsia="宋体"/>
          <w:sz w:val="24"/>
        </w:rPr>
      </w:r>
    </w:p>
    <w:p>
      <w:pPr>
        <w:pStyle w:val="ListBullet"/>
        <w:spacing w:line="360" w:lineRule="auto"/>
        <w:jc w:val="both"/>
      </w:pPr>
      <w:r>
        <w:rPr>
          <w:rFonts w:ascii="Times New Roman" w:hAnsi="Times New Roman" w:eastAsia="宋体"/>
          <w:sz w:val="24"/>
        </w:rPr>
        <w:t>核电行业专用算力节点：依托秦山、大亚湾、福清等核电基地，建设核电行业专属算力节点</w:t>
      </w:r>
    </w:p>
    <w:p>
      <w:pPr>
        <w:pStyle w:val="ListBullet"/>
        <w:spacing w:line="360" w:lineRule="auto"/>
        <w:jc w:val="both"/>
      </w:pPr>
      <w:r>
        <w:rPr>
          <w:rFonts w:ascii="Times New Roman" w:hAnsi="Times New Roman" w:eastAsia="宋体"/>
          <w:sz w:val="24"/>
        </w:rPr>
        <w:t>核科学计算专用节点：支撑核聚变、核物理等前沿科学研究</w:t>
      </w:r>
    </w:p>
    <w:p>
      <w:pPr>
        <w:pStyle w:val="ListBullet"/>
        <w:spacing w:line="360" w:lineRule="auto"/>
        <w:jc w:val="both"/>
      </w:pPr>
      <w:r>
        <w:rPr>
          <w:rFonts w:ascii="Times New Roman" w:hAnsi="Times New Roman" w:eastAsia="宋体"/>
          <w:sz w:val="24"/>
        </w:rPr>
        <w:t>核工业仿真专用节点：支撑核电站设计、建设、运维全生命周期仿真</w:t>
      </w:r>
    </w:p>
    <w:p>
      <w:pPr>
        <w:spacing w:line="360" w:lineRule="auto"/>
        <w:ind w:firstLine="420"/>
        <w:jc w:val="both"/>
      </w:pPr>
      <w:r>
        <w:rPr>
          <w:rFonts w:ascii="Times New Roman" w:hAnsi="Times New Roman" w:eastAsia="宋体"/>
          <w:b/>
          <w:sz w:val="24"/>
        </w:rPr>
        <w:t>战略机遇二：M类节点（区域算力节点）</w:t>
      </w:r>
      <w:r>
        <w:rPr>
          <w:rFonts w:ascii="Times New Roman" w:hAnsi="Times New Roman" w:eastAsia="宋体"/>
          <w:sz w:val="24"/>
        </w:rPr>
      </w:r>
    </w:p>
    <w:p>
      <w:pPr>
        <w:pStyle w:val="ListBullet"/>
        <w:spacing w:line="360" w:lineRule="auto"/>
        <w:jc w:val="both"/>
      </w:pPr>
      <w:r>
        <w:rPr>
          <w:rFonts w:ascii="Times New Roman" w:hAnsi="Times New Roman" w:eastAsia="宋体"/>
          <w:sz w:val="24"/>
        </w:rPr>
        <w:t>长三角算力节点：依托秦山核电基地，打造核电驱动绿色算力示范区</w:t>
      </w:r>
    </w:p>
    <w:p>
      <w:pPr>
        <w:pStyle w:val="ListBullet"/>
        <w:spacing w:line="360" w:lineRule="auto"/>
        <w:jc w:val="both"/>
      </w:pPr>
      <w:r>
        <w:rPr>
          <w:rFonts w:ascii="Times New Roman" w:hAnsi="Times New Roman" w:eastAsia="宋体"/>
          <w:sz w:val="24"/>
        </w:rPr>
        <w:t>粤港澳算力节点：依托大亚湾核电基地，服务大湾区数字经济</w:t>
      </w:r>
    </w:p>
    <w:p>
      <w:pPr>
        <w:pStyle w:val="ListBullet"/>
        <w:spacing w:line="360" w:lineRule="auto"/>
        <w:jc w:val="both"/>
      </w:pPr>
      <w:r>
        <w:rPr>
          <w:rFonts w:ascii="Times New Roman" w:hAnsi="Times New Roman" w:eastAsia="宋体"/>
          <w:sz w:val="24"/>
        </w:rPr>
        <w:t>西部清洁能源算力节点：依托内蒙古、宁夏新能源基地，打造绿电算力走廊</w:t>
      </w:r>
    </w:p>
    <w:p>
      <w:pPr>
        <w:spacing w:line="360" w:lineRule="auto"/>
        <w:ind w:firstLine="420"/>
        <w:jc w:val="both"/>
      </w:pPr>
      <w:r>
        <w:rPr>
          <w:rFonts w:ascii="Times New Roman" w:hAnsi="Times New Roman" w:eastAsia="宋体"/>
          <w:b/>
          <w:sz w:val="24"/>
        </w:rPr>
        <w:t>战略机遇三：绿色算力标准制定者</w:t>
      </w:r>
      <w:r>
        <w:rPr>
          <w:rFonts w:ascii="Times New Roman" w:hAnsi="Times New Roman" w:eastAsia="宋体"/>
          <w:sz w:val="24"/>
        </w:rPr>
      </w:r>
    </w:p>
    <w:p>
      <w:pPr>
        <w:pStyle w:val="ListBullet"/>
        <w:spacing w:line="360" w:lineRule="auto"/>
        <w:jc w:val="both"/>
      </w:pPr>
      <w:r>
        <w:rPr>
          <w:rFonts w:ascii="Times New Roman" w:hAnsi="Times New Roman" w:eastAsia="宋体"/>
          <w:sz w:val="24"/>
        </w:rPr>
        <w:t>主导核电算力基础设施技术规范制定</w:t>
      </w:r>
    </w:p>
    <w:p>
      <w:pPr>
        <w:pStyle w:val="ListBullet"/>
        <w:spacing w:line="360" w:lineRule="auto"/>
        <w:jc w:val="both"/>
      </w:pPr>
      <w:r>
        <w:rPr>
          <w:rFonts w:ascii="Times New Roman" w:hAnsi="Times New Roman" w:eastAsia="宋体"/>
          <w:sz w:val="24"/>
        </w:rPr>
        <w:t>参与绿色算力碳足迹核算标准制定</w:t>
      </w:r>
    </w:p>
    <w:p>
      <w:pPr>
        <w:pStyle w:val="ListBullet"/>
        <w:spacing w:line="360" w:lineRule="auto"/>
        <w:jc w:val="both"/>
      </w:pPr>
      <w:r>
        <w:rPr>
          <w:rFonts w:ascii="Times New Roman" w:hAnsi="Times New Roman" w:eastAsia="宋体"/>
          <w:sz w:val="24"/>
        </w:rPr>
        <w:t>推动核电+算力一体化认证体系建立</w:t>
      </w:r>
    </w:p>
    <w:p>
      <w:pPr>
        <w:pStyle w:val="Heading2"/>
        <w:jc w:val="left"/>
      </w:pPr>
      <w:r>
        <w:rPr>
          <w:rFonts w:ascii="Times New Roman" w:hAnsi="Times New Roman" w:eastAsia="宋体"/>
        </w:rPr>
        <w:t>3.3 战略定位与愿景</w:t>
      </w:r>
    </w:p>
    <w:p>
      <w:pPr>
        <w:spacing w:line="360" w:lineRule="auto"/>
        <w:ind w:firstLine="420"/>
        <w:jc w:val="both"/>
      </w:pPr>
      <w:r>
        <w:rPr>
          <w:rFonts w:ascii="Times New Roman" w:hAnsi="Times New Roman" w:eastAsia="宋体"/>
          <w:b/>
          <w:sz w:val="24"/>
        </w:rPr>
        <w:t>战略定位</w:t>
      </w:r>
      <w:r>
        <w:rPr>
          <w:rFonts w:ascii="Times New Roman" w:hAnsi="Times New Roman" w:eastAsia="宋体"/>
          <w:sz w:val="24"/>
        </w:rPr>
      </w:r>
    </w:p>
    <w:p>
      <w:pPr>
        <w:spacing w:line="360" w:lineRule="auto"/>
        <w:ind w:firstLine="420"/>
        <w:jc w:val="both"/>
      </w:pPr>
      <w:r>
        <w:rPr>
          <w:rFonts w:ascii="Times New Roman" w:hAnsi="Times New Roman" w:eastAsia="宋体"/>
          <w:sz w:val="24"/>
        </w:rPr>
        <w:t>国家绿色算力核心供应商 + 电算协同标准制定者 + 核电驱动算力示范引领者</w:t>
      </w:r>
    </w:p>
    <w:p>
      <w:pPr>
        <w:spacing w:line="360" w:lineRule="auto"/>
        <w:ind w:firstLine="420"/>
        <w:jc w:val="both"/>
      </w:pPr>
      <w:r>
        <w:rPr>
          <w:rFonts w:ascii="Times New Roman" w:hAnsi="Times New Roman" w:eastAsia="宋体"/>
          <w:b/>
          <w:sz w:val="24"/>
        </w:rPr>
        <w:t>发展愿景</w:t>
      </w:r>
      <w:r>
        <w:rPr>
          <w:rFonts w:ascii="Times New Roman" w:hAnsi="Times New Roman" w:eastAsia="宋体"/>
          <w:sz w:val="24"/>
        </w:rPr>
      </w:r>
    </w:p>
    <w:p>
      <w:pPr>
        <w:spacing w:line="360" w:lineRule="auto"/>
        <w:ind w:firstLine="420"/>
        <w:jc w:val="both"/>
      </w:pPr>
      <w:r>
        <w:rPr>
          <w:rFonts w:ascii="Times New Roman" w:hAnsi="Times New Roman" w:eastAsia="宋体"/>
          <w:sz w:val="24"/>
        </w:rPr>
        <w:t>到2028年，成为国内领先、国际一流的核电驱动绿色算力服务商，形成"核电+算力+碳资产"三位一体的发展格局；到2030年，确立行业领先地位，主导3-5项国家标准，运营绿色算力超过50000P，管理碳资产超过500万吨。</w:t>
      </w:r>
    </w:p>
    <w:p>
      <w:pPr>
        <w:pStyle w:val="Heading2"/>
        <w:jc w:val="left"/>
      </w:pPr>
      <w:r>
        <w:rPr>
          <w:rFonts w:ascii="Times New Roman" w:hAnsi="Times New Roman" w:eastAsia="宋体"/>
        </w:rPr>
        <w:t>3.4 中核集团的三大战略卡位</w:t>
      </w:r>
    </w:p>
    <w:p>
      <w:pPr>
        <w:spacing w:line="360" w:lineRule="auto"/>
        <w:ind w:firstLine="420"/>
        <w:jc w:val="both"/>
      </w:pPr>
      <w:r>
        <w:rPr>
          <w:rFonts w:ascii="Times New Roman" w:hAnsi="Times New Roman" w:eastAsia="宋体"/>
          <w:b/>
          <w:sz w:val="24"/>
        </w:rPr>
        <w:t>卡位一：绿色算力核心供应商</w:t>
      </w:r>
      <w:r>
        <w:rPr>
          <w:rFonts w:ascii="Times New Roman" w:hAnsi="Times New Roman" w:eastAsia="宋体"/>
          <w:sz w:val="24"/>
        </w:rPr>
      </w:r>
    </w:p>
    <w:p>
      <w:pPr>
        <w:spacing w:line="360" w:lineRule="auto"/>
        <w:ind w:firstLine="420"/>
        <w:jc w:val="both"/>
      </w:pPr>
      <w:r>
        <w:rPr>
          <w:rFonts w:ascii="Times New Roman" w:hAnsi="Times New Roman" w:eastAsia="宋体"/>
          <w:sz w:val="24"/>
        </w:rPr>
        <w:t>中核集团应定位为国家算力基础设施的"绿色能源心脏"。核电的三大特性使其成为数据中心最理想的能源来源，这一战略卡位具有不可复制性。</w:t>
      </w:r>
    </w:p>
    <w:p>
      <w:pPr>
        <w:spacing w:line="360" w:lineRule="auto"/>
        <w:ind w:firstLine="420"/>
        <w:jc w:val="both"/>
      </w:pPr>
      <w:r>
        <w:rPr>
          <w:rFonts w:ascii="Times New Roman" w:hAnsi="Times New Roman" w:eastAsia="宋体"/>
          <w:b/>
          <w:sz w:val="24"/>
        </w:rPr>
        <w:t>卡位二：电算协同标准制定者</w:t>
      </w:r>
      <w:r>
        <w:rPr>
          <w:rFonts w:ascii="Times New Roman" w:hAnsi="Times New Roman" w:eastAsia="宋体"/>
          <w:sz w:val="24"/>
        </w:rPr>
      </w:r>
    </w:p>
    <w:p>
      <w:pPr>
        <w:spacing w:line="360" w:lineRule="auto"/>
        <w:ind w:firstLine="420"/>
        <w:jc w:val="both"/>
      </w:pPr>
      <w:r>
        <w:rPr>
          <w:rFonts w:ascii="Times New Roman" w:hAnsi="Times New Roman" w:eastAsia="宋体"/>
          <w:sz w:val="24"/>
        </w:rPr>
        <w:t>依托行业地位和技术积累，积极参与甚至主导电算协同领域国家标准制定：核电算力基础设施技术规范、绿色算力碳足迹核算标准、源网荷储算脑接口标准。</w:t>
      </w:r>
    </w:p>
    <w:p>
      <w:pPr>
        <w:spacing w:line="360" w:lineRule="auto"/>
        <w:ind w:firstLine="420"/>
        <w:jc w:val="both"/>
      </w:pPr>
      <w:r>
        <w:rPr>
          <w:rFonts w:ascii="Times New Roman" w:hAnsi="Times New Roman" w:eastAsia="宋体"/>
          <w:b/>
          <w:sz w:val="24"/>
        </w:rPr>
        <w:t>卡位三：电算协同示范引领者</w:t>
      </w:r>
      <w:r>
        <w:rPr>
          <w:rFonts w:ascii="Times New Roman" w:hAnsi="Times New Roman" w:eastAsia="宋体"/>
          <w:sz w:val="24"/>
        </w:rPr>
      </w:r>
    </w:p>
    <w:p>
      <w:pPr>
        <w:spacing w:line="360" w:lineRule="auto"/>
        <w:ind w:firstLine="420"/>
        <w:jc w:val="both"/>
      </w:pPr>
      <w:r>
        <w:rPr>
          <w:rFonts w:ascii="Times New Roman" w:hAnsi="Times New Roman" w:eastAsia="宋体"/>
          <w:sz w:val="24"/>
        </w:rPr>
        <w:t>打造"核电+算力"一体化示范项目，形成可复制、可推广的发展模式，为国家电算协同战略提供"中核方案"。</w:t>
      </w:r>
    </w:p>
    <w:p>
      <w:r>
        <w:br w:type="page"/>
      </w:r>
    </w:p>
    <w:p>
      <w:pPr>
        <w:pStyle w:val="Heading1"/>
        <w:jc w:val="left"/>
      </w:pPr>
      <w:r>
        <w:rPr>
          <w:rFonts w:ascii="Times New Roman" w:hAnsi="Times New Roman" w:eastAsia="宋体"/>
        </w:rPr>
        <w:t>四、技术前沿：前瞻性技术研判与布局</w:t>
      </w:r>
    </w:p>
    <w:p>
      <w:pPr>
        <w:pStyle w:val="Heading2"/>
        <w:jc w:val="left"/>
      </w:pPr>
      <w:r>
        <w:rPr>
          <w:rFonts w:ascii="Times New Roman" w:hAnsi="Times New Roman" w:eastAsia="宋体"/>
        </w:rPr>
        <w:t>4.1 六大前沿技术方向</w:t>
      </w:r>
    </w:p>
    <w:p>
      <w:pPr>
        <w:spacing w:line="360" w:lineRule="auto"/>
        <w:ind w:firstLine="420"/>
        <w:jc w:val="both"/>
      </w:pPr>
      <w:r>
        <w:rPr>
          <w:rFonts w:ascii="Times New Roman" w:hAnsi="Times New Roman" w:eastAsia="宋体"/>
          <w:sz w:val="24"/>
        </w:rPr>
        <w:t>基于技术成熟度、战略价值、与中核业务契合度等维度，识别六大前瞻性技术方向：</w:t>
      </w:r>
    </w:p>
    <w:p>
      <w:pPr>
        <w:jc w:val="center"/>
      </w:pPr>
      <w:r>
        <w:rPr>
          <w:rFonts w:ascii="Times New Roman" w:hAnsi="Times New Roman" w:eastAsia="宋体"/>
          <w:b/>
          <w:sz w:val="21"/>
        </w:rPr>
        <w:t>表10 六大前瞻性技术方向研判</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Times New Roman" w:hAnsi="Times New Roman" w:eastAsia="宋体"/>
                <w:b/>
                <w:sz w:val="21"/>
              </w:rPr>
              <w:t>技术方向</w:t>
            </w:r>
          </w:p>
        </w:tc>
        <w:tc>
          <w:tcPr>
            <w:tcW w:type="dxa" w:w="1662"/>
            <w:shd w:fill="D9E2F3"/>
          </w:tcPr>
          <w:p>
            <w:pPr>
              <w:jc w:val="center"/>
            </w:pPr>
            <w:r>
              <w:rPr>
                <w:rFonts w:ascii="Times New Roman" w:hAnsi="Times New Roman" w:eastAsia="宋体"/>
                <w:b/>
                <w:sz w:val="21"/>
              </w:rPr>
              <w:t>成熟度</w:t>
            </w:r>
          </w:p>
        </w:tc>
        <w:tc>
          <w:tcPr>
            <w:tcW w:type="dxa" w:w="1662"/>
            <w:shd w:fill="D9E2F3"/>
          </w:tcPr>
          <w:p>
            <w:pPr>
              <w:jc w:val="center"/>
            </w:pPr>
            <w:r>
              <w:rPr>
                <w:rFonts w:ascii="Times New Roman" w:hAnsi="Times New Roman" w:eastAsia="宋体"/>
                <w:b/>
                <w:sz w:val="21"/>
              </w:rPr>
              <w:t>技术内涵</w:t>
            </w:r>
          </w:p>
        </w:tc>
        <w:tc>
          <w:tcPr>
            <w:tcW w:type="dxa" w:w="1662"/>
            <w:shd w:fill="D9E2F3"/>
          </w:tcPr>
          <w:p>
            <w:pPr>
              <w:jc w:val="center"/>
            </w:pPr>
            <w:r>
              <w:rPr>
                <w:rFonts w:ascii="Times New Roman" w:hAnsi="Times New Roman" w:eastAsia="宋体"/>
                <w:b/>
                <w:sz w:val="21"/>
              </w:rPr>
              <w:t>与中核的结合点</w:t>
            </w:r>
          </w:p>
        </w:tc>
        <w:tc>
          <w:tcPr>
            <w:tcW w:type="dxa" w:w="1662"/>
            <w:shd w:fill="D9E2F3"/>
          </w:tcPr>
          <w:p>
            <w:pPr>
              <w:jc w:val="center"/>
            </w:pPr>
            <w:r>
              <w:rPr>
                <w:rFonts w:ascii="Times New Roman" w:hAnsi="Times New Roman" w:eastAsia="宋体"/>
                <w:b/>
                <w:sz w:val="21"/>
              </w:rPr>
              <w:t>布局建议</w:t>
            </w:r>
          </w:p>
        </w:tc>
      </w:tr>
      <w:tr>
        <w:tc>
          <w:tcPr>
            <w:tcW w:type="dxa" w:w="1662"/>
          </w:tcPr>
          <w:p>
            <w:pPr>
              <w:jc w:val="center"/>
            </w:pPr>
            <w:r>
              <w:rPr>
                <w:rFonts w:ascii="Times New Roman" w:hAnsi="Times New Roman" w:eastAsia="宋体"/>
                <w:sz w:val="21"/>
              </w:rPr>
              <w:t>数字孪生</w:t>
            </w:r>
          </w:p>
        </w:tc>
        <w:tc>
          <w:tcPr>
            <w:tcW w:type="dxa" w:w="1662"/>
          </w:tcPr>
          <w:p>
            <w:pPr>
              <w:jc w:val="center"/>
            </w:pPr>
            <w:r>
              <w:rPr>
                <w:rFonts w:ascii="Times New Roman" w:hAnsi="Times New Roman" w:eastAsia="宋体"/>
                <w:sz w:val="21"/>
              </w:rPr>
              <w:t>★★★★☆</w:t>
            </w:r>
          </w:p>
        </w:tc>
        <w:tc>
          <w:tcPr>
            <w:tcW w:type="dxa" w:w="1662"/>
          </w:tcPr>
          <w:p>
            <w:pPr>
              <w:jc w:val="center"/>
            </w:pPr>
            <w:r>
              <w:rPr>
                <w:rFonts w:ascii="Times New Roman" w:hAnsi="Times New Roman" w:eastAsia="宋体"/>
                <w:sz w:val="21"/>
              </w:rPr>
              <w:t>高保真数字镜像+实时仿真</w:t>
            </w:r>
          </w:p>
        </w:tc>
        <w:tc>
          <w:tcPr>
            <w:tcW w:type="dxa" w:w="1662"/>
          </w:tcPr>
          <w:p>
            <w:pPr>
              <w:jc w:val="center"/>
            </w:pPr>
            <w:r>
              <w:rPr>
                <w:rFonts w:ascii="Times New Roman" w:hAnsi="Times New Roman" w:eastAsia="宋体"/>
                <w:sz w:val="21"/>
              </w:rPr>
              <w:t>核电站全生命周期管理</w:t>
            </w:r>
          </w:p>
        </w:tc>
        <w:tc>
          <w:tcPr>
            <w:tcW w:type="dxa" w:w="1662"/>
          </w:tcPr>
          <w:p>
            <w:pPr>
              <w:jc w:val="center"/>
            </w:pPr>
            <w:r>
              <w:rPr>
                <w:rFonts w:ascii="Times New Roman" w:hAnsi="Times New Roman" w:eastAsia="宋体"/>
                <w:sz w:val="21"/>
              </w:rPr>
              <w:t>2026年规模化应用</w:t>
            </w:r>
          </w:p>
        </w:tc>
      </w:tr>
      <w:tr>
        <w:tc>
          <w:tcPr>
            <w:tcW w:type="dxa" w:w="1662"/>
          </w:tcPr>
          <w:p>
            <w:pPr>
              <w:jc w:val="center"/>
            </w:pPr>
            <w:r>
              <w:rPr>
                <w:rFonts w:ascii="Times New Roman" w:hAnsi="Times New Roman" w:eastAsia="宋体"/>
                <w:sz w:val="21"/>
              </w:rPr>
              <w:t>具身智能</w:t>
            </w:r>
          </w:p>
        </w:tc>
        <w:tc>
          <w:tcPr>
            <w:tcW w:type="dxa" w:w="1662"/>
          </w:tcPr>
          <w:p>
            <w:pPr>
              <w:jc w:val="center"/>
            </w:pPr>
            <w:r>
              <w:rPr>
                <w:rFonts w:ascii="Times New Roman" w:hAnsi="Times New Roman" w:eastAsia="宋体"/>
                <w:sz w:val="21"/>
              </w:rPr>
              <w:t>★★☆☆☆</w:t>
            </w:r>
          </w:p>
        </w:tc>
        <w:tc>
          <w:tcPr>
            <w:tcW w:type="dxa" w:w="1662"/>
          </w:tcPr>
          <w:p>
            <w:pPr>
              <w:jc w:val="center"/>
            </w:pPr>
            <w:r>
              <w:rPr>
                <w:rFonts w:ascii="Times New Roman" w:hAnsi="Times New Roman" w:eastAsia="宋体"/>
                <w:sz w:val="21"/>
              </w:rPr>
              <w:t>AI与物理设备深度融合</w:t>
            </w:r>
          </w:p>
        </w:tc>
        <w:tc>
          <w:tcPr>
            <w:tcW w:type="dxa" w:w="1662"/>
          </w:tcPr>
          <w:p>
            <w:pPr>
              <w:jc w:val="center"/>
            </w:pPr>
            <w:r>
              <w:rPr>
                <w:rFonts w:ascii="Times New Roman" w:hAnsi="Times New Roman" w:eastAsia="宋体"/>
                <w:sz w:val="21"/>
              </w:rPr>
              <w:t>核岛高危作业替代</w:t>
            </w:r>
          </w:p>
        </w:tc>
        <w:tc>
          <w:tcPr>
            <w:tcW w:type="dxa" w:w="1662"/>
          </w:tcPr>
          <w:p>
            <w:pPr>
              <w:jc w:val="center"/>
            </w:pPr>
            <w:r>
              <w:rPr>
                <w:rFonts w:ascii="Times New Roman" w:hAnsi="Times New Roman" w:eastAsia="宋体"/>
                <w:sz w:val="21"/>
              </w:rPr>
              <w:t>2027年安全突破</w:t>
            </w:r>
          </w:p>
        </w:tc>
      </w:tr>
      <w:tr>
        <w:tc>
          <w:tcPr>
            <w:tcW w:type="dxa" w:w="1662"/>
          </w:tcPr>
          <w:p>
            <w:pPr>
              <w:jc w:val="center"/>
            </w:pPr>
            <w:r>
              <w:rPr>
                <w:rFonts w:ascii="Times New Roman" w:hAnsi="Times New Roman" w:eastAsia="宋体"/>
                <w:sz w:val="21"/>
              </w:rPr>
              <w:t>电力大模型</w:t>
            </w:r>
          </w:p>
        </w:tc>
        <w:tc>
          <w:tcPr>
            <w:tcW w:type="dxa" w:w="1662"/>
          </w:tcPr>
          <w:p>
            <w:pPr>
              <w:jc w:val="center"/>
            </w:pPr>
            <w:r>
              <w:rPr>
                <w:rFonts w:ascii="Times New Roman" w:hAnsi="Times New Roman" w:eastAsia="宋体"/>
                <w:sz w:val="21"/>
              </w:rPr>
              <w:t>★★★☆☆</w:t>
            </w:r>
          </w:p>
        </w:tc>
        <w:tc>
          <w:tcPr>
            <w:tcW w:type="dxa" w:w="1662"/>
          </w:tcPr>
          <w:p>
            <w:pPr>
              <w:jc w:val="center"/>
            </w:pPr>
            <w:r>
              <w:rPr>
                <w:rFonts w:ascii="Times New Roman" w:hAnsi="Times New Roman" w:eastAsia="宋体"/>
                <w:sz w:val="21"/>
              </w:rPr>
              <w:t>电力垂直领域大模型</w:t>
            </w:r>
          </w:p>
        </w:tc>
        <w:tc>
          <w:tcPr>
            <w:tcW w:type="dxa" w:w="1662"/>
          </w:tcPr>
          <w:p>
            <w:pPr>
              <w:jc w:val="center"/>
            </w:pPr>
            <w:r>
              <w:rPr>
                <w:rFonts w:ascii="Times New Roman" w:hAnsi="Times New Roman" w:eastAsia="宋体"/>
                <w:sz w:val="21"/>
              </w:rPr>
              <w:t>智能调度与诊断</w:t>
            </w:r>
          </w:p>
        </w:tc>
        <w:tc>
          <w:tcPr>
            <w:tcW w:type="dxa" w:w="1662"/>
          </w:tcPr>
          <w:p>
            <w:pPr>
              <w:jc w:val="center"/>
            </w:pPr>
            <w:r>
              <w:rPr>
                <w:rFonts w:ascii="Times New Roman" w:hAnsi="Times New Roman" w:eastAsia="宋体"/>
                <w:sz w:val="21"/>
              </w:rPr>
              <w:t>2026年发布1.0</w:t>
            </w:r>
          </w:p>
        </w:tc>
      </w:tr>
      <w:tr>
        <w:tc>
          <w:tcPr>
            <w:tcW w:type="dxa" w:w="1662"/>
          </w:tcPr>
          <w:p>
            <w:pPr>
              <w:jc w:val="center"/>
            </w:pPr>
            <w:r>
              <w:rPr>
                <w:rFonts w:ascii="Times New Roman" w:hAnsi="Times New Roman" w:eastAsia="宋体"/>
                <w:sz w:val="21"/>
              </w:rPr>
              <w:t>源网荷储算脑</w:t>
            </w:r>
          </w:p>
        </w:tc>
        <w:tc>
          <w:tcPr>
            <w:tcW w:type="dxa" w:w="1662"/>
          </w:tcPr>
          <w:p>
            <w:pPr>
              <w:jc w:val="center"/>
            </w:pPr>
            <w:r>
              <w:rPr>
                <w:rFonts w:ascii="Times New Roman" w:hAnsi="Times New Roman" w:eastAsia="宋体"/>
                <w:sz w:val="21"/>
              </w:rPr>
              <w:t>★★★☆☆</w:t>
            </w:r>
          </w:p>
        </w:tc>
        <w:tc>
          <w:tcPr>
            <w:tcW w:type="dxa" w:w="1662"/>
          </w:tcPr>
          <w:p>
            <w:pPr>
              <w:jc w:val="center"/>
            </w:pPr>
            <w:r>
              <w:rPr>
                <w:rFonts w:ascii="Times New Roman" w:hAnsi="Times New Roman" w:eastAsia="宋体"/>
                <w:sz w:val="21"/>
              </w:rPr>
              <w:t>电力流与算力流协同</w:t>
            </w:r>
          </w:p>
        </w:tc>
        <w:tc>
          <w:tcPr>
            <w:tcW w:type="dxa" w:w="1662"/>
          </w:tcPr>
          <w:p>
            <w:pPr>
              <w:jc w:val="center"/>
            </w:pPr>
            <w:r>
              <w:rPr>
                <w:rFonts w:ascii="Times New Roman" w:hAnsi="Times New Roman" w:eastAsia="宋体"/>
                <w:sz w:val="21"/>
              </w:rPr>
              <w:t>源网荷储算协同调度</w:t>
            </w:r>
          </w:p>
        </w:tc>
        <w:tc>
          <w:tcPr>
            <w:tcW w:type="dxa" w:w="1662"/>
          </w:tcPr>
          <w:p>
            <w:pPr>
              <w:jc w:val="center"/>
            </w:pPr>
            <w:r>
              <w:rPr>
                <w:rFonts w:ascii="Times New Roman" w:hAnsi="Times New Roman" w:eastAsia="宋体"/>
                <w:sz w:val="21"/>
              </w:rPr>
              <w:t>2027年试点验证</w:t>
            </w:r>
          </w:p>
        </w:tc>
      </w:tr>
      <w:tr>
        <w:tc>
          <w:tcPr>
            <w:tcW w:type="dxa" w:w="1662"/>
          </w:tcPr>
          <w:p>
            <w:pPr>
              <w:jc w:val="center"/>
            </w:pPr>
            <w:r>
              <w:rPr>
                <w:rFonts w:ascii="Times New Roman" w:hAnsi="Times New Roman" w:eastAsia="宋体"/>
                <w:sz w:val="21"/>
              </w:rPr>
              <w:t>碳能算一体化</w:t>
            </w:r>
          </w:p>
        </w:tc>
        <w:tc>
          <w:tcPr>
            <w:tcW w:type="dxa" w:w="1662"/>
          </w:tcPr>
          <w:p>
            <w:pPr>
              <w:jc w:val="center"/>
            </w:pPr>
            <w:r>
              <w:rPr>
                <w:rFonts w:ascii="Times New Roman" w:hAnsi="Times New Roman" w:eastAsia="宋体"/>
                <w:sz w:val="21"/>
              </w:rPr>
              <w:t>★★★☆☆</w:t>
            </w:r>
          </w:p>
        </w:tc>
        <w:tc>
          <w:tcPr>
            <w:tcW w:type="dxa" w:w="1662"/>
          </w:tcPr>
          <w:p>
            <w:pPr>
              <w:jc w:val="center"/>
            </w:pPr>
            <w:r>
              <w:rPr>
                <w:rFonts w:ascii="Times New Roman" w:hAnsi="Times New Roman" w:eastAsia="宋体"/>
                <w:sz w:val="21"/>
              </w:rPr>
              <w:t>碳-电-算三要素联合</w:t>
            </w:r>
          </w:p>
        </w:tc>
        <w:tc>
          <w:tcPr>
            <w:tcW w:type="dxa" w:w="1662"/>
          </w:tcPr>
          <w:p>
            <w:pPr>
              <w:jc w:val="center"/>
            </w:pPr>
            <w:r>
              <w:rPr>
                <w:rFonts w:ascii="Times New Roman" w:hAnsi="Times New Roman" w:eastAsia="宋体"/>
                <w:sz w:val="21"/>
              </w:rPr>
              <w:t>碳足迹追溯与认证</w:t>
            </w:r>
          </w:p>
        </w:tc>
        <w:tc>
          <w:tcPr>
            <w:tcW w:type="dxa" w:w="1662"/>
          </w:tcPr>
          <w:p>
            <w:pPr>
              <w:jc w:val="center"/>
            </w:pPr>
            <w:r>
              <w:rPr>
                <w:rFonts w:ascii="Times New Roman" w:hAnsi="Times New Roman" w:eastAsia="宋体"/>
                <w:sz w:val="21"/>
              </w:rPr>
              <w:t>2026年启动</w:t>
            </w:r>
          </w:p>
        </w:tc>
      </w:tr>
      <w:tr>
        <w:tc>
          <w:tcPr>
            <w:tcW w:type="dxa" w:w="1662"/>
          </w:tcPr>
          <w:p>
            <w:pPr>
              <w:jc w:val="center"/>
            </w:pPr>
            <w:r>
              <w:rPr>
                <w:rFonts w:ascii="Times New Roman" w:hAnsi="Times New Roman" w:eastAsia="宋体"/>
                <w:sz w:val="21"/>
              </w:rPr>
              <w:t>量子计算</w:t>
            </w:r>
          </w:p>
        </w:tc>
        <w:tc>
          <w:tcPr>
            <w:tcW w:type="dxa" w:w="1662"/>
          </w:tcPr>
          <w:p>
            <w:pPr>
              <w:jc w:val="center"/>
            </w:pPr>
            <w:r>
              <w:rPr>
                <w:rFonts w:ascii="Times New Roman" w:hAnsi="Times New Roman" w:eastAsia="宋体"/>
                <w:sz w:val="21"/>
              </w:rPr>
              <w:t>★☆☆☆☆</w:t>
            </w:r>
          </w:p>
        </w:tc>
        <w:tc>
          <w:tcPr>
            <w:tcW w:type="dxa" w:w="1662"/>
          </w:tcPr>
          <w:p>
            <w:pPr>
              <w:jc w:val="center"/>
            </w:pPr>
            <w:r>
              <w:rPr>
                <w:rFonts w:ascii="Times New Roman" w:hAnsi="Times New Roman" w:eastAsia="宋体"/>
                <w:sz w:val="21"/>
              </w:rPr>
              <w:t>量子算法在电力领域应用</w:t>
            </w:r>
          </w:p>
        </w:tc>
        <w:tc>
          <w:tcPr>
            <w:tcW w:type="dxa" w:w="1662"/>
          </w:tcPr>
          <w:p>
            <w:pPr>
              <w:jc w:val="center"/>
            </w:pPr>
            <w:r>
              <w:rPr>
                <w:rFonts w:ascii="Times New Roman" w:hAnsi="Times New Roman" w:eastAsia="宋体"/>
                <w:sz w:val="21"/>
              </w:rPr>
              <w:t>科学计算加速</w:t>
            </w:r>
          </w:p>
        </w:tc>
        <w:tc>
          <w:tcPr>
            <w:tcW w:type="dxa" w:w="1662"/>
          </w:tcPr>
          <w:p>
            <w:pPr>
              <w:jc w:val="center"/>
            </w:pPr>
            <w:r>
              <w:rPr>
                <w:rFonts w:ascii="Times New Roman" w:hAnsi="Times New Roman" w:eastAsia="宋体"/>
                <w:sz w:val="21"/>
              </w:rPr>
              <w:t>2026年能力储备</w:t>
            </w:r>
          </w:p>
        </w:tc>
      </w:tr>
    </w:tbl>
    <w:p>
      <w:pPr>
        <w:pStyle w:val="Heading2"/>
        <w:jc w:val="left"/>
      </w:pPr>
      <w:r>
        <w:rPr>
          <w:rFonts w:ascii="Times New Roman" w:hAnsi="Times New Roman" w:eastAsia="宋体"/>
        </w:rPr>
        <w:t>4.2 技术-业务融合矩阵</w:t>
      </w:r>
    </w:p>
    <w:p>
      <w:pPr>
        <w:jc w:val="center"/>
      </w:pPr>
      <w:r>
        <w:rPr>
          <w:rFonts w:ascii="Times New Roman" w:hAnsi="Times New Roman" w:eastAsia="宋体"/>
          <w:b/>
          <w:sz w:val="21"/>
        </w:rPr>
        <w:t>表11 技术-业务融合矩阵</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Times New Roman" w:hAnsi="Times New Roman" w:eastAsia="宋体"/>
                <w:b/>
                <w:sz w:val="21"/>
              </w:rPr>
              <w:t>融合方向</w:t>
            </w:r>
          </w:p>
        </w:tc>
        <w:tc>
          <w:tcPr>
            <w:tcW w:type="dxa" w:w="1662"/>
            <w:shd w:fill="D9E2F3"/>
          </w:tcPr>
          <w:p>
            <w:pPr>
              <w:jc w:val="center"/>
            </w:pPr>
            <w:r>
              <w:rPr>
                <w:rFonts w:ascii="Times New Roman" w:hAnsi="Times New Roman" w:eastAsia="宋体"/>
                <w:b/>
                <w:sz w:val="21"/>
              </w:rPr>
              <w:t>技术组合</w:t>
            </w:r>
          </w:p>
        </w:tc>
        <w:tc>
          <w:tcPr>
            <w:tcW w:type="dxa" w:w="1662"/>
            <w:shd w:fill="D9E2F3"/>
          </w:tcPr>
          <w:p>
            <w:pPr>
              <w:jc w:val="center"/>
            </w:pPr>
            <w:r>
              <w:rPr>
                <w:rFonts w:ascii="Times New Roman" w:hAnsi="Times New Roman" w:eastAsia="宋体"/>
                <w:b/>
                <w:sz w:val="21"/>
              </w:rPr>
              <w:t>核心价值</w:t>
            </w:r>
          </w:p>
        </w:tc>
        <w:tc>
          <w:tcPr>
            <w:tcW w:type="dxa" w:w="1662"/>
            <w:shd w:fill="D9E2F3"/>
          </w:tcPr>
          <w:p>
            <w:pPr>
              <w:jc w:val="center"/>
            </w:pPr>
            <w:r>
              <w:rPr>
                <w:rFonts w:ascii="Times New Roman" w:hAnsi="Times New Roman" w:eastAsia="宋体"/>
                <w:b/>
                <w:sz w:val="21"/>
              </w:rPr>
              <w:t>预期效果</w:t>
            </w:r>
          </w:p>
        </w:tc>
        <w:tc>
          <w:tcPr>
            <w:tcW w:type="dxa" w:w="1662"/>
            <w:shd w:fill="D9E2F3"/>
          </w:tcPr>
          <w:p>
            <w:pPr>
              <w:jc w:val="center"/>
            </w:pPr>
            <w:r>
              <w:rPr>
                <w:rFonts w:ascii="Times New Roman" w:hAnsi="Times New Roman" w:eastAsia="宋体"/>
                <w:b/>
                <w:sz w:val="21"/>
              </w:rPr>
              <w:t>中核基础</w:t>
            </w:r>
          </w:p>
        </w:tc>
      </w:tr>
      <w:tr>
        <w:tc>
          <w:tcPr>
            <w:tcW w:type="dxa" w:w="1662"/>
          </w:tcPr>
          <w:p>
            <w:pPr>
              <w:jc w:val="center"/>
            </w:pPr>
            <w:r>
              <w:rPr>
                <w:rFonts w:ascii="Times New Roman" w:hAnsi="Times New Roman" w:eastAsia="宋体"/>
                <w:sz w:val="21"/>
              </w:rPr>
              <w:t>核电站智能化运维</w:t>
            </w:r>
          </w:p>
        </w:tc>
        <w:tc>
          <w:tcPr>
            <w:tcW w:type="dxa" w:w="1662"/>
          </w:tcPr>
          <w:p>
            <w:pPr>
              <w:jc w:val="center"/>
            </w:pPr>
            <w:r>
              <w:rPr>
                <w:rFonts w:ascii="Times New Roman" w:hAnsi="Times New Roman" w:eastAsia="宋体"/>
                <w:sz w:val="21"/>
              </w:rPr>
              <w:t>数字孪生+具身智能</w:t>
            </w:r>
          </w:p>
        </w:tc>
        <w:tc>
          <w:tcPr>
            <w:tcW w:type="dxa" w:w="1662"/>
          </w:tcPr>
          <w:p>
            <w:pPr>
              <w:jc w:val="center"/>
            </w:pPr>
            <w:r>
              <w:rPr>
                <w:rFonts w:ascii="Times New Roman" w:hAnsi="Times New Roman" w:eastAsia="宋体"/>
                <w:sz w:val="21"/>
              </w:rPr>
              <w:t>设备状态实时感知</w:t>
            </w:r>
          </w:p>
        </w:tc>
        <w:tc>
          <w:tcPr>
            <w:tcW w:type="dxa" w:w="1662"/>
          </w:tcPr>
          <w:p>
            <w:pPr>
              <w:jc w:val="center"/>
            </w:pPr>
            <w:r>
              <w:rPr>
                <w:rFonts w:ascii="Times New Roman" w:hAnsi="Times New Roman" w:eastAsia="宋体"/>
                <w:sz w:val="21"/>
              </w:rPr>
              <w:t>故障预警提前30天</w:t>
            </w:r>
          </w:p>
        </w:tc>
        <w:tc>
          <w:tcPr>
            <w:tcW w:type="dxa" w:w="1662"/>
          </w:tcPr>
          <w:p>
            <w:pPr>
              <w:jc w:val="center"/>
            </w:pPr>
            <w:r>
              <w:rPr>
                <w:rFonts w:ascii="Times New Roman" w:hAnsi="Times New Roman" w:eastAsia="宋体"/>
                <w:sz w:val="21"/>
              </w:rPr>
              <w:t>金七门实践</w:t>
            </w:r>
          </w:p>
        </w:tc>
      </w:tr>
      <w:tr>
        <w:tc>
          <w:tcPr>
            <w:tcW w:type="dxa" w:w="1662"/>
          </w:tcPr>
          <w:p>
            <w:pPr>
              <w:jc w:val="center"/>
            </w:pPr>
            <w:r>
              <w:rPr>
                <w:rFonts w:ascii="Times New Roman" w:hAnsi="Times New Roman" w:eastAsia="宋体"/>
                <w:sz w:val="21"/>
              </w:rPr>
              <w:t>核电商用场景创新</w:t>
            </w:r>
          </w:p>
        </w:tc>
        <w:tc>
          <w:tcPr>
            <w:tcW w:type="dxa" w:w="1662"/>
          </w:tcPr>
          <w:p>
            <w:pPr>
              <w:jc w:val="center"/>
            </w:pPr>
            <w:r>
              <w:rPr>
                <w:rFonts w:ascii="Times New Roman" w:hAnsi="Times New Roman" w:eastAsia="宋体"/>
                <w:sz w:val="21"/>
              </w:rPr>
              <w:t>电力大模型+碳能算一体化</w:t>
            </w:r>
          </w:p>
        </w:tc>
        <w:tc>
          <w:tcPr>
            <w:tcW w:type="dxa" w:w="1662"/>
          </w:tcPr>
          <w:p>
            <w:pPr>
              <w:jc w:val="center"/>
            </w:pPr>
            <w:r>
              <w:rPr>
                <w:rFonts w:ascii="Times New Roman" w:hAnsi="Times New Roman" w:eastAsia="宋体"/>
                <w:sz w:val="21"/>
              </w:rPr>
              <w:t>智能调度与碳认证</w:t>
            </w:r>
          </w:p>
        </w:tc>
        <w:tc>
          <w:tcPr>
            <w:tcW w:type="dxa" w:w="1662"/>
          </w:tcPr>
          <w:p>
            <w:pPr>
              <w:jc w:val="center"/>
            </w:pPr>
            <w:r>
              <w:rPr>
                <w:rFonts w:ascii="Times New Roman" w:hAnsi="Times New Roman" w:eastAsia="宋体"/>
                <w:sz w:val="21"/>
              </w:rPr>
              <w:t>诊断准确率95%</w:t>
            </w:r>
          </w:p>
        </w:tc>
        <w:tc>
          <w:tcPr>
            <w:tcW w:type="dxa" w:w="1662"/>
          </w:tcPr>
          <w:p>
            <w:pPr>
              <w:jc w:val="center"/>
            </w:pPr>
            <w:r>
              <w:rPr>
                <w:rFonts w:ascii="Times New Roman" w:hAnsi="Times New Roman" w:eastAsia="宋体"/>
                <w:sz w:val="21"/>
              </w:rPr>
              <w:t>同方股份</w:t>
            </w:r>
          </w:p>
        </w:tc>
      </w:tr>
      <w:tr>
        <w:tc>
          <w:tcPr>
            <w:tcW w:type="dxa" w:w="1662"/>
          </w:tcPr>
          <w:p>
            <w:pPr>
              <w:jc w:val="center"/>
            </w:pPr>
            <w:r>
              <w:rPr>
                <w:rFonts w:ascii="Times New Roman" w:hAnsi="Times New Roman" w:eastAsia="宋体"/>
                <w:sz w:val="21"/>
              </w:rPr>
              <w:t>核电科学计算支撑</w:t>
            </w:r>
          </w:p>
        </w:tc>
        <w:tc>
          <w:tcPr>
            <w:tcW w:type="dxa" w:w="1662"/>
          </w:tcPr>
          <w:p>
            <w:pPr>
              <w:jc w:val="center"/>
            </w:pPr>
            <w:r>
              <w:rPr>
                <w:rFonts w:ascii="Times New Roman" w:hAnsi="Times New Roman" w:eastAsia="宋体"/>
                <w:sz w:val="21"/>
              </w:rPr>
              <w:t>量子计算+高性能计算</w:t>
            </w:r>
          </w:p>
        </w:tc>
        <w:tc>
          <w:tcPr>
            <w:tcW w:type="dxa" w:w="1662"/>
          </w:tcPr>
          <w:p>
            <w:pPr>
              <w:jc w:val="center"/>
            </w:pPr>
            <w:r>
              <w:rPr>
                <w:rFonts w:ascii="Times New Roman" w:hAnsi="Times New Roman" w:eastAsia="宋体"/>
                <w:sz w:val="21"/>
              </w:rPr>
              <w:t>科学计算加速</w:t>
            </w:r>
          </w:p>
        </w:tc>
        <w:tc>
          <w:tcPr>
            <w:tcW w:type="dxa" w:w="1662"/>
          </w:tcPr>
          <w:p>
            <w:pPr>
              <w:jc w:val="center"/>
            </w:pPr>
            <w:r>
              <w:rPr>
                <w:rFonts w:ascii="Times New Roman" w:hAnsi="Times New Roman" w:eastAsia="宋体"/>
                <w:sz w:val="21"/>
              </w:rPr>
              <w:t>计算加速100倍</w:t>
            </w:r>
          </w:p>
        </w:tc>
        <w:tc>
          <w:tcPr>
            <w:tcW w:type="dxa" w:w="1662"/>
          </w:tcPr>
          <w:p>
            <w:pPr>
              <w:jc w:val="center"/>
            </w:pPr>
            <w:r>
              <w:rPr>
                <w:rFonts w:ascii="Times New Roman" w:hAnsi="Times New Roman" w:eastAsia="宋体"/>
                <w:sz w:val="21"/>
              </w:rPr>
              <w:t>需起步</w:t>
            </w:r>
          </w:p>
        </w:tc>
      </w:tr>
      <w:tr>
        <w:tc>
          <w:tcPr>
            <w:tcW w:type="dxa" w:w="1662"/>
          </w:tcPr>
          <w:p>
            <w:pPr>
              <w:jc w:val="center"/>
            </w:pPr>
            <w:r>
              <w:rPr>
                <w:rFonts w:ascii="Times New Roman" w:hAnsi="Times New Roman" w:eastAsia="宋体"/>
                <w:sz w:val="21"/>
              </w:rPr>
              <w:t>绿电算力调度</w:t>
            </w:r>
          </w:p>
        </w:tc>
        <w:tc>
          <w:tcPr>
            <w:tcW w:type="dxa" w:w="1662"/>
          </w:tcPr>
          <w:p>
            <w:pPr>
              <w:jc w:val="center"/>
            </w:pPr>
            <w:r>
              <w:rPr>
                <w:rFonts w:ascii="Times New Roman" w:hAnsi="Times New Roman" w:eastAsia="宋体"/>
                <w:sz w:val="21"/>
              </w:rPr>
              <w:t>源网荷储算脑+AI调度</w:t>
            </w:r>
          </w:p>
        </w:tc>
        <w:tc>
          <w:tcPr>
            <w:tcW w:type="dxa" w:w="1662"/>
          </w:tcPr>
          <w:p>
            <w:pPr>
              <w:jc w:val="center"/>
            </w:pPr>
            <w:r>
              <w:rPr>
                <w:rFonts w:ascii="Times New Roman" w:hAnsi="Times New Roman" w:eastAsia="宋体"/>
                <w:sz w:val="21"/>
              </w:rPr>
              <w:t>协同优化调度</w:t>
            </w:r>
          </w:p>
        </w:tc>
        <w:tc>
          <w:tcPr>
            <w:tcW w:type="dxa" w:w="1662"/>
          </w:tcPr>
          <w:p>
            <w:pPr>
              <w:jc w:val="center"/>
            </w:pPr>
            <w:r>
              <w:rPr>
                <w:rFonts w:ascii="Times New Roman" w:hAnsi="Times New Roman" w:eastAsia="宋体"/>
                <w:sz w:val="21"/>
              </w:rPr>
              <w:t>成本降低10-15%</w:t>
            </w:r>
          </w:p>
        </w:tc>
        <w:tc>
          <w:tcPr>
            <w:tcW w:type="dxa" w:w="1662"/>
          </w:tcPr>
          <w:p>
            <w:pPr>
              <w:jc w:val="center"/>
            </w:pPr>
            <w:r>
              <w:rPr>
                <w:rFonts w:ascii="Times New Roman" w:hAnsi="Times New Roman" w:eastAsia="宋体"/>
                <w:sz w:val="21"/>
              </w:rPr>
              <w:t>核电调度</w:t>
            </w:r>
          </w:p>
        </w:tc>
      </w:tr>
    </w:tbl>
    <w:p>
      <w:pPr>
        <w:pStyle w:val="Heading2"/>
        <w:jc w:val="left"/>
      </w:pPr>
      <w:r>
        <w:rPr>
          <w:rFonts w:ascii="Times New Roman" w:hAnsi="Times New Roman" w:eastAsia="宋体"/>
        </w:rPr>
        <w:t>4.3 技术发展路线图（2026-2030年）</w:t>
      </w:r>
    </w:p>
    <w:p>
      <w:pPr>
        <w:spacing w:line="360" w:lineRule="auto"/>
        <w:ind w:firstLine="420"/>
        <w:jc w:val="both"/>
      </w:pPr>
      <w:r>
        <w:rPr>
          <w:rFonts w:ascii="Times New Roman" w:hAnsi="Times New Roman" w:eastAsia="宋体"/>
          <w:b/>
          <w:sz w:val="24"/>
        </w:rPr>
        <w:t>第一阶段（2026年）：战略布局与能力储备</w:t>
      </w:r>
      <w:r>
        <w:rPr>
          <w:rFonts w:ascii="Times New Roman" w:hAnsi="Times New Roman" w:eastAsia="宋体"/>
          <w:sz w:val="24"/>
        </w:rPr>
      </w:r>
    </w:p>
    <w:p>
      <w:pPr>
        <w:pStyle w:val="ListBullet"/>
        <w:spacing w:line="360" w:lineRule="auto"/>
        <w:jc w:val="both"/>
      </w:pPr>
      <w:r>
        <w:rPr>
          <w:rFonts w:ascii="Times New Roman" w:hAnsi="Times New Roman" w:eastAsia="宋体"/>
          <w:sz w:val="24"/>
        </w:rPr>
        <w:t>成立电算协同研究院，下设数字孪生、具身智能、电力大模型三个研究中心</w:t>
      </w:r>
    </w:p>
    <w:p>
      <w:pPr>
        <w:pStyle w:val="ListBullet"/>
        <w:spacing w:line="360" w:lineRule="auto"/>
        <w:jc w:val="both"/>
      </w:pPr>
      <w:r>
        <w:rPr>
          <w:rFonts w:ascii="Times New Roman" w:hAnsi="Times New Roman" w:eastAsia="宋体"/>
          <w:sz w:val="24"/>
        </w:rPr>
        <w:t>启动核电数字孪生平台研发，完成1.0版本架构设计</w:t>
      </w:r>
    </w:p>
    <w:p>
      <w:pPr>
        <w:pStyle w:val="ListBullet"/>
        <w:spacing w:line="360" w:lineRule="auto"/>
        <w:jc w:val="both"/>
      </w:pPr>
      <w:r>
        <w:rPr>
          <w:rFonts w:ascii="Times New Roman" w:hAnsi="Times New Roman" w:eastAsia="宋体"/>
          <w:sz w:val="24"/>
        </w:rPr>
        <w:t>与华为、阿里等企业建立战略合作，联合研发电力大模型</w:t>
      </w:r>
    </w:p>
    <w:p>
      <w:pPr>
        <w:spacing w:line="360" w:lineRule="auto"/>
        <w:ind w:firstLine="420"/>
        <w:jc w:val="both"/>
      </w:pPr>
      <w:r>
        <w:rPr>
          <w:rFonts w:ascii="Times New Roman" w:hAnsi="Times New Roman" w:eastAsia="宋体"/>
          <w:b/>
          <w:sz w:val="24"/>
        </w:rPr>
        <w:t>第二阶段（2027年）：核心技术突破</w:t>
      </w:r>
      <w:r>
        <w:rPr>
          <w:rFonts w:ascii="Times New Roman" w:hAnsi="Times New Roman" w:eastAsia="宋体"/>
          <w:sz w:val="24"/>
        </w:rPr>
      </w:r>
    </w:p>
    <w:p>
      <w:pPr>
        <w:pStyle w:val="ListBullet"/>
        <w:spacing w:line="360" w:lineRule="auto"/>
        <w:jc w:val="both"/>
      </w:pPr>
      <w:r>
        <w:rPr>
          <w:rFonts w:ascii="Times New Roman" w:hAnsi="Times New Roman" w:eastAsia="宋体"/>
          <w:sz w:val="24"/>
        </w:rPr>
        <w:t>发布CNNC-PowerLM v1.0电力大模型，实现核电运维智能诊断</w:t>
      </w:r>
    </w:p>
    <w:p>
      <w:pPr>
        <w:pStyle w:val="ListBullet"/>
        <w:spacing w:line="360" w:lineRule="auto"/>
        <w:jc w:val="both"/>
      </w:pPr>
      <w:r>
        <w:rPr>
          <w:rFonts w:ascii="Times New Roman" w:hAnsi="Times New Roman" w:eastAsia="宋体"/>
          <w:sz w:val="24"/>
        </w:rPr>
        <w:t>完成秦山核电基地数字孪生平台部署，实现设备状态实时感知</w:t>
      </w:r>
    </w:p>
    <w:p>
      <w:pPr>
        <w:pStyle w:val="ListBullet"/>
        <w:spacing w:line="360" w:lineRule="auto"/>
        <w:jc w:val="both"/>
      </w:pPr>
      <w:r>
        <w:rPr>
          <w:rFonts w:ascii="Times New Roman" w:hAnsi="Times New Roman" w:eastAsia="宋体"/>
          <w:sz w:val="24"/>
        </w:rPr>
        <w:t>启动具身智能预研，完成核电高危作业场景调研与方案设计</w:t>
      </w:r>
    </w:p>
    <w:p>
      <w:pPr>
        <w:spacing w:line="360" w:lineRule="auto"/>
        <w:ind w:firstLine="420"/>
        <w:jc w:val="both"/>
      </w:pPr>
      <w:r>
        <w:rPr>
          <w:rFonts w:ascii="Times New Roman" w:hAnsi="Times New Roman" w:eastAsia="宋体"/>
          <w:b/>
          <w:sz w:val="24"/>
        </w:rPr>
        <w:t>第三阶段（2028年）：示范应用与推广</w:t>
      </w:r>
      <w:r>
        <w:rPr>
          <w:rFonts w:ascii="Times New Roman" w:hAnsi="Times New Roman" w:eastAsia="宋体"/>
          <w:sz w:val="24"/>
        </w:rPr>
      </w:r>
    </w:p>
    <w:p>
      <w:pPr>
        <w:pStyle w:val="ListBullet"/>
        <w:spacing w:line="360" w:lineRule="auto"/>
        <w:jc w:val="both"/>
      </w:pPr>
      <w:r>
        <w:rPr>
          <w:rFonts w:ascii="Times New Roman" w:hAnsi="Times New Roman" w:eastAsia="宋体"/>
          <w:sz w:val="24"/>
        </w:rPr>
        <w:t>建成核电+算力一体化示范项目，形成可复制模式</w:t>
      </w:r>
    </w:p>
    <w:p>
      <w:pPr>
        <w:pStyle w:val="ListBullet"/>
        <w:spacing w:line="360" w:lineRule="auto"/>
        <w:jc w:val="both"/>
      </w:pPr>
      <w:r>
        <w:rPr>
          <w:rFonts w:ascii="Times New Roman" w:hAnsi="Times New Roman" w:eastAsia="宋体"/>
          <w:sz w:val="24"/>
        </w:rPr>
        <w:t>发布数字孪生平台v2.0，扩展至5个以上核电基地</w:t>
      </w:r>
    </w:p>
    <w:p>
      <w:pPr>
        <w:pStyle w:val="ListBullet"/>
        <w:spacing w:line="360" w:lineRule="auto"/>
        <w:jc w:val="both"/>
      </w:pPr>
      <w:r>
        <w:rPr>
          <w:rFonts w:ascii="Times New Roman" w:hAnsi="Times New Roman" w:eastAsia="宋体"/>
          <w:sz w:val="24"/>
        </w:rPr>
        <w:t>具身智能在核岛实现试点应用，减少人员辐照暴露50%</w:t>
      </w:r>
    </w:p>
    <w:p>
      <w:pPr>
        <w:spacing w:line="360" w:lineRule="auto"/>
        <w:ind w:firstLine="420"/>
        <w:jc w:val="both"/>
      </w:pPr>
      <w:r>
        <w:rPr>
          <w:rFonts w:ascii="Times New Roman" w:hAnsi="Times New Roman" w:eastAsia="宋体"/>
          <w:b/>
          <w:sz w:val="24"/>
        </w:rPr>
        <w:t>第四阶段（2029-2030年）：规模引领与生态构建</w:t>
      </w:r>
      <w:r>
        <w:rPr>
          <w:rFonts w:ascii="Times New Roman" w:hAnsi="Times New Roman" w:eastAsia="宋体"/>
          <w:sz w:val="24"/>
        </w:rPr>
      </w:r>
    </w:p>
    <w:p>
      <w:pPr>
        <w:pStyle w:val="ListBullet"/>
        <w:spacing w:line="360" w:lineRule="auto"/>
        <w:jc w:val="both"/>
      </w:pPr>
      <w:r>
        <w:rPr>
          <w:rFonts w:ascii="Times New Roman" w:hAnsi="Times New Roman" w:eastAsia="宋体"/>
          <w:sz w:val="24"/>
        </w:rPr>
        <w:t>建成10+核电算力节点，形成全国核电算力网络</w:t>
      </w:r>
    </w:p>
    <w:p>
      <w:pPr>
        <w:pStyle w:val="ListBullet"/>
        <w:spacing w:line="360" w:lineRule="auto"/>
        <w:jc w:val="both"/>
      </w:pPr>
      <w:r>
        <w:rPr>
          <w:rFonts w:ascii="Times New Roman" w:hAnsi="Times New Roman" w:eastAsia="宋体"/>
          <w:sz w:val="24"/>
        </w:rPr>
        <w:t>主导3-5项国家标准，行业话语权确立</w:t>
      </w:r>
    </w:p>
    <w:p>
      <w:pPr>
        <w:pStyle w:val="ListBullet"/>
        <w:spacing w:line="360" w:lineRule="auto"/>
        <w:jc w:val="both"/>
      </w:pPr>
      <w:r>
        <w:rPr>
          <w:rFonts w:ascii="Times New Roman" w:hAnsi="Times New Roman" w:eastAsia="宋体"/>
          <w:sz w:val="24"/>
        </w:rPr>
        <w:t>具身智能迭代至三代，实现核岛核心区域自主作业</w:t>
      </w:r>
    </w:p>
    <w:p>
      <w:r>
        <w:br w:type="page"/>
      </w:r>
    </w:p>
    <w:p>
      <w:pPr>
        <w:pStyle w:val="Heading1"/>
        <w:jc w:val="left"/>
      </w:pPr>
      <w:r>
        <w:rPr>
          <w:rFonts w:ascii="Times New Roman" w:hAnsi="Times New Roman" w:eastAsia="宋体"/>
        </w:rPr>
        <w:t>五、生态运营：体系构建与路径设计</w:t>
      </w:r>
    </w:p>
    <w:p>
      <w:pPr>
        <w:pStyle w:val="Heading2"/>
        <w:jc w:val="left"/>
      </w:pPr>
      <w:r>
        <w:rPr>
          <w:rFonts w:ascii="Times New Roman" w:hAnsi="Times New Roman" w:eastAsia="宋体"/>
        </w:rPr>
        <w:t>5.1 生态体系架构</w:t>
      </w:r>
    </w:p>
    <w:p>
      <w:pPr>
        <w:jc w:val="center"/>
      </w:pPr>
      <w:r>
        <w:rPr>
          <w:rFonts w:ascii="Times New Roman" w:hAnsi="Times New Roman" w:eastAsia="宋体"/>
          <w:b/>
          <w:sz w:val="21"/>
        </w:rPr>
        <w:t>图1 中核电算协同生态体系架构图</w:t>
      </w:r>
    </w:p>
    <w:p>
      <w:pPr>
        <w:spacing w:line="288" w:lineRule="auto"/>
        <w:jc w:val="center"/>
      </w:pPr>
      <w:r>
        <w:rPr>
          <w:rFonts w:ascii="Times New Roman" w:hAnsi="Times New Roman" w:eastAsia="宋体"/>
          <w:sz w:val="21"/>
        </w:rPr>
      </w:r>
    </w:p>
    <w:p>
      <w:pPr>
        <w:spacing w:line="288" w:lineRule="auto"/>
        <w:jc w:val="center"/>
      </w:pPr>
      <w:r>
        <w:rPr>
          <w:rFonts w:ascii="Times New Roman" w:hAnsi="Times New Roman" w:eastAsia="宋体"/>
          <w:sz w:val="21"/>
        </w:rPr>
        <w:t>【中核电算协同生态体系架构】</w:t>
      </w:r>
    </w:p>
    <w:p>
      <w:pPr>
        <w:spacing w:line="288" w:lineRule="auto"/>
        <w:jc w:val="center"/>
      </w:pPr>
      <w:r>
        <w:rPr>
          <w:rFonts w:ascii="Times New Roman" w:hAnsi="Times New Roman" w:eastAsia="宋体"/>
          <w:sz w:val="21"/>
        </w:rPr>
        <w:t>================================================================================</w:t>
      </w:r>
    </w:p>
    <w:p>
      <w:pPr>
        <w:spacing w:line="288" w:lineRule="auto"/>
        <w:jc w:val="center"/>
      </w:pPr>
      <w:r>
        <w:rPr>
          <w:rFonts w:ascii="Times New Roman" w:hAnsi="Times New Roman" w:eastAsia="宋体"/>
          <w:sz w:val="21"/>
        </w:rPr>
        <w:t xml:space="preserve">                              ┌─────────────────────────┐</w:t>
      </w:r>
    </w:p>
    <w:p>
      <w:pPr>
        <w:spacing w:line="288" w:lineRule="auto"/>
        <w:jc w:val="center"/>
      </w:pPr>
      <w:r>
        <w:rPr>
          <w:rFonts w:ascii="Times New Roman" w:hAnsi="Times New Roman" w:eastAsia="宋体"/>
          <w:sz w:val="21"/>
        </w:rPr>
        <w:t xml:space="preserve">                              │      顶层战略目标       │</w:t>
      </w:r>
    </w:p>
    <w:p>
      <w:pPr>
        <w:spacing w:line="288" w:lineRule="auto"/>
        <w:jc w:val="center"/>
      </w:pPr>
      <w:r>
        <w:rPr>
          <w:rFonts w:ascii="Times New Roman" w:hAnsi="Times New Roman" w:eastAsia="宋体"/>
          <w:sz w:val="21"/>
        </w:rPr>
        <w:t xml:space="preserve">                              │   绿色算力核心供应商    │</w:t>
      </w:r>
    </w:p>
    <w:p>
      <w:pPr>
        <w:spacing w:line="288" w:lineRule="auto"/>
        <w:jc w:val="center"/>
      </w:pPr>
      <w:r>
        <w:rPr>
          <w:rFonts w:ascii="Times New Roman" w:hAnsi="Times New Roman" w:eastAsia="宋体"/>
          <w:sz w:val="21"/>
        </w:rPr>
        <w:t xml:space="preserve">                              └───────────┬─────────────┘</w:t>
      </w:r>
    </w:p>
    <w:p>
      <w:pPr>
        <w:spacing w:line="288" w:lineRule="auto"/>
        <w:jc w:val="center"/>
      </w:pPr>
      <w:r>
        <w:rPr>
          <w:rFonts w:ascii="Times New Roman" w:hAnsi="Times New Roman" w:eastAsia="宋体"/>
          <w:sz w:val="21"/>
        </w:rPr>
        <w:t xml:space="preserve">                                          │</w:t>
      </w:r>
    </w:p>
    <w:p>
      <w:pPr>
        <w:spacing w:line="288" w:lineRule="auto"/>
        <w:jc w:val="center"/>
      </w:pPr>
      <w:r>
        <w:rPr>
          <w:rFonts w:ascii="Times New Roman" w:hAnsi="Times New Roman" w:eastAsia="宋体"/>
          <w:sz w:val="21"/>
        </w:rPr>
        <w:t xml:space="preserve">        ┌─────────────────────────────────┼─────────────────────────────────┐</w:t>
      </w:r>
    </w:p>
    <w:p>
      <w:pPr>
        <w:spacing w:line="288" w:lineRule="auto"/>
        <w:jc w:val="center"/>
      </w:pPr>
      <w:r>
        <w:rPr>
          <w:rFonts w:ascii="Times New Roman" w:hAnsi="Times New Roman" w:eastAsia="宋体"/>
          <w:sz w:val="21"/>
        </w:rPr>
        <w:t xml:space="preserve">        │                                 │                                 │</w:t>
      </w:r>
    </w:p>
    <w:p>
      <w:pPr>
        <w:spacing w:line="288" w:lineRule="auto"/>
        <w:jc w:val="center"/>
      </w:pPr>
      <w:r>
        <w:rPr>
          <w:rFonts w:ascii="Times New Roman" w:hAnsi="Times New Roman" w:eastAsia="宋体"/>
          <w:sz w:val="21"/>
        </w:rPr>
        <w:t xml:space="preserve">        ▼                                 ▼                                 ▼</w:t>
      </w:r>
    </w:p>
    <w:p>
      <w:pPr>
        <w:spacing w:line="288" w:lineRule="auto"/>
        <w:jc w:val="center"/>
      </w:pPr>
      <w:r>
        <w:rPr>
          <w:rFonts w:ascii="Times New Roman" w:hAnsi="Times New Roman" w:eastAsia="宋体"/>
          <w:sz w:val="21"/>
        </w:rPr>
        <w:t>┌───────────────┐                 ┌───────────────┐                 ┌───────────────┐</w:t>
      </w:r>
    </w:p>
    <w:p>
      <w:pPr>
        <w:spacing w:line="288" w:lineRule="auto"/>
        <w:jc w:val="center"/>
      </w:pPr>
      <w:r>
        <w:rPr>
          <w:rFonts w:ascii="Times New Roman" w:hAnsi="Times New Roman" w:eastAsia="宋体"/>
          <w:sz w:val="21"/>
        </w:rPr>
        <w:t>│   核心层     │                 │   能力层     │                 │   连接层     │</w:t>
      </w:r>
    </w:p>
    <w:p>
      <w:pPr>
        <w:spacing w:line="288" w:lineRule="auto"/>
        <w:jc w:val="center"/>
      </w:pPr>
      <w:r>
        <w:rPr>
          <w:rFonts w:ascii="Times New Roman" w:hAnsi="Times New Roman" w:eastAsia="宋体"/>
          <w:sz w:val="21"/>
        </w:rPr>
        <w:t>│  （基础设施）│                 │  （技术平台）│                 │  （标准机制）│</w:t>
      </w:r>
    </w:p>
    <w:p>
      <w:pPr>
        <w:spacing w:line="288" w:lineRule="auto"/>
        <w:jc w:val="center"/>
      </w:pPr>
      <w:r>
        <w:rPr>
          <w:rFonts w:ascii="Times New Roman" w:hAnsi="Times New Roman" w:eastAsia="宋体"/>
          <w:sz w:val="21"/>
        </w:rPr>
        <w:t>│               │                 │               │                 │               │</w:t>
      </w:r>
    </w:p>
    <w:p>
      <w:pPr>
        <w:spacing w:line="288" w:lineRule="auto"/>
        <w:jc w:val="center"/>
      </w:pPr>
      <w:r>
        <w:rPr>
          <w:rFonts w:ascii="Times New Roman" w:hAnsi="Times New Roman" w:eastAsia="宋体"/>
          <w:sz w:val="21"/>
        </w:rPr>
        <w:t>│ • 核电基地    │                 │ • 数字孪生    │                 │ • 标准规范    │</w:t>
      </w:r>
    </w:p>
    <w:p>
      <w:pPr>
        <w:spacing w:line="288" w:lineRule="auto"/>
        <w:jc w:val="center"/>
      </w:pPr>
      <w:r>
        <w:rPr>
          <w:rFonts w:ascii="Times New Roman" w:hAnsi="Times New Roman" w:eastAsia="宋体"/>
          <w:sz w:val="21"/>
        </w:rPr>
        <w:t>│ • 算力设施    │                 │ • 电力大模型  │                 │ • 协作机制    │</w:t>
      </w:r>
    </w:p>
    <w:p>
      <w:pPr>
        <w:spacing w:line="288" w:lineRule="auto"/>
        <w:jc w:val="center"/>
      </w:pPr>
      <w:r>
        <w:rPr>
          <w:rFonts w:ascii="Times New Roman" w:hAnsi="Times New Roman" w:eastAsia="宋体"/>
          <w:sz w:val="21"/>
        </w:rPr>
        <w:t>│ • 储能系统    │                 │ • 具身智能    │                 │ • 基础设施    │</w:t>
      </w:r>
    </w:p>
    <w:p>
      <w:pPr>
        <w:spacing w:line="288" w:lineRule="auto"/>
        <w:jc w:val="center"/>
      </w:pPr>
      <w:r>
        <w:rPr>
          <w:rFonts w:ascii="Times New Roman" w:hAnsi="Times New Roman" w:eastAsia="宋体"/>
          <w:sz w:val="21"/>
        </w:rPr>
        <w:t>│ • 新能源电场  │                 │ • 碳能算平台  │                 │               │</w:t>
      </w:r>
    </w:p>
    <w:p>
      <w:pPr>
        <w:spacing w:line="288" w:lineRule="auto"/>
        <w:jc w:val="center"/>
      </w:pPr>
      <w:r>
        <w:rPr>
          <w:rFonts w:ascii="Times New Roman" w:hAnsi="Times New Roman" w:eastAsia="宋体"/>
          <w:sz w:val="21"/>
        </w:rPr>
        <w:t>└───────────────┘                 └───────────────┘                 └───────────────┘</w:t>
      </w:r>
    </w:p>
    <w:p>
      <w:pPr>
        <w:spacing w:line="288" w:lineRule="auto"/>
        <w:jc w:val="center"/>
      </w:pPr>
      <w:r>
        <w:rPr>
          <w:rFonts w:ascii="Times New Roman" w:hAnsi="Times New Roman" w:eastAsia="宋体"/>
          <w:sz w:val="21"/>
        </w:rPr>
        <w:t xml:space="preserve">        │                                 │                                 │</w:t>
      </w:r>
    </w:p>
    <w:p>
      <w:pPr>
        <w:spacing w:line="288" w:lineRule="auto"/>
        <w:jc w:val="center"/>
      </w:pPr>
      <w:r>
        <w:rPr>
          <w:rFonts w:ascii="Times New Roman" w:hAnsi="Times New Roman" w:eastAsia="宋体"/>
          <w:sz w:val="21"/>
        </w:rPr>
        <w:t xml:space="preserve">        └─────────────────────────────────┼─────────────────────────────────┘</w:t>
      </w:r>
    </w:p>
    <w:p>
      <w:pPr>
        <w:spacing w:line="288" w:lineRule="auto"/>
        <w:jc w:val="center"/>
      </w:pPr>
      <w:r>
        <w:rPr>
          <w:rFonts w:ascii="Times New Roman" w:hAnsi="Times New Roman" w:eastAsia="宋体"/>
          <w:sz w:val="21"/>
        </w:rPr>
        <w:t xml:space="preserve">                                          ▼</w:t>
      </w:r>
    </w:p>
    <w:p>
      <w:pPr>
        <w:spacing w:line="288" w:lineRule="auto"/>
        <w:jc w:val="center"/>
      </w:pPr>
      <w:r>
        <w:rPr>
          <w:rFonts w:ascii="Times New Roman" w:hAnsi="Times New Roman" w:eastAsia="宋体"/>
          <w:sz w:val="21"/>
        </w:rPr>
        <w:t xml:space="preserve">                              ┌─────────────────────────┐</w:t>
      </w:r>
    </w:p>
    <w:p>
      <w:pPr>
        <w:spacing w:line="288" w:lineRule="auto"/>
        <w:jc w:val="center"/>
      </w:pPr>
      <w:r>
        <w:rPr>
          <w:rFonts w:ascii="Times New Roman" w:hAnsi="Times New Roman" w:eastAsia="宋体"/>
          <w:sz w:val="21"/>
        </w:rPr>
        <w:t xml:space="preserve">                              │       价值输出层       │</w:t>
      </w:r>
    </w:p>
    <w:p>
      <w:pPr>
        <w:spacing w:line="288" w:lineRule="auto"/>
        <w:jc w:val="center"/>
      </w:pPr>
      <w:r>
        <w:rPr>
          <w:rFonts w:ascii="Times New Roman" w:hAnsi="Times New Roman" w:eastAsia="宋体"/>
          <w:sz w:val="21"/>
        </w:rPr>
        <w:t xml:space="preserve">                              │                       │</w:t>
      </w:r>
    </w:p>
    <w:p>
      <w:pPr>
        <w:spacing w:line="288" w:lineRule="auto"/>
        <w:jc w:val="center"/>
      </w:pPr>
      <w:r>
        <w:rPr>
          <w:rFonts w:ascii="Times New Roman" w:hAnsi="Times New Roman" w:eastAsia="宋体"/>
          <w:sz w:val="21"/>
        </w:rPr>
        <w:t xml:space="preserve">                              │ • 绿色算力服务        │</w:t>
      </w:r>
    </w:p>
    <w:p>
      <w:pPr>
        <w:spacing w:line="288" w:lineRule="auto"/>
        <w:jc w:val="center"/>
      </w:pPr>
      <w:r>
        <w:rPr>
          <w:rFonts w:ascii="Times New Roman" w:hAnsi="Times New Roman" w:eastAsia="宋体"/>
          <w:sz w:val="21"/>
        </w:rPr>
        <w:t xml:space="preserve">                              │ • 碳资产管理          │</w:t>
      </w:r>
    </w:p>
    <w:p>
      <w:pPr>
        <w:spacing w:line="288" w:lineRule="auto"/>
        <w:jc w:val="center"/>
      </w:pPr>
      <w:r>
        <w:rPr>
          <w:rFonts w:ascii="Times New Roman" w:hAnsi="Times New Roman" w:eastAsia="宋体"/>
          <w:sz w:val="21"/>
        </w:rPr>
        <w:t xml:space="preserve">                              │ • 技术输出服务        │</w:t>
      </w:r>
    </w:p>
    <w:p>
      <w:pPr>
        <w:spacing w:line="288" w:lineRule="auto"/>
        <w:jc w:val="center"/>
      </w:pPr>
      <w:r>
        <w:rPr>
          <w:rFonts w:ascii="Times New Roman" w:hAnsi="Times New Roman" w:eastAsia="宋体"/>
          <w:sz w:val="21"/>
        </w:rPr>
        <w:t xml:space="preserve">                              │ • 综合解决方案        │</w:t>
      </w:r>
    </w:p>
    <w:p>
      <w:pPr>
        <w:spacing w:line="288" w:lineRule="auto"/>
        <w:jc w:val="center"/>
      </w:pPr>
      <w:r>
        <w:rPr>
          <w:rFonts w:ascii="Times New Roman" w:hAnsi="Times New Roman" w:eastAsia="宋体"/>
          <w:sz w:val="21"/>
        </w:rPr>
        <w:t xml:space="preserve">                              └─────────────────────────┘</w:t>
      </w:r>
    </w:p>
    <w:p>
      <w:pPr>
        <w:spacing w:line="288" w:lineRule="auto"/>
        <w:jc w:val="center"/>
      </w:pPr>
      <w:r>
        <w:rPr>
          <w:rFonts w:ascii="Times New Roman" w:hAnsi="Times New Roman" w:eastAsia="宋体"/>
          <w:sz w:val="21"/>
        </w:rPr>
        <w:t>================================================================================</w:t>
      </w:r>
    </w:p>
    <w:p>
      <w:pPr>
        <w:spacing w:line="288" w:lineRule="auto"/>
        <w:jc w:val="center"/>
      </w:pPr>
      <w:r>
        <w:rPr>
          <w:rFonts w:ascii="Times New Roman" w:hAnsi="Times New Roman" w:eastAsia="宋体"/>
          <w:sz w:val="21"/>
        </w:rPr>
      </w:r>
    </w:p>
    <w:p>
      <w:pPr>
        <w:pStyle w:val="Heading2"/>
        <w:jc w:val="left"/>
      </w:pPr>
      <w:r>
        <w:rPr>
          <w:rFonts w:ascii="Times New Roman" w:hAnsi="Times New Roman" w:eastAsia="宋体"/>
        </w:rPr>
        <w:t>5.2 合作伙伴生态网络</w:t>
      </w:r>
    </w:p>
    <w:p>
      <w:pPr>
        <w:jc w:val="center"/>
      </w:pPr>
      <w:r>
        <w:rPr>
          <w:rFonts w:ascii="Times New Roman" w:hAnsi="Times New Roman" w:eastAsia="宋体"/>
          <w:b/>
          <w:sz w:val="21"/>
        </w:rPr>
        <w:t>表12 生态合作伙伴分类</w:t>
      </w:r>
    </w:p>
    <w:tbl>
      <w:tblPr>
        <w:tblStyle w:val="TableGrid"/>
        <w:tblW w:type="auto" w:w="0"/>
        <w:tblLook w:firstColumn="1" w:firstRow="1" w:lastColumn="0" w:lastRow="0" w:noHBand="0" w:noVBand="1" w:val="04A0"/>
      </w:tblPr>
      <w:tblGrid>
        <w:gridCol w:w="2077"/>
        <w:gridCol w:w="2077"/>
        <w:gridCol w:w="2077"/>
        <w:gridCol w:w="2077"/>
      </w:tblGrid>
      <w:tr>
        <w:tc>
          <w:tcPr>
            <w:tcW w:type="dxa" w:w="2077"/>
            <w:shd w:fill="D9E2F3"/>
          </w:tcPr>
          <w:p>
            <w:pPr>
              <w:jc w:val="center"/>
            </w:pPr>
            <w:r>
              <w:rPr>
                <w:rFonts w:ascii="Times New Roman" w:hAnsi="Times New Roman" w:eastAsia="宋体"/>
                <w:b/>
                <w:sz w:val="21"/>
              </w:rPr>
              <w:t>伙伴类型</w:t>
            </w:r>
          </w:p>
        </w:tc>
        <w:tc>
          <w:tcPr>
            <w:tcW w:type="dxa" w:w="2077"/>
            <w:shd w:fill="D9E2F3"/>
          </w:tcPr>
          <w:p>
            <w:pPr>
              <w:jc w:val="center"/>
            </w:pPr>
            <w:r>
              <w:rPr>
                <w:rFonts w:ascii="Times New Roman" w:hAnsi="Times New Roman" w:eastAsia="宋体"/>
                <w:b/>
                <w:sz w:val="21"/>
              </w:rPr>
              <w:t>战略价值</w:t>
            </w:r>
          </w:p>
        </w:tc>
        <w:tc>
          <w:tcPr>
            <w:tcW w:type="dxa" w:w="2077"/>
            <w:shd w:fill="D9E2F3"/>
          </w:tcPr>
          <w:p>
            <w:pPr>
              <w:jc w:val="center"/>
            </w:pPr>
            <w:r>
              <w:rPr>
                <w:rFonts w:ascii="Times New Roman" w:hAnsi="Times New Roman" w:eastAsia="宋体"/>
                <w:b/>
                <w:sz w:val="21"/>
              </w:rPr>
              <w:t>合作重点</w:t>
            </w:r>
          </w:p>
        </w:tc>
        <w:tc>
          <w:tcPr>
            <w:tcW w:type="dxa" w:w="2077"/>
            <w:shd w:fill="D9E2F3"/>
          </w:tcPr>
          <w:p>
            <w:pPr>
              <w:jc w:val="center"/>
            </w:pPr>
            <w:r>
              <w:rPr>
                <w:rFonts w:ascii="Times New Roman" w:hAnsi="Times New Roman" w:eastAsia="宋体"/>
                <w:b/>
                <w:sz w:val="21"/>
              </w:rPr>
              <w:t>代表企业</w:t>
            </w:r>
          </w:p>
        </w:tc>
      </w:tr>
      <w:tr>
        <w:tc>
          <w:tcPr>
            <w:tcW w:type="dxa" w:w="2077"/>
          </w:tcPr>
          <w:p>
            <w:pPr>
              <w:jc w:val="center"/>
            </w:pPr>
            <w:r>
              <w:rPr>
                <w:rFonts w:ascii="Times New Roman" w:hAnsi="Times New Roman" w:eastAsia="宋体"/>
                <w:sz w:val="21"/>
              </w:rPr>
              <w:t>算力技术厂商</w:t>
            </w:r>
          </w:p>
        </w:tc>
        <w:tc>
          <w:tcPr>
            <w:tcW w:type="dxa" w:w="2077"/>
          </w:tcPr>
          <w:p>
            <w:pPr>
              <w:jc w:val="center"/>
            </w:pPr>
            <w:r>
              <w:rPr>
                <w:rFonts w:ascii="Times New Roman" w:hAnsi="Times New Roman" w:eastAsia="宋体"/>
                <w:sz w:val="21"/>
              </w:rPr>
              <w:t>技术赋能</w:t>
            </w:r>
          </w:p>
        </w:tc>
        <w:tc>
          <w:tcPr>
            <w:tcW w:type="dxa" w:w="2077"/>
          </w:tcPr>
          <w:p>
            <w:pPr>
              <w:jc w:val="center"/>
            </w:pPr>
            <w:r>
              <w:rPr>
                <w:rFonts w:ascii="Times New Roman" w:hAnsi="Times New Roman" w:eastAsia="宋体"/>
                <w:sz w:val="21"/>
              </w:rPr>
              <w:t>AI大模型、云计算</w:t>
            </w:r>
          </w:p>
        </w:tc>
        <w:tc>
          <w:tcPr>
            <w:tcW w:type="dxa" w:w="2077"/>
          </w:tcPr>
          <w:p>
            <w:pPr>
              <w:jc w:val="center"/>
            </w:pPr>
            <w:r>
              <w:rPr>
                <w:rFonts w:ascii="Times New Roman" w:hAnsi="Times New Roman" w:eastAsia="宋体"/>
                <w:sz w:val="21"/>
              </w:rPr>
              <w:t>华为、阿里、百度</w:t>
            </w:r>
          </w:p>
        </w:tc>
      </w:tr>
      <w:tr>
        <w:tc>
          <w:tcPr>
            <w:tcW w:type="dxa" w:w="2077"/>
          </w:tcPr>
          <w:p>
            <w:pPr>
              <w:jc w:val="center"/>
            </w:pPr>
            <w:r>
              <w:rPr>
                <w:rFonts w:ascii="Times New Roman" w:hAnsi="Times New Roman" w:eastAsia="宋体"/>
                <w:sz w:val="21"/>
              </w:rPr>
              <w:t>电网企业</w:t>
            </w:r>
          </w:p>
        </w:tc>
        <w:tc>
          <w:tcPr>
            <w:tcW w:type="dxa" w:w="2077"/>
          </w:tcPr>
          <w:p>
            <w:pPr>
              <w:jc w:val="center"/>
            </w:pPr>
            <w:r>
              <w:rPr>
                <w:rFonts w:ascii="Times New Roman" w:hAnsi="Times New Roman" w:eastAsia="宋体"/>
                <w:sz w:val="21"/>
              </w:rPr>
              <w:t>市场准入</w:t>
            </w:r>
          </w:p>
        </w:tc>
        <w:tc>
          <w:tcPr>
            <w:tcW w:type="dxa" w:w="2077"/>
          </w:tcPr>
          <w:p>
            <w:pPr>
              <w:jc w:val="center"/>
            </w:pPr>
            <w:r>
              <w:rPr>
                <w:rFonts w:ascii="Times New Roman" w:hAnsi="Times New Roman" w:eastAsia="宋体"/>
                <w:sz w:val="21"/>
              </w:rPr>
              <w:t>调度接入、电力市场</w:t>
            </w:r>
          </w:p>
        </w:tc>
        <w:tc>
          <w:tcPr>
            <w:tcW w:type="dxa" w:w="2077"/>
          </w:tcPr>
          <w:p>
            <w:pPr>
              <w:jc w:val="center"/>
            </w:pPr>
            <w:r>
              <w:rPr>
                <w:rFonts w:ascii="Times New Roman" w:hAnsi="Times New Roman" w:eastAsia="宋体"/>
                <w:sz w:val="21"/>
              </w:rPr>
              <w:t>国网、南网</w:t>
            </w:r>
          </w:p>
        </w:tc>
      </w:tr>
      <w:tr>
        <w:tc>
          <w:tcPr>
            <w:tcW w:type="dxa" w:w="2077"/>
          </w:tcPr>
          <w:p>
            <w:pPr>
              <w:jc w:val="center"/>
            </w:pPr>
            <w:r>
              <w:rPr>
                <w:rFonts w:ascii="Times New Roman" w:hAnsi="Times New Roman" w:eastAsia="宋体"/>
                <w:sz w:val="21"/>
              </w:rPr>
              <w:t>云服务商</w:t>
            </w:r>
          </w:p>
        </w:tc>
        <w:tc>
          <w:tcPr>
            <w:tcW w:type="dxa" w:w="2077"/>
          </w:tcPr>
          <w:p>
            <w:pPr>
              <w:jc w:val="center"/>
            </w:pPr>
            <w:r>
              <w:rPr>
                <w:rFonts w:ascii="Times New Roman" w:hAnsi="Times New Roman" w:eastAsia="宋体"/>
                <w:sz w:val="21"/>
              </w:rPr>
              <w:t>市场渠道</w:t>
            </w:r>
          </w:p>
        </w:tc>
        <w:tc>
          <w:tcPr>
            <w:tcW w:type="dxa" w:w="2077"/>
          </w:tcPr>
          <w:p>
            <w:pPr>
              <w:jc w:val="center"/>
            </w:pPr>
            <w:r>
              <w:rPr>
                <w:rFonts w:ascii="Times New Roman" w:hAnsi="Times New Roman" w:eastAsia="宋体"/>
                <w:sz w:val="21"/>
              </w:rPr>
              <w:t>算力分销、联合运营</w:t>
            </w:r>
          </w:p>
        </w:tc>
        <w:tc>
          <w:tcPr>
            <w:tcW w:type="dxa" w:w="2077"/>
          </w:tcPr>
          <w:p>
            <w:pPr>
              <w:jc w:val="center"/>
            </w:pPr>
            <w:r>
              <w:rPr>
                <w:rFonts w:ascii="Times New Roman" w:hAnsi="Times New Roman" w:eastAsia="宋体"/>
                <w:sz w:val="21"/>
              </w:rPr>
              <w:t>阿里云、腾讯云</w:t>
            </w:r>
          </w:p>
        </w:tc>
      </w:tr>
      <w:tr>
        <w:tc>
          <w:tcPr>
            <w:tcW w:type="dxa" w:w="2077"/>
          </w:tcPr>
          <w:p>
            <w:pPr>
              <w:jc w:val="center"/>
            </w:pPr>
            <w:r>
              <w:rPr>
                <w:rFonts w:ascii="Times New Roman" w:hAnsi="Times New Roman" w:eastAsia="宋体"/>
                <w:sz w:val="21"/>
              </w:rPr>
              <w:t>科研机构</w:t>
            </w:r>
          </w:p>
        </w:tc>
        <w:tc>
          <w:tcPr>
            <w:tcW w:type="dxa" w:w="2077"/>
          </w:tcPr>
          <w:p>
            <w:pPr>
              <w:jc w:val="center"/>
            </w:pPr>
            <w:r>
              <w:rPr>
                <w:rFonts w:ascii="Times New Roman" w:hAnsi="Times New Roman" w:eastAsia="宋体"/>
                <w:sz w:val="21"/>
              </w:rPr>
              <w:t>前沿创新</w:t>
            </w:r>
          </w:p>
        </w:tc>
        <w:tc>
          <w:tcPr>
            <w:tcW w:type="dxa" w:w="2077"/>
          </w:tcPr>
          <w:p>
            <w:pPr>
              <w:jc w:val="center"/>
            </w:pPr>
            <w:r>
              <w:rPr>
                <w:rFonts w:ascii="Times New Roman" w:hAnsi="Times New Roman" w:eastAsia="宋体"/>
                <w:sz w:val="21"/>
              </w:rPr>
              <w:t>联合研发、人才培养</w:t>
            </w:r>
          </w:p>
        </w:tc>
        <w:tc>
          <w:tcPr>
            <w:tcW w:type="dxa" w:w="2077"/>
          </w:tcPr>
          <w:p>
            <w:pPr>
              <w:jc w:val="center"/>
            </w:pPr>
            <w:r>
              <w:rPr>
                <w:rFonts w:ascii="Times New Roman" w:hAnsi="Times New Roman" w:eastAsia="宋体"/>
                <w:sz w:val="21"/>
              </w:rPr>
              <w:t>清华、中科院</w:t>
            </w:r>
          </w:p>
        </w:tc>
      </w:tr>
      <w:tr>
        <w:tc>
          <w:tcPr>
            <w:tcW w:type="dxa" w:w="2077"/>
          </w:tcPr>
          <w:p>
            <w:pPr>
              <w:jc w:val="center"/>
            </w:pPr>
            <w:r>
              <w:rPr>
                <w:rFonts w:ascii="Times New Roman" w:hAnsi="Times New Roman" w:eastAsia="宋体"/>
                <w:sz w:val="21"/>
              </w:rPr>
              <w:t>碳服务机构</w:t>
            </w:r>
          </w:p>
        </w:tc>
        <w:tc>
          <w:tcPr>
            <w:tcW w:type="dxa" w:w="2077"/>
          </w:tcPr>
          <w:p>
            <w:pPr>
              <w:jc w:val="center"/>
            </w:pPr>
            <w:r>
              <w:rPr>
                <w:rFonts w:ascii="Times New Roman" w:hAnsi="Times New Roman" w:eastAsia="宋体"/>
                <w:sz w:val="21"/>
              </w:rPr>
              <w:t>碳业务支撑</w:t>
            </w:r>
          </w:p>
        </w:tc>
        <w:tc>
          <w:tcPr>
            <w:tcW w:type="dxa" w:w="2077"/>
          </w:tcPr>
          <w:p>
            <w:pPr>
              <w:jc w:val="center"/>
            </w:pPr>
            <w:r>
              <w:rPr>
                <w:rFonts w:ascii="Times New Roman" w:hAnsi="Times New Roman" w:eastAsia="宋体"/>
                <w:sz w:val="21"/>
              </w:rPr>
              <w:t>碳认证、碳交易</w:t>
            </w:r>
          </w:p>
        </w:tc>
        <w:tc>
          <w:tcPr>
            <w:tcW w:type="dxa" w:w="2077"/>
          </w:tcPr>
          <w:p>
            <w:pPr>
              <w:jc w:val="center"/>
            </w:pPr>
            <w:r>
              <w:rPr>
                <w:rFonts w:ascii="Times New Roman" w:hAnsi="Times New Roman" w:eastAsia="宋体"/>
                <w:sz w:val="21"/>
              </w:rPr>
              <w:t>碳交所</w:t>
            </w:r>
          </w:p>
        </w:tc>
      </w:tr>
      <w:tr>
        <w:tc>
          <w:tcPr>
            <w:tcW w:type="dxa" w:w="2077"/>
          </w:tcPr>
          <w:p>
            <w:pPr>
              <w:jc w:val="center"/>
            </w:pPr>
            <w:r>
              <w:rPr>
                <w:rFonts w:ascii="Times New Roman" w:hAnsi="Times New Roman" w:eastAsia="宋体"/>
                <w:sz w:val="21"/>
              </w:rPr>
              <w:t>IDC运营商</w:t>
            </w:r>
          </w:p>
        </w:tc>
        <w:tc>
          <w:tcPr>
            <w:tcW w:type="dxa" w:w="2077"/>
          </w:tcPr>
          <w:p>
            <w:pPr>
              <w:jc w:val="center"/>
            </w:pPr>
            <w:r>
              <w:rPr>
                <w:rFonts w:ascii="Times New Roman" w:hAnsi="Times New Roman" w:eastAsia="宋体"/>
                <w:sz w:val="21"/>
              </w:rPr>
              <w:t>运营经验</w:t>
            </w:r>
          </w:p>
        </w:tc>
        <w:tc>
          <w:tcPr>
            <w:tcW w:type="dxa" w:w="2077"/>
          </w:tcPr>
          <w:p>
            <w:pPr>
              <w:jc w:val="center"/>
            </w:pPr>
            <w:r>
              <w:rPr>
                <w:rFonts w:ascii="Times New Roman" w:hAnsi="Times New Roman" w:eastAsia="宋体"/>
                <w:sz w:val="21"/>
              </w:rPr>
              <w:t>合作运营</w:t>
            </w:r>
          </w:p>
        </w:tc>
        <w:tc>
          <w:tcPr>
            <w:tcW w:type="dxa" w:w="2077"/>
          </w:tcPr>
          <w:p>
            <w:pPr>
              <w:jc w:val="center"/>
            </w:pPr>
            <w:r>
              <w:rPr>
                <w:rFonts w:ascii="Times New Roman" w:hAnsi="Times New Roman" w:eastAsia="宋体"/>
                <w:sz w:val="21"/>
              </w:rPr>
              <w:t>万国数据、秦淮数据</w:t>
            </w:r>
          </w:p>
        </w:tc>
      </w:tr>
    </w:tbl>
    <w:p>
      <w:pPr>
        <w:pStyle w:val="Heading2"/>
        <w:jc w:val="left"/>
      </w:pPr>
      <w:r>
        <w:rPr>
          <w:rFonts w:ascii="Times New Roman" w:hAnsi="Times New Roman" w:eastAsia="宋体"/>
        </w:rPr>
        <w:t>5.3 商业模式创新</w:t>
      </w:r>
    </w:p>
    <w:p>
      <w:pPr>
        <w:jc w:val="center"/>
      </w:pPr>
      <w:r>
        <w:rPr>
          <w:rFonts w:ascii="Times New Roman" w:hAnsi="Times New Roman" w:eastAsia="宋体"/>
          <w:b/>
          <w:sz w:val="21"/>
        </w:rPr>
        <w:t>表13 商业模式创新矩阵</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Times New Roman" w:hAnsi="Times New Roman" w:eastAsia="宋体"/>
                <w:b/>
                <w:sz w:val="21"/>
              </w:rPr>
              <w:t>商业模式</w:t>
            </w:r>
          </w:p>
        </w:tc>
        <w:tc>
          <w:tcPr>
            <w:tcW w:type="dxa" w:w="1662"/>
            <w:shd w:fill="D9E2F3"/>
          </w:tcPr>
          <w:p>
            <w:pPr>
              <w:jc w:val="center"/>
            </w:pPr>
            <w:r>
              <w:rPr>
                <w:rFonts w:ascii="Times New Roman" w:hAnsi="Times New Roman" w:eastAsia="宋体"/>
                <w:b/>
                <w:sz w:val="21"/>
              </w:rPr>
              <w:t>价值创造</w:t>
            </w:r>
          </w:p>
        </w:tc>
        <w:tc>
          <w:tcPr>
            <w:tcW w:type="dxa" w:w="1662"/>
            <w:shd w:fill="D9E2F3"/>
          </w:tcPr>
          <w:p>
            <w:pPr>
              <w:jc w:val="center"/>
            </w:pPr>
            <w:r>
              <w:rPr>
                <w:rFonts w:ascii="Times New Roman" w:hAnsi="Times New Roman" w:eastAsia="宋体"/>
                <w:b/>
                <w:sz w:val="21"/>
              </w:rPr>
              <w:t>目标客户</w:t>
            </w:r>
          </w:p>
        </w:tc>
        <w:tc>
          <w:tcPr>
            <w:tcW w:type="dxa" w:w="1662"/>
            <w:shd w:fill="D9E2F3"/>
          </w:tcPr>
          <w:p>
            <w:pPr>
              <w:jc w:val="center"/>
            </w:pPr>
            <w:r>
              <w:rPr>
                <w:rFonts w:ascii="Times New Roman" w:hAnsi="Times New Roman" w:eastAsia="宋体"/>
                <w:b/>
                <w:sz w:val="21"/>
              </w:rPr>
              <w:t>收益来源</w:t>
            </w:r>
          </w:p>
        </w:tc>
        <w:tc>
          <w:tcPr>
            <w:tcW w:type="dxa" w:w="1662"/>
            <w:shd w:fill="D9E2F3"/>
          </w:tcPr>
          <w:p>
            <w:pPr>
              <w:jc w:val="center"/>
            </w:pPr>
            <w:r>
              <w:rPr>
                <w:rFonts w:ascii="Times New Roman" w:hAnsi="Times New Roman" w:eastAsia="宋体"/>
                <w:b/>
                <w:sz w:val="21"/>
              </w:rPr>
              <w:t>2030年目标</w:t>
            </w:r>
          </w:p>
        </w:tc>
      </w:tr>
      <w:tr>
        <w:tc>
          <w:tcPr>
            <w:tcW w:type="dxa" w:w="1662"/>
          </w:tcPr>
          <w:p>
            <w:pPr>
              <w:jc w:val="center"/>
            </w:pPr>
            <w:r>
              <w:rPr>
                <w:rFonts w:ascii="Times New Roman" w:hAnsi="Times New Roman" w:eastAsia="宋体"/>
                <w:sz w:val="21"/>
              </w:rPr>
              <w:t>核电绿电算力</w:t>
            </w:r>
          </w:p>
        </w:tc>
        <w:tc>
          <w:tcPr>
            <w:tcW w:type="dxa" w:w="1662"/>
          </w:tcPr>
          <w:p>
            <w:pPr>
              <w:jc w:val="center"/>
            </w:pPr>
            <w:r>
              <w:rPr>
                <w:rFonts w:ascii="Times New Roman" w:hAnsi="Times New Roman" w:eastAsia="宋体"/>
                <w:sz w:val="21"/>
              </w:rPr>
              <w:t>零碳+稳定</w:t>
            </w:r>
          </w:p>
        </w:tc>
        <w:tc>
          <w:tcPr>
            <w:tcW w:type="dxa" w:w="1662"/>
          </w:tcPr>
          <w:p>
            <w:pPr>
              <w:jc w:val="center"/>
            </w:pPr>
            <w:r>
              <w:rPr>
                <w:rFonts w:ascii="Times New Roman" w:hAnsi="Times New Roman" w:eastAsia="宋体"/>
                <w:sz w:val="21"/>
              </w:rPr>
              <w:t>高能耗数据中心</w:t>
            </w:r>
          </w:p>
        </w:tc>
        <w:tc>
          <w:tcPr>
            <w:tcW w:type="dxa" w:w="1662"/>
          </w:tcPr>
          <w:p>
            <w:pPr>
              <w:jc w:val="center"/>
            </w:pPr>
            <w:r>
              <w:rPr>
                <w:rFonts w:ascii="Times New Roman" w:hAnsi="Times New Roman" w:eastAsia="宋体"/>
                <w:sz w:val="21"/>
              </w:rPr>
              <w:t>电价+绿电溢价</w:t>
            </w:r>
          </w:p>
        </w:tc>
        <w:tc>
          <w:tcPr>
            <w:tcW w:type="dxa" w:w="1662"/>
          </w:tcPr>
          <w:p>
            <w:pPr>
              <w:jc w:val="center"/>
            </w:pPr>
            <w:r>
              <w:rPr>
                <w:rFonts w:ascii="Times New Roman" w:hAnsi="Times New Roman" w:eastAsia="宋体"/>
                <w:sz w:val="21"/>
              </w:rPr>
              <w:t>50000P规模</w:t>
            </w:r>
          </w:p>
        </w:tc>
      </w:tr>
      <w:tr>
        <w:tc>
          <w:tcPr>
            <w:tcW w:type="dxa" w:w="1662"/>
          </w:tcPr>
          <w:p>
            <w:pPr>
              <w:jc w:val="center"/>
            </w:pPr>
            <w:r>
              <w:rPr>
                <w:rFonts w:ascii="Times New Roman" w:hAnsi="Times New Roman" w:eastAsia="宋体"/>
                <w:sz w:val="21"/>
              </w:rPr>
              <w:t>碳资产管理</w:t>
            </w:r>
          </w:p>
        </w:tc>
        <w:tc>
          <w:tcPr>
            <w:tcW w:type="dxa" w:w="1662"/>
          </w:tcPr>
          <w:p>
            <w:pPr>
              <w:jc w:val="center"/>
            </w:pPr>
            <w:r>
              <w:rPr>
                <w:rFonts w:ascii="Times New Roman" w:hAnsi="Times New Roman" w:eastAsia="宋体"/>
                <w:sz w:val="21"/>
              </w:rPr>
              <w:t>碳资产增值</w:t>
            </w:r>
          </w:p>
        </w:tc>
        <w:tc>
          <w:tcPr>
            <w:tcW w:type="dxa" w:w="1662"/>
          </w:tcPr>
          <w:p>
            <w:pPr>
              <w:jc w:val="center"/>
            </w:pPr>
            <w:r>
              <w:rPr>
                <w:rFonts w:ascii="Times New Roman" w:hAnsi="Times New Roman" w:eastAsia="宋体"/>
                <w:sz w:val="21"/>
              </w:rPr>
              <w:t>所有客户</w:t>
            </w:r>
          </w:p>
        </w:tc>
        <w:tc>
          <w:tcPr>
            <w:tcW w:type="dxa" w:w="1662"/>
          </w:tcPr>
          <w:p>
            <w:pPr>
              <w:jc w:val="center"/>
            </w:pPr>
            <w:r>
              <w:rPr>
                <w:rFonts w:ascii="Times New Roman" w:hAnsi="Times New Roman" w:eastAsia="宋体"/>
                <w:sz w:val="21"/>
              </w:rPr>
              <w:t>碳交易收益</w:t>
            </w:r>
          </w:p>
        </w:tc>
        <w:tc>
          <w:tcPr>
            <w:tcW w:type="dxa" w:w="1662"/>
          </w:tcPr>
          <w:p>
            <w:pPr>
              <w:jc w:val="center"/>
            </w:pPr>
            <w:r>
              <w:rPr>
                <w:rFonts w:ascii="Times New Roman" w:hAnsi="Times New Roman" w:eastAsia="宋体"/>
                <w:sz w:val="21"/>
              </w:rPr>
              <w:t>500万吨碳交易</w:t>
            </w:r>
          </w:p>
        </w:tc>
      </w:tr>
      <w:tr>
        <w:tc>
          <w:tcPr>
            <w:tcW w:type="dxa" w:w="1662"/>
          </w:tcPr>
          <w:p>
            <w:pPr>
              <w:jc w:val="center"/>
            </w:pPr>
            <w:r>
              <w:rPr>
                <w:rFonts w:ascii="Times New Roman" w:hAnsi="Times New Roman" w:eastAsia="宋体"/>
                <w:sz w:val="21"/>
              </w:rPr>
              <w:t>调峰辅助服务</w:t>
            </w:r>
          </w:p>
        </w:tc>
        <w:tc>
          <w:tcPr>
            <w:tcW w:type="dxa" w:w="1662"/>
          </w:tcPr>
          <w:p>
            <w:pPr>
              <w:jc w:val="center"/>
            </w:pPr>
            <w:r>
              <w:rPr>
                <w:rFonts w:ascii="Times New Roman" w:hAnsi="Times New Roman" w:eastAsia="宋体"/>
                <w:sz w:val="21"/>
              </w:rPr>
              <w:t>灵活性价值</w:t>
            </w:r>
          </w:p>
        </w:tc>
        <w:tc>
          <w:tcPr>
            <w:tcW w:type="dxa" w:w="1662"/>
          </w:tcPr>
          <w:p>
            <w:pPr>
              <w:jc w:val="center"/>
            </w:pPr>
            <w:r>
              <w:rPr>
                <w:rFonts w:ascii="Times New Roman" w:hAnsi="Times New Roman" w:eastAsia="宋体"/>
                <w:sz w:val="21"/>
              </w:rPr>
              <w:t>电网企业</w:t>
            </w:r>
          </w:p>
        </w:tc>
        <w:tc>
          <w:tcPr>
            <w:tcW w:type="dxa" w:w="1662"/>
          </w:tcPr>
          <w:p>
            <w:pPr>
              <w:jc w:val="center"/>
            </w:pPr>
            <w:r>
              <w:rPr>
                <w:rFonts w:ascii="Times New Roman" w:hAnsi="Times New Roman" w:eastAsia="宋体"/>
                <w:sz w:val="21"/>
              </w:rPr>
              <w:t>辅助服务分成</w:t>
            </w:r>
          </w:p>
        </w:tc>
        <w:tc>
          <w:tcPr>
            <w:tcW w:type="dxa" w:w="1662"/>
          </w:tcPr>
          <w:p>
            <w:pPr>
              <w:jc w:val="center"/>
            </w:pPr>
            <w:r>
              <w:rPr>
                <w:rFonts w:ascii="Times New Roman" w:hAnsi="Times New Roman" w:eastAsia="宋体"/>
                <w:sz w:val="21"/>
              </w:rPr>
              <w:t>年100亿千瓦时</w:t>
            </w:r>
          </w:p>
        </w:tc>
      </w:tr>
      <w:tr>
        <w:tc>
          <w:tcPr>
            <w:tcW w:type="dxa" w:w="1662"/>
          </w:tcPr>
          <w:p>
            <w:pPr>
              <w:jc w:val="center"/>
            </w:pPr>
            <w:r>
              <w:rPr>
                <w:rFonts w:ascii="Times New Roman" w:hAnsi="Times New Roman" w:eastAsia="宋体"/>
                <w:sz w:val="21"/>
              </w:rPr>
              <w:t>技术能力输出</w:t>
            </w:r>
          </w:p>
        </w:tc>
        <w:tc>
          <w:tcPr>
            <w:tcW w:type="dxa" w:w="1662"/>
          </w:tcPr>
          <w:p>
            <w:pPr>
              <w:jc w:val="center"/>
            </w:pPr>
            <w:r>
              <w:rPr>
                <w:rFonts w:ascii="Times New Roman" w:hAnsi="Times New Roman" w:eastAsia="宋体"/>
                <w:sz w:val="21"/>
              </w:rPr>
              <w:t>轻资产扩张</w:t>
            </w:r>
          </w:p>
        </w:tc>
        <w:tc>
          <w:tcPr>
            <w:tcW w:type="dxa" w:w="1662"/>
          </w:tcPr>
          <w:p>
            <w:pPr>
              <w:jc w:val="center"/>
            </w:pPr>
            <w:r>
              <w:rPr>
                <w:rFonts w:ascii="Times New Roman" w:hAnsi="Times New Roman" w:eastAsia="宋体"/>
                <w:sz w:val="21"/>
              </w:rPr>
              <w:t>行业客户</w:t>
            </w:r>
          </w:p>
        </w:tc>
        <w:tc>
          <w:tcPr>
            <w:tcW w:type="dxa" w:w="1662"/>
          </w:tcPr>
          <w:p>
            <w:pPr>
              <w:jc w:val="center"/>
            </w:pPr>
            <w:r>
              <w:rPr>
                <w:rFonts w:ascii="Times New Roman" w:hAnsi="Times New Roman" w:eastAsia="宋体"/>
                <w:sz w:val="21"/>
              </w:rPr>
              <w:t>授权许可费</w:t>
            </w:r>
          </w:p>
        </w:tc>
        <w:tc>
          <w:tcPr>
            <w:tcW w:type="dxa" w:w="1662"/>
          </w:tcPr>
          <w:p>
            <w:pPr>
              <w:jc w:val="center"/>
            </w:pPr>
            <w:r>
              <w:rPr>
                <w:rFonts w:ascii="Times New Roman" w:hAnsi="Times New Roman" w:eastAsia="宋体"/>
                <w:sz w:val="21"/>
              </w:rPr>
              <w:t>10+企业部署</w:t>
            </w:r>
          </w:p>
        </w:tc>
      </w:tr>
    </w:tbl>
    <w:p>
      <w:r>
        <w:br w:type="page"/>
      </w:r>
    </w:p>
    <w:p>
      <w:pPr>
        <w:pStyle w:val="Heading1"/>
        <w:jc w:val="left"/>
      </w:pPr>
      <w:r>
        <w:rPr>
          <w:rFonts w:ascii="Times New Roman" w:hAnsi="Times New Roman" w:eastAsia="宋体"/>
        </w:rPr>
        <w:t>六、实施路径：资源配置与保障措施</w:t>
      </w:r>
    </w:p>
    <w:p>
      <w:pPr>
        <w:pStyle w:val="Heading2"/>
        <w:jc w:val="left"/>
      </w:pPr>
      <w:r>
        <w:rPr>
          <w:rFonts w:ascii="Times New Roman" w:hAnsi="Times New Roman" w:eastAsia="宋体"/>
        </w:rPr>
        <w:t>6.1 三阶段实施路线</w:t>
      </w:r>
    </w:p>
    <w:p>
      <w:pPr>
        <w:jc w:val="center"/>
      </w:pPr>
      <w:r>
        <w:rPr>
          <w:rFonts w:ascii="Times New Roman" w:hAnsi="Times New Roman" w:eastAsia="宋体"/>
          <w:b/>
          <w:sz w:val="21"/>
        </w:rPr>
        <w:t>表14 三阶段实施路线图</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Times New Roman" w:hAnsi="Times New Roman" w:eastAsia="宋体"/>
                <w:b/>
                <w:sz w:val="21"/>
              </w:rPr>
              <w:t>阶段</w:t>
            </w:r>
          </w:p>
        </w:tc>
        <w:tc>
          <w:tcPr>
            <w:tcW w:type="dxa" w:w="1662"/>
            <w:shd w:fill="D9E2F3"/>
          </w:tcPr>
          <w:p>
            <w:pPr>
              <w:jc w:val="center"/>
            </w:pPr>
            <w:r>
              <w:rPr>
                <w:rFonts w:ascii="Times New Roman" w:hAnsi="Times New Roman" w:eastAsia="宋体"/>
                <w:b/>
                <w:sz w:val="21"/>
              </w:rPr>
              <w:t>时间</w:t>
            </w:r>
          </w:p>
        </w:tc>
        <w:tc>
          <w:tcPr>
            <w:tcW w:type="dxa" w:w="1662"/>
            <w:shd w:fill="D9E2F3"/>
          </w:tcPr>
          <w:p>
            <w:pPr>
              <w:jc w:val="center"/>
            </w:pPr>
            <w:r>
              <w:rPr>
                <w:rFonts w:ascii="Times New Roman" w:hAnsi="Times New Roman" w:eastAsia="宋体"/>
                <w:b/>
                <w:sz w:val="21"/>
              </w:rPr>
              <w:t>核心目标</w:t>
            </w:r>
          </w:p>
        </w:tc>
        <w:tc>
          <w:tcPr>
            <w:tcW w:type="dxa" w:w="1662"/>
            <w:shd w:fill="D9E2F3"/>
          </w:tcPr>
          <w:p>
            <w:pPr>
              <w:jc w:val="center"/>
            </w:pPr>
            <w:r>
              <w:rPr>
                <w:rFonts w:ascii="Times New Roman" w:hAnsi="Times New Roman" w:eastAsia="宋体"/>
                <w:b/>
                <w:sz w:val="21"/>
              </w:rPr>
              <w:t>关键里程碑</w:t>
            </w:r>
          </w:p>
        </w:tc>
        <w:tc>
          <w:tcPr>
            <w:tcW w:type="dxa" w:w="1662"/>
            <w:shd w:fill="D9E2F3"/>
          </w:tcPr>
          <w:p>
            <w:pPr>
              <w:jc w:val="center"/>
            </w:pPr>
            <w:r>
              <w:rPr>
                <w:rFonts w:ascii="Times New Roman" w:hAnsi="Times New Roman" w:eastAsia="宋体"/>
                <w:b/>
                <w:sz w:val="21"/>
              </w:rPr>
              <w:t>收入预测</w:t>
            </w:r>
          </w:p>
        </w:tc>
      </w:tr>
      <w:tr>
        <w:tc>
          <w:tcPr>
            <w:tcW w:type="dxa" w:w="1662"/>
          </w:tcPr>
          <w:p>
            <w:pPr>
              <w:jc w:val="center"/>
            </w:pPr>
            <w:r>
              <w:rPr>
                <w:rFonts w:ascii="Times New Roman" w:hAnsi="Times New Roman" w:eastAsia="宋体"/>
                <w:sz w:val="21"/>
              </w:rPr>
              <w:t>战略布局期</w:t>
            </w:r>
          </w:p>
        </w:tc>
        <w:tc>
          <w:tcPr>
            <w:tcW w:type="dxa" w:w="1662"/>
          </w:tcPr>
          <w:p>
            <w:pPr>
              <w:jc w:val="center"/>
            </w:pPr>
            <w:r>
              <w:rPr>
                <w:rFonts w:ascii="Times New Roman" w:hAnsi="Times New Roman" w:eastAsia="宋体"/>
                <w:sz w:val="21"/>
              </w:rPr>
              <w:t>2026年</w:t>
            </w:r>
          </w:p>
        </w:tc>
        <w:tc>
          <w:tcPr>
            <w:tcW w:type="dxa" w:w="1662"/>
          </w:tcPr>
          <w:p>
            <w:pPr>
              <w:jc w:val="center"/>
            </w:pPr>
            <w:r>
              <w:rPr>
                <w:rFonts w:ascii="Times New Roman" w:hAnsi="Times New Roman" w:eastAsia="宋体"/>
                <w:sz w:val="21"/>
              </w:rPr>
              <w:t>顶层设计，启动试点</w:t>
            </w:r>
          </w:p>
        </w:tc>
        <w:tc>
          <w:tcPr>
            <w:tcW w:type="dxa" w:w="1662"/>
          </w:tcPr>
          <w:p>
            <w:pPr>
              <w:jc w:val="center"/>
            </w:pPr>
            <w:r>
              <w:rPr>
                <w:rFonts w:ascii="Times New Roman" w:hAnsi="Times New Roman" w:eastAsia="宋体"/>
                <w:sz w:val="21"/>
              </w:rPr>
              <w:t>战略白皮书发布；秦山/福清试点启动</w:t>
            </w:r>
          </w:p>
        </w:tc>
        <w:tc>
          <w:tcPr>
            <w:tcW w:type="dxa" w:w="1662"/>
          </w:tcPr>
          <w:p>
            <w:pPr>
              <w:jc w:val="center"/>
            </w:pPr>
            <w:r>
              <w:rPr>
                <w:rFonts w:ascii="Times New Roman" w:hAnsi="Times New Roman" w:eastAsia="宋体"/>
                <w:sz w:val="21"/>
              </w:rPr>
              <w:t>10-15亿元</w:t>
            </w:r>
          </w:p>
        </w:tc>
      </w:tr>
      <w:tr>
        <w:tc>
          <w:tcPr>
            <w:tcW w:type="dxa" w:w="1662"/>
          </w:tcPr>
          <w:p>
            <w:pPr>
              <w:jc w:val="center"/>
            </w:pPr>
            <w:r>
              <w:rPr>
                <w:rFonts w:ascii="Times New Roman" w:hAnsi="Times New Roman" w:eastAsia="宋体"/>
                <w:sz w:val="21"/>
              </w:rPr>
              <w:t>能力形成期</w:t>
            </w:r>
          </w:p>
        </w:tc>
        <w:tc>
          <w:tcPr>
            <w:tcW w:type="dxa" w:w="1662"/>
          </w:tcPr>
          <w:p>
            <w:pPr>
              <w:jc w:val="center"/>
            </w:pPr>
            <w:r>
              <w:rPr>
                <w:rFonts w:ascii="Times New Roman" w:hAnsi="Times New Roman" w:eastAsia="宋体"/>
                <w:sz w:val="21"/>
              </w:rPr>
              <w:t>2027年</w:t>
            </w:r>
          </w:p>
        </w:tc>
        <w:tc>
          <w:tcPr>
            <w:tcW w:type="dxa" w:w="1662"/>
          </w:tcPr>
          <w:p>
            <w:pPr>
              <w:jc w:val="center"/>
            </w:pPr>
            <w:r>
              <w:rPr>
                <w:rFonts w:ascii="Times New Roman" w:hAnsi="Times New Roman" w:eastAsia="宋体"/>
                <w:sz w:val="21"/>
              </w:rPr>
              <w:t>核心能力初步形成</w:t>
            </w:r>
          </w:p>
        </w:tc>
        <w:tc>
          <w:tcPr>
            <w:tcW w:type="dxa" w:w="1662"/>
          </w:tcPr>
          <w:p>
            <w:pPr>
              <w:jc w:val="center"/>
            </w:pPr>
            <w:r>
              <w:rPr>
                <w:rFonts w:ascii="Times New Roman" w:hAnsi="Times New Roman" w:eastAsia="宋体"/>
                <w:sz w:val="21"/>
              </w:rPr>
              <w:t>示范项目运营；大模型1.0发布</w:t>
            </w:r>
          </w:p>
        </w:tc>
        <w:tc>
          <w:tcPr>
            <w:tcW w:type="dxa" w:w="1662"/>
          </w:tcPr>
          <w:p>
            <w:pPr>
              <w:jc w:val="center"/>
            </w:pPr>
            <w:r>
              <w:rPr>
                <w:rFonts w:ascii="Times New Roman" w:hAnsi="Times New Roman" w:eastAsia="宋体"/>
                <w:sz w:val="21"/>
              </w:rPr>
              <w:t>25-35亿元</w:t>
            </w:r>
          </w:p>
        </w:tc>
      </w:tr>
      <w:tr>
        <w:tc>
          <w:tcPr>
            <w:tcW w:type="dxa" w:w="1662"/>
          </w:tcPr>
          <w:p>
            <w:pPr>
              <w:jc w:val="center"/>
            </w:pPr>
            <w:r>
              <w:rPr>
                <w:rFonts w:ascii="Times New Roman" w:hAnsi="Times New Roman" w:eastAsia="宋体"/>
                <w:sz w:val="21"/>
              </w:rPr>
              <w:t>规模引领期</w:t>
            </w:r>
          </w:p>
        </w:tc>
        <w:tc>
          <w:tcPr>
            <w:tcW w:type="dxa" w:w="1662"/>
          </w:tcPr>
          <w:p>
            <w:pPr>
              <w:jc w:val="center"/>
            </w:pPr>
            <w:r>
              <w:rPr>
                <w:rFonts w:ascii="Times New Roman" w:hAnsi="Times New Roman" w:eastAsia="宋体"/>
                <w:sz w:val="21"/>
              </w:rPr>
              <w:t>2028年</w:t>
            </w:r>
          </w:p>
        </w:tc>
        <w:tc>
          <w:tcPr>
            <w:tcW w:type="dxa" w:w="1662"/>
          </w:tcPr>
          <w:p>
            <w:pPr>
              <w:jc w:val="center"/>
            </w:pPr>
            <w:r>
              <w:rPr>
                <w:rFonts w:ascii="Times New Roman" w:hAnsi="Times New Roman" w:eastAsia="宋体"/>
                <w:sz w:val="21"/>
              </w:rPr>
              <w:t>形成规模效应</w:t>
            </w:r>
          </w:p>
        </w:tc>
        <w:tc>
          <w:tcPr>
            <w:tcW w:type="dxa" w:w="1662"/>
          </w:tcPr>
          <w:p>
            <w:pPr>
              <w:jc w:val="center"/>
            </w:pPr>
            <w:r>
              <w:rPr>
                <w:rFonts w:ascii="Times New Roman" w:hAnsi="Times New Roman" w:eastAsia="宋体"/>
                <w:sz w:val="21"/>
              </w:rPr>
              <w:t>3-5个基地运营；行业标准发布</w:t>
            </w:r>
          </w:p>
        </w:tc>
        <w:tc>
          <w:tcPr>
            <w:tcW w:type="dxa" w:w="1662"/>
          </w:tcPr>
          <w:p>
            <w:pPr>
              <w:jc w:val="center"/>
            </w:pPr>
            <w:r>
              <w:rPr>
                <w:rFonts w:ascii="Times New Roman" w:hAnsi="Times New Roman" w:eastAsia="宋体"/>
                <w:sz w:val="21"/>
              </w:rPr>
              <w:t>50-70亿元</w:t>
            </w:r>
          </w:p>
        </w:tc>
      </w:tr>
      <w:tr>
        <w:tc>
          <w:tcPr>
            <w:tcW w:type="dxa" w:w="1662"/>
          </w:tcPr>
          <w:p>
            <w:pPr>
              <w:jc w:val="center"/>
            </w:pPr>
            <w:r>
              <w:rPr>
                <w:rFonts w:ascii="Times New Roman" w:hAnsi="Times New Roman" w:eastAsia="宋体"/>
                <w:sz w:val="21"/>
              </w:rPr>
              <w:t>快速发展期</w:t>
            </w:r>
          </w:p>
        </w:tc>
        <w:tc>
          <w:tcPr>
            <w:tcW w:type="dxa" w:w="1662"/>
          </w:tcPr>
          <w:p>
            <w:pPr>
              <w:jc w:val="center"/>
            </w:pPr>
            <w:r>
              <w:rPr>
                <w:rFonts w:ascii="Times New Roman" w:hAnsi="Times New Roman" w:eastAsia="宋体"/>
                <w:sz w:val="21"/>
              </w:rPr>
              <w:t>2029年</w:t>
            </w:r>
          </w:p>
        </w:tc>
        <w:tc>
          <w:tcPr>
            <w:tcW w:type="dxa" w:w="1662"/>
          </w:tcPr>
          <w:p>
            <w:pPr>
              <w:jc w:val="center"/>
            </w:pPr>
            <w:r>
              <w:rPr>
                <w:rFonts w:ascii="Times New Roman" w:hAnsi="Times New Roman" w:eastAsia="宋体"/>
                <w:sz w:val="21"/>
              </w:rPr>
              <w:t>市场快速扩张</w:t>
            </w:r>
          </w:p>
        </w:tc>
        <w:tc>
          <w:tcPr>
            <w:tcW w:type="dxa" w:w="1662"/>
          </w:tcPr>
          <w:p>
            <w:pPr>
              <w:jc w:val="center"/>
            </w:pPr>
            <w:r>
              <w:rPr>
                <w:rFonts w:ascii="Times New Roman" w:hAnsi="Times New Roman" w:eastAsia="宋体"/>
                <w:sz w:val="21"/>
              </w:rPr>
              <w:t>5-8个基地；生态伙伴30+</w:t>
            </w:r>
          </w:p>
        </w:tc>
        <w:tc>
          <w:tcPr>
            <w:tcW w:type="dxa" w:w="1662"/>
          </w:tcPr>
          <w:p>
            <w:pPr>
              <w:jc w:val="center"/>
            </w:pPr>
            <w:r>
              <w:rPr>
                <w:rFonts w:ascii="Times New Roman" w:hAnsi="Times New Roman" w:eastAsia="宋体"/>
                <w:sz w:val="21"/>
              </w:rPr>
              <w:t>80-100亿元</w:t>
            </w:r>
          </w:p>
        </w:tc>
      </w:tr>
      <w:tr>
        <w:tc>
          <w:tcPr>
            <w:tcW w:type="dxa" w:w="1662"/>
          </w:tcPr>
          <w:p>
            <w:pPr>
              <w:jc w:val="center"/>
            </w:pPr>
            <w:r>
              <w:rPr>
                <w:rFonts w:ascii="Times New Roman" w:hAnsi="Times New Roman" w:eastAsia="宋体"/>
                <w:sz w:val="21"/>
              </w:rPr>
              <w:t>成熟领先期</w:t>
            </w:r>
          </w:p>
        </w:tc>
        <w:tc>
          <w:tcPr>
            <w:tcW w:type="dxa" w:w="1662"/>
          </w:tcPr>
          <w:p>
            <w:pPr>
              <w:jc w:val="center"/>
            </w:pPr>
            <w:r>
              <w:rPr>
                <w:rFonts w:ascii="Times New Roman" w:hAnsi="Times New Roman" w:eastAsia="宋体"/>
                <w:sz w:val="21"/>
              </w:rPr>
              <w:t>2030年</w:t>
            </w:r>
          </w:p>
        </w:tc>
        <w:tc>
          <w:tcPr>
            <w:tcW w:type="dxa" w:w="1662"/>
          </w:tcPr>
          <w:p>
            <w:pPr>
              <w:jc w:val="center"/>
            </w:pPr>
            <w:r>
              <w:rPr>
                <w:rFonts w:ascii="Times New Roman" w:hAnsi="Times New Roman" w:eastAsia="宋体"/>
                <w:sz w:val="21"/>
              </w:rPr>
              <w:t>行业领先地位</w:t>
            </w:r>
          </w:p>
        </w:tc>
        <w:tc>
          <w:tcPr>
            <w:tcW w:type="dxa" w:w="1662"/>
          </w:tcPr>
          <w:p>
            <w:pPr>
              <w:jc w:val="center"/>
            </w:pPr>
            <w:r>
              <w:rPr>
                <w:rFonts w:ascii="Times New Roman" w:hAnsi="Times New Roman" w:eastAsia="宋体"/>
                <w:sz w:val="21"/>
              </w:rPr>
              <w:t>10+基地；主导3-5项国家标准</w:t>
            </w:r>
          </w:p>
        </w:tc>
        <w:tc>
          <w:tcPr>
            <w:tcW w:type="dxa" w:w="1662"/>
          </w:tcPr>
          <w:p>
            <w:pPr>
              <w:jc w:val="center"/>
            </w:pPr>
            <w:r>
              <w:rPr>
                <w:rFonts w:ascii="Times New Roman" w:hAnsi="Times New Roman" w:eastAsia="宋体"/>
                <w:sz w:val="21"/>
              </w:rPr>
              <w:t>150-200亿元</w:t>
            </w:r>
          </w:p>
        </w:tc>
      </w:tr>
    </w:tbl>
    <w:p>
      <w:pPr>
        <w:pStyle w:val="Heading2"/>
        <w:jc w:val="left"/>
      </w:pPr>
      <w:r>
        <w:rPr>
          <w:rFonts w:ascii="Times New Roman" w:hAnsi="Times New Roman" w:eastAsia="宋体"/>
        </w:rPr>
        <w:t>6.2 资源配置规划</w:t>
      </w:r>
    </w:p>
    <w:p>
      <w:pPr>
        <w:spacing w:line="360" w:lineRule="auto"/>
        <w:ind w:firstLine="420"/>
        <w:jc w:val="both"/>
      </w:pPr>
      <w:r>
        <w:rPr>
          <w:rFonts w:ascii="Times New Roman" w:hAnsi="Times New Roman" w:eastAsia="宋体"/>
          <w:b/>
          <w:sz w:val="24"/>
        </w:rPr>
        <w:t>资金投入规划（2026-2030年）</w:t>
      </w:r>
      <w:r>
        <w:rPr>
          <w:rFonts w:ascii="Times New Roman" w:hAnsi="Times New Roman" w:eastAsia="宋体"/>
          <w:sz w:val="24"/>
        </w:rPr>
      </w:r>
    </w:p>
    <w:p>
      <w:pPr>
        <w:jc w:val="center"/>
      </w:pPr>
      <w:r>
        <w:rPr>
          <w:rFonts w:ascii="Times New Roman" w:hAnsi="Times New Roman" w:eastAsia="宋体"/>
          <w:b/>
          <w:sz w:val="21"/>
        </w:rPr>
        <w:t>表15 资金投入规划</w:t>
      </w:r>
    </w:p>
    <w:tbl>
      <w:tblPr>
        <w:tblStyle w:val="TableGrid"/>
        <w:tblW w:type="auto" w:w="0"/>
        <w:tblLook w:firstColumn="1" w:firstRow="1" w:lastColumn="0" w:lastRow="0" w:noHBand="0" w:noVBand="1" w:val="04A0"/>
      </w:tblPr>
      <w:tblGrid>
        <w:gridCol w:w="2077"/>
        <w:gridCol w:w="2077"/>
        <w:gridCol w:w="2077"/>
        <w:gridCol w:w="2077"/>
      </w:tblGrid>
      <w:tr>
        <w:tc>
          <w:tcPr>
            <w:tcW w:type="dxa" w:w="2077"/>
            <w:shd w:fill="D9E2F3"/>
          </w:tcPr>
          <w:p>
            <w:pPr>
              <w:jc w:val="center"/>
            </w:pPr>
            <w:r>
              <w:rPr>
                <w:rFonts w:ascii="Times New Roman" w:hAnsi="Times New Roman" w:eastAsia="宋体"/>
                <w:b/>
                <w:sz w:val="21"/>
              </w:rPr>
              <w:t>资金来源</w:t>
            </w:r>
          </w:p>
        </w:tc>
        <w:tc>
          <w:tcPr>
            <w:tcW w:type="dxa" w:w="2077"/>
            <w:shd w:fill="D9E2F3"/>
          </w:tcPr>
          <w:p>
            <w:pPr>
              <w:jc w:val="center"/>
            </w:pPr>
            <w:r>
              <w:rPr>
                <w:rFonts w:ascii="Times New Roman" w:hAnsi="Times New Roman" w:eastAsia="宋体"/>
                <w:b/>
                <w:sz w:val="21"/>
              </w:rPr>
              <w:t>比例</w:t>
            </w:r>
          </w:p>
        </w:tc>
        <w:tc>
          <w:tcPr>
            <w:tcW w:type="dxa" w:w="2077"/>
            <w:shd w:fill="D9E2F3"/>
          </w:tcPr>
          <w:p>
            <w:pPr>
              <w:jc w:val="center"/>
            </w:pPr>
            <w:r>
              <w:rPr>
                <w:rFonts w:ascii="Times New Roman" w:hAnsi="Times New Roman" w:eastAsia="宋体"/>
                <w:b/>
                <w:sz w:val="21"/>
              </w:rPr>
              <w:t>金额（亿元）</w:t>
            </w:r>
          </w:p>
        </w:tc>
        <w:tc>
          <w:tcPr>
            <w:tcW w:type="dxa" w:w="2077"/>
            <w:shd w:fill="D9E2F3"/>
          </w:tcPr>
          <w:p>
            <w:pPr>
              <w:jc w:val="center"/>
            </w:pPr>
            <w:r>
              <w:rPr>
                <w:rFonts w:ascii="Times New Roman" w:hAnsi="Times New Roman" w:eastAsia="宋体"/>
                <w:b/>
                <w:sz w:val="21"/>
              </w:rPr>
              <w:t>主要用途</w:t>
            </w:r>
          </w:p>
        </w:tc>
      </w:tr>
      <w:tr>
        <w:tc>
          <w:tcPr>
            <w:tcW w:type="dxa" w:w="2077"/>
          </w:tcPr>
          <w:p>
            <w:pPr>
              <w:jc w:val="center"/>
            </w:pPr>
            <w:r>
              <w:rPr>
                <w:rFonts w:ascii="Times New Roman" w:hAnsi="Times New Roman" w:eastAsia="宋体"/>
                <w:sz w:val="21"/>
              </w:rPr>
              <w:t>集团自有资金</w:t>
            </w:r>
          </w:p>
        </w:tc>
        <w:tc>
          <w:tcPr>
            <w:tcW w:type="dxa" w:w="2077"/>
          </w:tcPr>
          <w:p>
            <w:pPr>
              <w:jc w:val="center"/>
            </w:pPr>
            <w:r>
              <w:rPr>
                <w:rFonts w:ascii="Times New Roman" w:hAnsi="Times New Roman" w:eastAsia="宋体"/>
                <w:sz w:val="21"/>
              </w:rPr>
              <w:t>50%</w:t>
            </w:r>
          </w:p>
        </w:tc>
        <w:tc>
          <w:tcPr>
            <w:tcW w:type="dxa" w:w="2077"/>
          </w:tcPr>
          <w:p>
            <w:pPr>
              <w:jc w:val="center"/>
            </w:pPr>
            <w:r>
              <w:rPr>
                <w:rFonts w:ascii="Times New Roman" w:hAnsi="Times New Roman" w:eastAsia="宋体"/>
                <w:sz w:val="21"/>
              </w:rPr>
              <w:t>60-85</w:t>
            </w:r>
          </w:p>
        </w:tc>
        <w:tc>
          <w:tcPr>
            <w:tcW w:type="dxa" w:w="2077"/>
          </w:tcPr>
          <w:p>
            <w:pPr>
              <w:jc w:val="center"/>
            </w:pPr>
            <w:r>
              <w:rPr>
                <w:rFonts w:ascii="Times New Roman" w:hAnsi="Times New Roman" w:eastAsia="宋体"/>
                <w:sz w:val="21"/>
              </w:rPr>
              <w:t>核心基地建设、技术研发</w:t>
            </w:r>
          </w:p>
        </w:tc>
      </w:tr>
      <w:tr>
        <w:tc>
          <w:tcPr>
            <w:tcW w:type="dxa" w:w="2077"/>
          </w:tcPr>
          <w:p>
            <w:pPr>
              <w:jc w:val="center"/>
            </w:pPr>
            <w:r>
              <w:rPr>
                <w:rFonts w:ascii="Times New Roman" w:hAnsi="Times New Roman" w:eastAsia="宋体"/>
                <w:sz w:val="21"/>
              </w:rPr>
              <w:t>政策性贷款</w:t>
            </w:r>
          </w:p>
        </w:tc>
        <w:tc>
          <w:tcPr>
            <w:tcW w:type="dxa" w:w="2077"/>
          </w:tcPr>
          <w:p>
            <w:pPr>
              <w:jc w:val="center"/>
            </w:pPr>
            <w:r>
              <w:rPr>
                <w:rFonts w:ascii="Times New Roman" w:hAnsi="Times New Roman" w:eastAsia="宋体"/>
                <w:sz w:val="21"/>
              </w:rPr>
              <w:t>20%</w:t>
            </w:r>
          </w:p>
        </w:tc>
        <w:tc>
          <w:tcPr>
            <w:tcW w:type="dxa" w:w="2077"/>
          </w:tcPr>
          <w:p>
            <w:pPr>
              <w:jc w:val="center"/>
            </w:pPr>
            <w:r>
              <w:rPr>
                <w:rFonts w:ascii="Times New Roman" w:hAnsi="Times New Roman" w:eastAsia="宋体"/>
                <w:sz w:val="21"/>
              </w:rPr>
              <w:t>24-34</w:t>
            </w:r>
          </w:p>
        </w:tc>
        <w:tc>
          <w:tcPr>
            <w:tcW w:type="dxa" w:w="2077"/>
          </w:tcPr>
          <w:p>
            <w:pPr>
              <w:jc w:val="center"/>
            </w:pPr>
            <w:r>
              <w:rPr>
                <w:rFonts w:ascii="Times New Roman" w:hAnsi="Times New Roman" w:eastAsia="宋体"/>
                <w:sz w:val="21"/>
              </w:rPr>
              <w:t>基础设施建设</w:t>
            </w:r>
          </w:p>
        </w:tc>
      </w:tr>
      <w:tr>
        <w:tc>
          <w:tcPr>
            <w:tcW w:type="dxa" w:w="2077"/>
          </w:tcPr>
          <w:p>
            <w:pPr>
              <w:jc w:val="center"/>
            </w:pPr>
            <w:r>
              <w:rPr>
                <w:rFonts w:ascii="Times New Roman" w:hAnsi="Times New Roman" w:eastAsia="宋体"/>
                <w:sz w:val="21"/>
              </w:rPr>
              <w:t>产业投资基金</w:t>
            </w:r>
          </w:p>
        </w:tc>
        <w:tc>
          <w:tcPr>
            <w:tcW w:type="dxa" w:w="2077"/>
          </w:tcPr>
          <w:p>
            <w:pPr>
              <w:jc w:val="center"/>
            </w:pPr>
            <w:r>
              <w:rPr>
                <w:rFonts w:ascii="Times New Roman" w:hAnsi="Times New Roman" w:eastAsia="宋体"/>
                <w:sz w:val="21"/>
              </w:rPr>
              <w:t>20%</w:t>
            </w:r>
          </w:p>
        </w:tc>
        <w:tc>
          <w:tcPr>
            <w:tcW w:type="dxa" w:w="2077"/>
          </w:tcPr>
          <w:p>
            <w:pPr>
              <w:jc w:val="center"/>
            </w:pPr>
            <w:r>
              <w:rPr>
                <w:rFonts w:ascii="Times New Roman" w:hAnsi="Times New Roman" w:eastAsia="宋体"/>
                <w:sz w:val="21"/>
              </w:rPr>
              <w:t>24-34</w:t>
            </w:r>
          </w:p>
        </w:tc>
        <w:tc>
          <w:tcPr>
            <w:tcW w:type="dxa" w:w="2077"/>
          </w:tcPr>
          <w:p>
            <w:pPr>
              <w:jc w:val="center"/>
            </w:pPr>
            <w:r>
              <w:rPr>
                <w:rFonts w:ascii="Times New Roman" w:hAnsi="Times New Roman" w:eastAsia="宋体"/>
                <w:sz w:val="21"/>
              </w:rPr>
              <w:t>生态伙伴投资</w:t>
            </w:r>
          </w:p>
        </w:tc>
      </w:tr>
      <w:tr>
        <w:tc>
          <w:tcPr>
            <w:tcW w:type="dxa" w:w="2077"/>
          </w:tcPr>
          <w:p>
            <w:pPr>
              <w:jc w:val="center"/>
            </w:pPr>
            <w:r>
              <w:rPr>
                <w:rFonts w:ascii="Times New Roman" w:hAnsi="Times New Roman" w:eastAsia="宋体"/>
                <w:sz w:val="21"/>
              </w:rPr>
              <w:t>市场化融资</w:t>
            </w:r>
          </w:p>
        </w:tc>
        <w:tc>
          <w:tcPr>
            <w:tcW w:type="dxa" w:w="2077"/>
          </w:tcPr>
          <w:p>
            <w:pPr>
              <w:jc w:val="center"/>
            </w:pPr>
            <w:r>
              <w:rPr>
                <w:rFonts w:ascii="Times New Roman" w:hAnsi="Times New Roman" w:eastAsia="宋体"/>
                <w:sz w:val="21"/>
              </w:rPr>
              <w:t>10%</w:t>
            </w:r>
          </w:p>
        </w:tc>
        <w:tc>
          <w:tcPr>
            <w:tcW w:type="dxa" w:w="2077"/>
          </w:tcPr>
          <w:p>
            <w:pPr>
              <w:jc w:val="center"/>
            </w:pPr>
            <w:r>
              <w:rPr>
                <w:rFonts w:ascii="Times New Roman" w:hAnsi="Times New Roman" w:eastAsia="宋体"/>
                <w:sz w:val="21"/>
              </w:rPr>
              <w:t>12-17</w:t>
            </w:r>
          </w:p>
        </w:tc>
        <w:tc>
          <w:tcPr>
            <w:tcW w:type="dxa" w:w="2077"/>
          </w:tcPr>
          <w:p>
            <w:pPr>
              <w:jc w:val="center"/>
            </w:pPr>
            <w:r>
              <w:rPr>
                <w:rFonts w:ascii="Times New Roman" w:hAnsi="Times New Roman" w:eastAsia="宋体"/>
                <w:sz w:val="21"/>
              </w:rPr>
              <w:t>运营流动资金</w:t>
            </w:r>
          </w:p>
        </w:tc>
      </w:tr>
    </w:tbl>
    <w:p>
      <w:pPr>
        <w:spacing w:line="360" w:lineRule="auto"/>
        <w:ind w:firstLine="420"/>
        <w:jc w:val="both"/>
      </w:pPr>
      <w:r>
        <w:rPr>
          <w:rFonts w:ascii="Times New Roman" w:hAnsi="Times New Roman" w:eastAsia="宋体"/>
          <w:b/>
          <w:sz w:val="24"/>
        </w:rPr>
        <w:t>人才队伍规划（2026-2030年）</w:t>
      </w:r>
      <w:r>
        <w:rPr>
          <w:rFonts w:ascii="Times New Roman" w:hAnsi="Times New Roman" w:eastAsia="宋体"/>
          <w:sz w:val="24"/>
        </w:rPr>
      </w:r>
    </w:p>
    <w:p>
      <w:pPr>
        <w:jc w:val="center"/>
      </w:pPr>
      <w:r>
        <w:rPr>
          <w:rFonts w:ascii="Times New Roman" w:hAnsi="Times New Roman" w:eastAsia="宋体"/>
          <w:b/>
          <w:sz w:val="21"/>
        </w:rPr>
        <w:t>表16 人才队伍规划</w:t>
      </w:r>
    </w:p>
    <w:tbl>
      <w:tblPr>
        <w:tblStyle w:val="TableGrid"/>
        <w:tblW w:type="auto" w:w="0"/>
        <w:tblLook w:firstColumn="1" w:firstRow="1" w:lastColumn="0" w:lastRow="0" w:noHBand="0" w:noVBand="1" w:val="04A0"/>
      </w:tblPr>
      <w:tblGrid>
        <w:gridCol w:w="2770"/>
        <w:gridCol w:w="2770"/>
        <w:gridCol w:w="2770"/>
      </w:tblGrid>
      <w:tr>
        <w:tc>
          <w:tcPr>
            <w:tcW w:type="dxa" w:w="2770"/>
            <w:shd w:fill="D9E2F3"/>
          </w:tcPr>
          <w:p>
            <w:pPr>
              <w:jc w:val="center"/>
            </w:pPr>
            <w:r>
              <w:rPr>
                <w:rFonts w:ascii="Times New Roman" w:hAnsi="Times New Roman" w:eastAsia="宋体"/>
                <w:b/>
                <w:sz w:val="21"/>
              </w:rPr>
              <w:t>人才类型</w:t>
            </w:r>
          </w:p>
        </w:tc>
        <w:tc>
          <w:tcPr>
            <w:tcW w:type="dxa" w:w="2770"/>
            <w:shd w:fill="D9E2F3"/>
          </w:tcPr>
          <w:p>
            <w:pPr>
              <w:jc w:val="center"/>
            </w:pPr>
            <w:r>
              <w:rPr>
                <w:rFonts w:ascii="Times New Roman" w:hAnsi="Times New Roman" w:eastAsia="宋体"/>
                <w:b/>
                <w:sz w:val="21"/>
              </w:rPr>
              <w:t>需求数量</w:t>
            </w:r>
          </w:p>
        </w:tc>
        <w:tc>
          <w:tcPr>
            <w:tcW w:type="dxa" w:w="2770"/>
            <w:shd w:fill="D9E2F3"/>
          </w:tcPr>
          <w:p>
            <w:pPr>
              <w:jc w:val="center"/>
            </w:pPr>
            <w:r>
              <w:rPr>
                <w:rFonts w:ascii="Times New Roman" w:hAnsi="Times New Roman" w:eastAsia="宋体"/>
                <w:b/>
                <w:sz w:val="21"/>
              </w:rPr>
              <w:t>来源渠道</w:t>
            </w:r>
          </w:p>
        </w:tc>
      </w:tr>
      <w:tr>
        <w:tc>
          <w:tcPr>
            <w:tcW w:type="dxa" w:w="2770"/>
          </w:tcPr>
          <w:p>
            <w:pPr>
              <w:jc w:val="center"/>
            </w:pPr>
            <w:r>
              <w:rPr>
                <w:rFonts w:ascii="Times New Roman" w:hAnsi="Times New Roman" w:eastAsia="宋体"/>
                <w:sz w:val="21"/>
              </w:rPr>
              <w:t>AI/大数据专家</w:t>
            </w:r>
          </w:p>
        </w:tc>
        <w:tc>
          <w:tcPr>
            <w:tcW w:type="dxa" w:w="2770"/>
          </w:tcPr>
          <w:p>
            <w:pPr>
              <w:jc w:val="center"/>
            </w:pPr>
            <w:r>
              <w:rPr>
                <w:rFonts w:ascii="Times New Roman" w:hAnsi="Times New Roman" w:eastAsia="宋体"/>
                <w:sz w:val="21"/>
              </w:rPr>
              <w:t>40人</w:t>
            </w:r>
          </w:p>
        </w:tc>
        <w:tc>
          <w:tcPr>
            <w:tcW w:type="dxa" w:w="2770"/>
          </w:tcPr>
          <w:p>
            <w:pPr>
              <w:jc w:val="center"/>
            </w:pPr>
            <w:r>
              <w:rPr>
                <w:rFonts w:ascii="Times New Roman" w:hAnsi="Times New Roman" w:eastAsia="宋体"/>
                <w:sz w:val="21"/>
              </w:rPr>
              <w:t>外部引进+内部培养</w:t>
            </w:r>
          </w:p>
        </w:tc>
      </w:tr>
      <w:tr>
        <w:tc>
          <w:tcPr>
            <w:tcW w:type="dxa" w:w="2770"/>
          </w:tcPr>
          <w:p>
            <w:pPr>
              <w:jc w:val="center"/>
            </w:pPr>
            <w:r>
              <w:rPr>
                <w:rFonts w:ascii="Times New Roman" w:hAnsi="Times New Roman" w:eastAsia="宋体"/>
                <w:sz w:val="21"/>
              </w:rPr>
              <w:t>电力系统专家</w:t>
            </w:r>
          </w:p>
        </w:tc>
        <w:tc>
          <w:tcPr>
            <w:tcW w:type="dxa" w:w="2770"/>
          </w:tcPr>
          <w:p>
            <w:pPr>
              <w:jc w:val="center"/>
            </w:pPr>
            <w:r>
              <w:rPr>
                <w:rFonts w:ascii="Times New Roman" w:hAnsi="Times New Roman" w:eastAsia="宋体"/>
                <w:sz w:val="21"/>
              </w:rPr>
              <w:t>30人</w:t>
            </w:r>
          </w:p>
        </w:tc>
        <w:tc>
          <w:tcPr>
            <w:tcW w:type="dxa" w:w="2770"/>
          </w:tcPr>
          <w:p>
            <w:pPr>
              <w:jc w:val="center"/>
            </w:pPr>
            <w:r>
              <w:rPr>
                <w:rFonts w:ascii="Times New Roman" w:hAnsi="Times New Roman" w:eastAsia="宋体"/>
                <w:sz w:val="21"/>
              </w:rPr>
              <w:t>核电系统内部调配</w:t>
            </w:r>
          </w:p>
        </w:tc>
      </w:tr>
      <w:tr>
        <w:tc>
          <w:tcPr>
            <w:tcW w:type="dxa" w:w="2770"/>
          </w:tcPr>
          <w:p>
            <w:pPr>
              <w:jc w:val="center"/>
            </w:pPr>
            <w:r>
              <w:rPr>
                <w:rFonts w:ascii="Times New Roman" w:hAnsi="Times New Roman" w:eastAsia="宋体"/>
                <w:sz w:val="21"/>
              </w:rPr>
              <w:t>碳资产专家</w:t>
            </w:r>
          </w:p>
        </w:tc>
        <w:tc>
          <w:tcPr>
            <w:tcW w:type="dxa" w:w="2770"/>
          </w:tcPr>
          <w:p>
            <w:pPr>
              <w:jc w:val="center"/>
            </w:pPr>
            <w:r>
              <w:rPr>
                <w:rFonts w:ascii="Times New Roman" w:hAnsi="Times New Roman" w:eastAsia="宋体"/>
                <w:sz w:val="21"/>
              </w:rPr>
              <w:t>20人</w:t>
            </w:r>
          </w:p>
        </w:tc>
        <w:tc>
          <w:tcPr>
            <w:tcW w:type="dxa" w:w="2770"/>
          </w:tcPr>
          <w:p>
            <w:pPr>
              <w:jc w:val="center"/>
            </w:pPr>
            <w:r>
              <w:rPr>
                <w:rFonts w:ascii="Times New Roman" w:hAnsi="Times New Roman" w:eastAsia="宋体"/>
                <w:sz w:val="21"/>
              </w:rPr>
              <w:t>外部引进</w:t>
            </w:r>
          </w:p>
        </w:tc>
      </w:tr>
      <w:tr>
        <w:tc>
          <w:tcPr>
            <w:tcW w:type="dxa" w:w="2770"/>
          </w:tcPr>
          <w:p>
            <w:pPr>
              <w:jc w:val="center"/>
            </w:pPr>
            <w:r>
              <w:rPr>
                <w:rFonts w:ascii="Times New Roman" w:hAnsi="Times New Roman" w:eastAsia="宋体"/>
                <w:sz w:val="21"/>
              </w:rPr>
              <w:t>复合型人才</w:t>
            </w:r>
          </w:p>
        </w:tc>
        <w:tc>
          <w:tcPr>
            <w:tcW w:type="dxa" w:w="2770"/>
          </w:tcPr>
          <w:p>
            <w:pPr>
              <w:jc w:val="center"/>
            </w:pPr>
            <w:r>
              <w:rPr>
                <w:rFonts w:ascii="Times New Roman" w:hAnsi="Times New Roman" w:eastAsia="宋体"/>
                <w:sz w:val="21"/>
              </w:rPr>
              <w:t>75人</w:t>
            </w:r>
          </w:p>
        </w:tc>
        <w:tc>
          <w:tcPr>
            <w:tcW w:type="dxa" w:w="2770"/>
          </w:tcPr>
          <w:p>
            <w:pPr>
              <w:jc w:val="center"/>
            </w:pPr>
            <w:r>
              <w:rPr>
                <w:rFonts w:ascii="Times New Roman" w:hAnsi="Times New Roman" w:eastAsia="宋体"/>
                <w:sz w:val="21"/>
              </w:rPr>
              <w:t>综合培养</w:t>
            </w:r>
          </w:p>
        </w:tc>
      </w:tr>
    </w:tbl>
    <w:p>
      <w:pPr>
        <w:pStyle w:val="Heading2"/>
        <w:jc w:val="left"/>
      </w:pPr>
      <w:r>
        <w:rPr>
          <w:rFonts w:ascii="Times New Roman" w:hAnsi="Times New Roman" w:eastAsia="宋体"/>
        </w:rPr>
        <w:t>6.3 风险评估与防控</w:t>
      </w:r>
    </w:p>
    <w:p>
      <w:pPr>
        <w:jc w:val="center"/>
      </w:pPr>
      <w:r>
        <w:rPr>
          <w:rFonts w:ascii="Times New Roman" w:hAnsi="Times New Roman" w:eastAsia="宋体"/>
          <w:b/>
          <w:sz w:val="21"/>
        </w:rPr>
        <w:t>表17 风险评估与防控措施</w:t>
      </w:r>
    </w:p>
    <w:tbl>
      <w:tblPr>
        <w:tblStyle w:val="TableGrid"/>
        <w:tblW w:type="auto" w:w="0"/>
        <w:tblLook w:firstColumn="1" w:firstRow="1" w:lastColumn="0" w:lastRow="0" w:noHBand="0" w:noVBand="1" w:val="04A0"/>
      </w:tblPr>
      <w:tblGrid>
        <w:gridCol w:w="2077"/>
        <w:gridCol w:w="2077"/>
        <w:gridCol w:w="2077"/>
        <w:gridCol w:w="2077"/>
      </w:tblGrid>
      <w:tr>
        <w:tc>
          <w:tcPr>
            <w:tcW w:type="dxa" w:w="2077"/>
            <w:shd w:fill="D9E2F3"/>
          </w:tcPr>
          <w:p>
            <w:pPr>
              <w:jc w:val="center"/>
            </w:pPr>
            <w:r>
              <w:rPr>
                <w:rFonts w:ascii="Times New Roman" w:hAnsi="Times New Roman" w:eastAsia="宋体"/>
                <w:b/>
                <w:sz w:val="21"/>
              </w:rPr>
              <w:t>风险类型</w:t>
            </w:r>
          </w:p>
        </w:tc>
        <w:tc>
          <w:tcPr>
            <w:tcW w:type="dxa" w:w="2077"/>
            <w:shd w:fill="D9E2F3"/>
          </w:tcPr>
          <w:p>
            <w:pPr>
              <w:jc w:val="center"/>
            </w:pPr>
            <w:r>
              <w:rPr>
                <w:rFonts w:ascii="Times New Roman" w:hAnsi="Times New Roman" w:eastAsia="宋体"/>
                <w:b/>
                <w:sz w:val="21"/>
              </w:rPr>
              <w:t>发生概率</w:t>
            </w:r>
          </w:p>
        </w:tc>
        <w:tc>
          <w:tcPr>
            <w:tcW w:type="dxa" w:w="2077"/>
            <w:shd w:fill="D9E2F3"/>
          </w:tcPr>
          <w:p>
            <w:pPr>
              <w:jc w:val="center"/>
            </w:pPr>
            <w:r>
              <w:rPr>
                <w:rFonts w:ascii="Times New Roman" w:hAnsi="Times New Roman" w:eastAsia="宋体"/>
                <w:b/>
                <w:sz w:val="21"/>
              </w:rPr>
              <w:t>影响程度</w:t>
            </w:r>
          </w:p>
        </w:tc>
        <w:tc>
          <w:tcPr>
            <w:tcW w:type="dxa" w:w="2077"/>
            <w:shd w:fill="D9E2F3"/>
          </w:tcPr>
          <w:p>
            <w:pPr>
              <w:jc w:val="center"/>
            </w:pPr>
            <w:r>
              <w:rPr>
                <w:rFonts w:ascii="Times New Roman" w:hAnsi="Times New Roman" w:eastAsia="宋体"/>
                <w:b/>
                <w:sz w:val="21"/>
              </w:rPr>
              <w:t>防控措施</w:t>
            </w:r>
          </w:p>
        </w:tc>
      </w:tr>
      <w:tr>
        <w:tc>
          <w:tcPr>
            <w:tcW w:type="dxa" w:w="2077"/>
          </w:tcPr>
          <w:p>
            <w:pPr>
              <w:jc w:val="center"/>
            </w:pPr>
            <w:r>
              <w:rPr>
                <w:rFonts w:ascii="Times New Roman" w:hAnsi="Times New Roman" w:eastAsia="宋体"/>
                <w:sz w:val="21"/>
              </w:rPr>
              <w:t>技术风险</w:t>
            </w:r>
          </w:p>
        </w:tc>
        <w:tc>
          <w:tcPr>
            <w:tcW w:type="dxa" w:w="2077"/>
          </w:tcPr>
          <w:p>
            <w:pPr>
              <w:jc w:val="center"/>
            </w:pPr>
            <w:r>
              <w:rPr>
                <w:rFonts w:ascii="Times New Roman" w:hAnsi="Times New Roman" w:eastAsia="宋体"/>
                <w:sz w:val="21"/>
              </w:rPr>
              <w:t>中</w:t>
            </w:r>
          </w:p>
        </w:tc>
        <w:tc>
          <w:tcPr>
            <w:tcW w:type="dxa" w:w="2077"/>
          </w:tcPr>
          <w:p>
            <w:pPr>
              <w:jc w:val="center"/>
            </w:pPr>
            <w:r>
              <w:rPr>
                <w:rFonts w:ascii="Times New Roman" w:hAnsi="Times New Roman" w:eastAsia="宋体"/>
                <w:sz w:val="21"/>
              </w:rPr>
              <w:t>高</w:t>
            </w:r>
          </w:p>
        </w:tc>
        <w:tc>
          <w:tcPr>
            <w:tcW w:type="dxa" w:w="2077"/>
          </w:tcPr>
          <w:p>
            <w:pPr>
              <w:jc w:val="center"/>
            </w:pPr>
            <w:r>
              <w:rPr>
                <w:rFonts w:ascii="Times New Roman" w:hAnsi="Times New Roman" w:eastAsia="宋体"/>
                <w:sz w:val="21"/>
              </w:rPr>
              <w:t>产学研合作；技术储备</w:t>
            </w:r>
          </w:p>
        </w:tc>
      </w:tr>
      <w:tr>
        <w:tc>
          <w:tcPr>
            <w:tcW w:type="dxa" w:w="2077"/>
          </w:tcPr>
          <w:p>
            <w:pPr>
              <w:jc w:val="center"/>
            </w:pPr>
            <w:r>
              <w:rPr>
                <w:rFonts w:ascii="Times New Roman" w:hAnsi="Times New Roman" w:eastAsia="宋体"/>
                <w:sz w:val="21"/>
              </w:rPr>
              <w:t>市场风险</w:t>
            </w:r>
          </w:p>
        </w:tc>
        <w:tc>
          <w:tcPr>
            <w:tcW w:type="dxa" w:w="2077"/>
          </w:tcPr>
          <w:p>
            <w:pPr>
              <w:jc w:val="center"/>
            </w:pPr>
            <w:r>
              <w:rPr>
                <w:rFonts w:ascii="Times New Roman" w:hAnsi="Times New Roman" w:eastAsia="宋体"/>
                <w:sz w:val="21"/>
              </w:rPr>
              <w:t>低</w:t>
            </w:r>
          </w:p>
        </w:tc>
        <w:tc>
          <w:tcPr>
            <w:tcW w:type="dxa" w:w="2077"/>
          </w:tcPr>
          <w:p>
            <w:pPr>
              <w:jc w:val="center"/>
            </w:pPr>
            <w:r>
              <w:rPr>
                <w:rFonts w:ascii="Times New Roman" w:hAnsi="Times New Roman" w:eastAsia="宋体"/>
                <w:sz w:val="21"/>
              </w:rPr>
              <w:t>中</w:t>
            </w:r>
          </w:p>
        </w:tc>
        <w:tc>
          <w:tcPr>
            <w:tcW w:type="dxa" w:w="2077"/>
          </w:tcPr>
          <w:p>
            <w:pPr>
              <w:jc w:val="center"/>
            </w:pPr>
            <w:r>
              <w:rPr>
                <w:rFonts w:ascii="Times New Roman" w:hAnsi="Times New Roman" w:eastAsia="宋体"/>
                <w:sz w:val="21"/>
              </w:rPr>
              <w:t>战略合作锁定；灵活调整</w:t>
            </w:r>
          </w:p>
        </w:tc>
      </w:tr>
      <w:tr>
        <w:tc>
          <w:tcPr>
            <w:tcW w:type="dxa" w:w="2077"/>
          </w:tcPr>
          <w:p>
            <w:pPr>
              <w:jc w:val="center"/>
            </w:pPr>
            <w:r>
              <w:rPr>
                <w:rFonts w:ascii="Times New Roman" w:hAnsi="Times New Roman" w:eastAsia="宋体"/>
                <w:sz w:val="21"/>
              </w:rPr>
              <w:t>政策风险</w:t>
            </w:r>
          </w:p>
        </w:tc>
        <w:tc>
          <w:tcPr>
            <w:tcW w:type="dxa" w:w="2077"/>
          </w:tcPr>
          <w:p>
            <w:pPr>
              <w:jc w:val="center"/>
            </w:pPr>
            <w:r>
              <w:rPr>
                <w:rFonts w:ascii="Times New Roman" w:hAnsi="Times New Roman" w:eastAsia="宋体"/>
                <w:sz w:val="21"/>
              </w:rPr>
              <w:t>中</w:t>
            </w:r>
          </w:p>
        </w:tc>
        <w:tc>
          <w:tcPr>
            <w:tcW w:type="dxa" w:w="2077"/>
          </w:tcPr>
          <w:p>
            <w:pPr>
              <w:jc w:val="center"/>
            </w:pPr>
            <w:r>
              <w:rPr>
                <w:rFonts w:ascii="Times New Roman" w:hAnsi="Times New Roman" w:eastAsia="宋体"/>
                <w:sz w:val="21"/>
              </w:rPr>
              <w:t>中</w:t>
            </w:r>
          </w:p>
        </w:tc>
        <w:tc>
          <w:tcPr>
            <w:tcW w:type="dxa" w:w="2077"/>
          </w:tcPr>
          <w:p>
            <w:pPr>
              <w:jc w:val="center"/>
            </w:pPr>
            <w:r>
              <w:rPr>
                <w:rFonts w:ascii="Times New Roman" w:hAnsi="Times New Roman" w:eastAsia="宋体"/>
                <w:sz w:val="21"/>
              </w:rPr>
              <w:t>密切跟踪；预案准备</w:t>
            </w:r>
          </w:p>
        </w:tc>
      </w:tr>
      <w:tr>
        <w:tc>
          <w:tcPr>
            <w:tcW w:type="dxa" w:w="2077"/>
          </w:tcPr>
          <w:p>
            <w:pPr>
              <w:jc w:val="center"/>
            </w:pPr>
            <w:r>
              <w:rPr>
                <w:rFonts w:ascii="Times New Roman" w:hAnsi="Times New Roman" w:eastAsia="宋体"/>
                <w:sz w:val="21"/>
              </w:rPr>
              <w:t>竞争风险</w:t>
            </w:r>
          </w:p>
        </w:tc>
        <w:tc>
          <w:tcPr>
            <w:tcW w:type="dxa" w:w="2077"/>
          </w:tcPr>
          <w:p>
            <w:pPr>
              <w:jc w:val="center"/>
            </w:pPr>
            <w:r>
              <w:rPr>
                <w:rFonts w:ascii="Times New Roman" w:hAnsi="Times New Roman" w:eastAsia="宋体"/>
                <w:sz w:val="21"/>
              </w:rPr>
              <w:t>高</w:t>
            </w:r>
          </w:p>
        </w:tc>
        <w:tc>
          <w:tcPr>
            <w:tcW w:type="dxa" w:w="2077"/>
          </w:tcPr>
          <w:p>
            <w:pPr>
              <w:jc w:val="center"/>
            </w:pPr>
            <w:r>
              <w:rPr>
                <w:rFonts w:ascii="Times New Roman" w:hAnsi="Times New Roman" w:eastAsia="宋体"/>
                <w:sz w:val="21"/>
              </w:rPr>
              <w:t>中</w:t>
            </w:r>
          </w:p>
        </w:tc>
        <w:tc>
          <w:tcPr>
            <w:tcW w:type="dxa" w:w="2077"/>
          </w:tcPr>
          <w:p>
            <w:pPr>
              <w:jc w:val="center"/>
            </w:pPr>
            <w:r>
              <w:rPr>
                <w:rFonts w:ascii="Times New Roman" w:hAnsi="Times New Roman" w:eastAsia="宋体"/>
                <w:sz w:val="21"/>
              </w:rPr>
              <w:t>加速布局；标准引领</w:t>
            </w:r>
          </w:p>
        </w:tc>
      </w:tr>
      <w:tr>
        <w:tc>
          <w:tcPr>
            <w:tcW w:type="dxa" w:w="2077"/>
          </w:tcPr>
          <w:p>
            <w:pPr>
              <w:jc w:val="center"/>
            </w:pPr>
            <w:r>
              <w:rPr>
                <w:rFonts w:ascii="Times New Roman" w:hAnsi="Times New Roman" w:eastAsia="宋体"/>
                <w:sz w:val="21"/>
              </w:rPr>
              <w:t>安全风险</w:t>
            </w:r>
          </w:p>
        </w:tc>
        <w:tc>
          <w:tcPr>
            <w:tcW w:type="dxa" w:w="2077"/>
          </w:tcPr>
          <w:p>
            <w:pPr>
              <w:jc w:val="center"/>
            </w:pPr>
            <w:r>
              <w:rPr>
                <w:rFonts w:ascii="Times New Roman" w:hAnsi="Times New Roman" w:eastAsia="宋体"/>
                <w:sz w:val="21"/>
              </w:rPr>
              <w:t>极低</w:t>
            </w:r>
          </w:p>
        </w:tc>
        <w:tc>
          <w:tcPr>
            <w:tcW w:type="dxa" w:w="2077"/>
          </w:tcPr>
          <w:p>
            <w:pPr>
              <w:jc w:val="center"/>
            </w:pPr>
            <w:r>
              <w:rPr>
                <w:rFonts w:ascii="Times New Roman" w:hAnsi="Times New Roman" w:eastAsia="宋体"/>
                <w:sz w:val="21"/>
              </w:rPr>
              <w:t>极高</w:t>
            </w:r>
          </w:p>
        </w:tc>
        <w:tc>
          <w:tcPr>
            <w:tcW w:type="dxa" w:w="2077"/>
          </w:tcPr>
          <w:p>
            <w:pPr>
              <w:jc w:val="center"/>
            </w:pPr>
            <w:r>
              <w:rPr>
                <w:rFonts w:ascii="Times New Roman" w:hAnsi="Times New Roman" w:eastAsia="宋体"/>
                <w:sz w:val="21"/>
              </w:rPr>
              <w:t>严格核安全规范</w:t>
            </w:r>
          </w:p>
        </w:tc>
      </w:tr>
    </w:tbl>
    <w:p>
      <w:r>
        <w:br w:type="page"/>
      </w:r>
    </w:p>
    <w:p>
      <w:pPr>
        <w:pStyle w:val="Heading1"/>
        <w:jc w:val="left"/>
      </w:pPr>
      <w:r>
        <w:rPr>
          <w:rFonts w:ascii="Times New Roman" w:hAnsi="Times New Roman" w:eastAsia="宋体"/>
        </w:rPr>
        <w:t>七、前瞻性研究工作规划</w:t>
      </w:r>
    </w:p>
    <w:p>
      <w:pPr>
        <w:pStyle w:val="Heading2"/>
        <w:jc w:val="left"/>
      </w:pPr>
      <w:r>
        <w:rPr>
          <w:rFonts w:ascii="Times New Roman" w:hAnsi="Times New Roman" w:eastAsia="宋体"/>
        </w:rPr>
        <w:t>7.1 前瞻性研究的战略定位</w:t>
      </w:r>
    </w:p>
    <w:p>
      <w:pPr>
        <w:spacing w:line="360" w:lineRule="auto"/>
        <w:ind w:firstLine="420"/>
        <w:jc w:val="both"/>
      </w:pPr>
      <w:r>
        <w:rPr>
          <w:rFonts w:ascii="Times New Roman" w:hAnsi="Times New Roman" w:eastAsia="宋体"/>
          <w:sz w:val="24"/>
        </w:rPr>
        <w:t>前瞻性研究是中核集团电算协同业务的核心驱动力。通过技术预研、标准引领、生态构建三大路径，为集团在未来算力竞争中占据有利地位奠定坚实基础。</w:t>
      </w:r>
    </w:p>
    <w:p>
      <w:pPr>
        <w:pStyle w:val="Heading2"/>
        <w:jc w:val="left"/>
      </w:pPr>
      <w:r>
        <w:rPr>
          <w:rFonts w:ascii="Times New Roman" w:hAnsi="Times New Roman" w:eastAsia="宋体"/>
        </w:rPr>
        <w:t>7.2 前瞻性研究组织架构</w:t>
      </w:r>
    </w:p>
    <w:p>
      <w:pPr>
        <w:jc w:val="center"/>
      </w:pPr>
      <w:r>
        <w:rPr>
          <w:rFonts w:ascii="Times New Roman" w:hAnsi="Times New Roman" w:eastAsia="宋体"/>
          <w:b/>
          <w:sz w:val="21"/>
        </w:rPr>
        <w:t>表18 前瞻性研究组织架构</w:t>
      </w:r>
    </w:p>
    <w:tbl>
      <w:tblPr>
        <w:tblStyle w:val="TableGrid"/>
        <w:tblW w:type="auto" w:w="0"/>
        <w:tblLook w:firstColumn="1" w:firstRow="1" w:lastColumn="0" w:lastRow="0" w:noHBand="0" w:noVBand="1" w:val="04A0"/>
      </w:tblPr>
      <w:tblGrid>
        <w:gridCol w:w="2077"/>
        <w:gridCol w:w="2077"/>
        <w:gridCol w:w="2077"/>
        <w:gridCol w:w="2077"/>
      </w:tblGrid>
      <w:tr>
        <w:tc>
          <w:tcPr>
            <w:tcW w:type="dxa" w:w="2077"/>
            <w:shd w:fill="D9E2F3"/>
          </w:tcPr>
          <w:p>
            <w:pPr>
              <w:jc w:val="center"/>
            </w:pPr>
            <w:r>
              <w:rPr>
                <w:rFonts w:ascii="Times New Roman" w:hAnsi="Times New Roman" w:eastAsia="宋体"/>
                <w:b/>
                <w:sz w:val="21"/>
              </w:rPr>
              <w:t>机构设置</w:t>
            </w:r>
          </w:p>
        </w:tc>
        <w:tc>
          <w:tcPr>
            <w:tcW w:type="dxa" w:w="2077"/>
            <w:shd w:fill="D9E2F3"/>
          </w:tcPr>
          <w:p>
            <w:pPr>
              <w:jc w:val="center"/>
            </w:pPr>
            <w:r>
              <w:rPr>
                <w:rFonts w:ascii="Times New Roman" w:hAnsi="Times New Roman" w:eastAsia="宋体"/>
                <w:b/>
                <w:sz w:val="21"/>
              </w:rPr>
              <w:t>核心职能</w:t>
            </w:r>
          </w:p>
        </w:tc>
        <w:tc>
          <w:tcPr>
            <w:tcW w:type="dxa" w:w="2077"/>
            <w:shd w:fill="D9E2F3"/>
          </w:tcPr>
          <w:p>
            <w:pPr>
              <w:jc w:val="center"/>
            </w:pPr>
            <w:r>
              <w:rPr>
                <w:rFonts w:ascii="Times New Roman" w:hAnsi="Times New Roman" w:eastAsia="宋体"/>
                <w:b/>
                <w:sz w:val="21"/>
              </w:rPr>
              <w:t>人员规模</w:t>
            </w:r>
          </w:p>
        </w:tc>
        <w:tc>
          <w:tcPr>
            <w:tcW w:type="dxa" w:w="2077"/>
            <w:shd w:fill="D9E2F3"/>
          </w:tcPr>
          <w:p>
            <w:pPr>
              <w:jc w:val="center"/>
            </w:pPr>
            <w:r>
              <w:rPr>
                <w:rFonts w:ascii="Times New Roman" w:hAnsi="Times New Roman" w:eastAsia="宋体"/>
                <w:b/>
                <w:sz w:val="21"/>
              </w:rPr>
              <w:t>牵头单位</w:t>
            </w:r>
          </w:p>
        </w:tc>
      </w:tr>
      <w:tr>
        <w:tc>
          <w:tcPr>
            <w:tcW w:type="dxa" w:w="2077"/>
          </w:tcPr>
          <w:p>
            <w:pPr>
              <w:jc w:val="center"/>
            </w:pPr>
            <w:r>
              <w:rPr>
                <w:rFonts w:ascii="Times New Roman" w:hAnsi="Times New Roman" w:eastAsia="宋体"/>
                <w:sz w:val="21"/>
              </w:rPr>
              <w:t>电算协同研究院</w:t>
            </w:r>
          </w:p>
        </w:tc>
        <w:tc>
          <w:tcPr>
            <w:tcW w:type="dxa" w:w="2077"/>
          </w:tcPr>
          <w:p>
            <w:pPr>
              <w:jc w:val="center"/>
            </w:pPr>
            <w:r>
              <w:rPr>
                <w:rFonts w:ascii="Times New Roman" w:hAnsi="Times New Roman" w:eastAsia="宋体"/>
                <w:sz w:val="21"/>
              </w:rPr>
              <w:t>统筹集团电算协同前瞻性研究</w:t>
            </w:r>
          </w:p>
        </w:tc>
        <w:tc>
          <w:tcPr>
            <w:tcW w:type="dxa" w:w="2077"/>
          </w:tcPr>
          <w:p>
            <w:pPr>
              <w:jc w:val="center"/>
            </w:pPr>
            <w:r>
              <w:rPr>
                <w:rFonts w:ascii="Times New Roman" w:hAnsi="Times New Roman" w:eastAsia="宋体"/>
                <w:sz w:val="21"/>
              </w:rPr>
              <w:t>50-80人</w:t>
            </w:r>
          </w:p>
        </w:tc>
        <w:tc>
          <w:tcPr>
            <w:tcW w:type="dxa" w:w="2077"/>
          </w:tcPr>
          <w:p>
            <w:pPr>
              <w:jc w:val="center"/>
            </w:pPr>
            <w:r>
              <w:rPr>
                <w:rFonts w:ascii="Times New Roman" w:hAnsi="Times New Roman" w:eastAsia="宋体"/>
                <w:sz w:val="21"/>
              </w:rPr>
              <w:t>集团科技部</w:t>
            </w:r>
          </w:p>
        </w:tc>
      </w:tr>
      <w:tr>
        <w:tc>
          <w:tcPr>
            <w:tcW w:type="dxa" w:w="2077"/>
          </w:tcPr>
          <w:p>
            <w:pPr>
              <w:jc w:val="center"/>
            </w:pPr>
            <w:r>
              <w:rPr>
                <w:rFonts w:ascii="Times New Roman" w:hAnsi="Times New Roman" w:eastAsia="宋体"/>
                <w:sz w:val="21"/>
              </w:rPr>
              <w:t>数字孪生研究中心</w:t>
            </w:r>
          </w:p>
        </w:tc>
        <w:tc>
          <w:tcPr>
            <w:tcW w:type="dxa" w:w="2077"/>
          </w:tcPr>
          <w:p>
            <w:pPr>
              <w:jc w:val="center"/>
            </w:pPr>
            <w:r>
              <w:rPr>
                <w:rFonts w:ascii="Times New Roman" w:hAnsi="Times New Roman" w:eastAsia="宋体"/>
                <w:sz w:val="21"/>
              </w:rPr>
              <w:t>核电数字孪生技术研发</w:t>
            </w:r>
          </w:p>
        </w:tc>
        <w:tc>
          <w:tcPr>
            <w:tcW w:type="dxa" w:w="2077"/>
          </w:tcPr>
          <w:p>
            <w:pPr>
              <w:jc w:val="center"/>
            </w:pPr>
            <w:r>
              <w:rPr>
                <w:rFonts w:ascii="Times New Roman" w:hAnsi="Times New Roman" w:eastAsia="宋体"/>
                <w:sz w:val="21"/>
              </w:rPr>
              <w:t>15-20人</w:t>
            </w:r>
          </w:p>
        </w:tc>
        <w:tc>
          <w:tcPr>
            <w:tcW w:type="dxa" w:w="2077"/>
          </w:tcPr>
          <w:p>
            <w:pPr>
              <w:jc w:val="center"/>
            </w:pPr>
            <w:r>
              <w:rPr>
                <w:rFonts w:ascii="Times New Roman" w:hAnsi="Times New Roman" w:eastAsia="宋体"/>
                <w:sz w:val="21"/>
              </w:rPr>
              <w:t>核电运行研究院</w:t>
            </w:r>
          </w:p>
        </w:tc>
      </w:tr>
      <w:tr>
        <w:tc>
          <w:tcPr>
            <w:tcW w:type="dxa" w:w="2077"/>
          </w:tcPr>
          <w:p>
            <w:pPr>
              <w:jc w:val="center"/>
            </w:pPr>
            <w:r>
              <w:rPr>
                <w:rFonts w:ascii="Times New Roman" w:hAnsi="Times New Roman" w:eastAsia="宋体"/>
                <w:sz w:val="21"/>
              </w:rPr>
              <w:t>具身智能研究中心</w:t>
            </w:r>
          </w:p>
        </w:tc>
        <w:tc>
          <w:tcPr>
            <w:tcW w:type="dxa" w:w="2077"/>
          </w:tcPr>
          <w:p>
            <w:pPr>
              <w:jc w:val="center"/>
            </w:pPr>
            <w:r>
              <w:rPr>
                <w:rFonts w:ascii="Times New Roman" w:hAnsi="Times New Roman" w:eastAsia="宋体"/>
                <w:sz w:val="21"/>
              </w:rPr>
              <w:t>核电具身智能技术研发</w:t>
            </w:r>
          </w:p>
        </w:tc>
        <w:tc>
          <w:tcPr>
            <w:tcW w:type="dxa" w:w="2077"/>
          </w:tcPr>
          <w:p>
            <w:pPr>
              <w:jc w:val="center"/>
            </w:pPr>
            <w:r>
              <w:rPr>
                <w:rFonts w:ascii="Times New Roman" w:hAnsi="Times New Roman" w:eastAsia="宋体"/>
                <w:sz w:val="21"/>
              </w:rPr>
              <w:t>15-20人</w:t>
            </w:r>
          </w:p>
        </w:tc>
        <w:tc>
          <w:tcPr>
            <w:tcW w:type="dxa" w:w="2077"/>
          </w:tcPr>
          <w:p>
            <w:pPr>
              <w:jc w:val="center"/>
            </w:pPr>
            <w:r>
              <w:rPr>
                <w:rFonts w:ascii="Times New Roman" w:hAnsi="Times New Roman" w:eastAsia="宋体"/>
                <w:sz w:val="21"/>
              </w:rPr>
              <w:t>核电运行研究院</w:t>
            </w:r>
          </w:p>
        </w:tc>
      </w:tr>
      <w:tr>
        <w:tc>
          <w:tcPr>
            <w:tcW w:type="dxa" w:w="2077"/>
          </w:tcPr>
          <w:p>
            <w:pPr>
              <w:jc w:val="center"/>
            </w:pPr>
            <w:r>
              <w:rPr>
                <w:rFonts w:ascii="Times New Roman" w:hAnsi="Times New Roman" w:eastAsia="宋体"/>
                <w:sz w:val="21"/>
              </w:rPr>
              <w:t>电力大模型研究中心</w:t>
            </w:r>
          </w:p>
        </w:tc>
        <w:tc>
          <w:tcPr>
            <w:tcW w:type="dxa" w:w="2077"/>
          </w:tcPr>
          <w:p>
            <w:pPr>
              <w:jc w:val="center"/>
            </w:pPr>
            <w:r>
              <w:rPr>
                <w:rFonts w:ascii="Times New Roman" w:hAnsi="Times New Roman" w:eastAsia="宋体"/>
                <w:sz w:val="21"/>
              </w:rPr>
              <w:t>电力大模型研发与应用</w:t>
            </w:r>
          </w:p>
        </w:tc>
        <w:tc>
          <w:tcPr>
            <w:tcW w:type="dxa" w:w="2077"/>
          </w:tcPr>
          <w:p>
            <w:pPr>
              <w:jc w:val="center"/>
            </w:pPr>
            <w:r>
              <w:rPr>
                <w:rFonts w:ascii="Times New Roman" w:hAnsi="Times New Roman" w:eastAsia="宋体"/>
                <w:sz w:val="21"/>
              </w:rPr>
              <w:t>20-30人</w:t>
            </w:r>
          </w:p>
        </w:tc>
        <w:tc>
          <w:tcPr>
            <w:tcW w:type="dxa" w:w="2077"/>
          </w:tcPr>
          <w:p>
            <w:pPr>
              <w:jc w:val="center"/>
            </w:pPr>
            <w:r>
              <w:rPr>
                <w:rFonts w:ascii="Times New Roman" w:hAnsi="Times New Roman" w:eastAsia="宋体"/>
                <w:sz w:val="21"/>
              </w:rPr>
              <w:t>同方股份</w:t>
            </w:r>
          </w:p>
        </w:tc>
      </w:tr>
      <w:tr>
        <w:tc>
          <w:tcPr>
            <w:tcW w:type="dxa" w:w="2077"/>
          </w:tcPr>
          <w:p>
            <w:pPr>
              <w:jc w:val="center"/>
            </w:pPr>
            <w:r>
              <w:rPr>
                <w:rFonts w:ascii="Times New Roman" w:hAnsi="Times New Roman" w:eastAsia="宋体"/>
                <w:sz w:val="21"/>
              </w:rPr>
              <w:t>量子计算实验室</w:t>
            </w:r>
          </w:p>
        </w:tc>
        <w:tc>
          <w:tcPr>
            <w:tcW w:type="dxa" w:w="2077"/>
          </w:tcPr>
          <w:p>
            <w:pPr>
              <w:jc w:val="center"/>
            </w:pPr>
            <w:r>
              <w:rPr>
                <w:rFonts w:ascii="Times New Roman" w:hAnsi="Times New Roman" w:eastAsia="宋体"/>
                <w:sz w:val="21"/>
              </w:rPr>
              <w:t>量子计算应用研究</w:t>
            </w:r>
          </w:p>
        </w:tc>
        <w:tc>
          <w:tcPr>
            <w:tcW w:type="dxa" w:w="2077"/>
          </w:tcPr>
          <w:p>
            <w:pPr>
              <w:jc w:val="center"/>
            </w:pPr>
            <w:r>
              <w:rPr>
                <w:rFonts w:ascii="Times New Roman" w:hAnsi="Times New Roman" w:eastAsia="宋体"/>
                <w:sz w:val="21"/>
              </w:rPr>
              <w:t>10-15人</w:t>
            </w:r>
          </w:p>
        </w:tc>
        <w:tc>
          <w:tcPr>
            <w:tcW w:type="dxa" w:w="2077"/>
          </w:tcPr>
          <w:p>
            <w:pPr>
              <w:jc w:val="center"/>
            </w:pPr>
            <w:r>
              <w:rPr>
                <w:rFonts w:ascii="Times New Roman" w:hAnsi="Times New Roman" w:eastAsia="宋体"/>
                <w:sz w:val="21"/>
              </w:rPr>
              <w:t>集团战略研究院</w:t>
            </w:r>
          </w:p>
        </w:tc>
      </w:tr>
    </w:tbl>
    <w:p>
      <w:pPr>
        <w:pStyle w:val="Heading2"/>
        <w:jc w:val="left"/>
      </w:pPr>
      <w:r>
        <w:rPr>
          <w:rFonts w:ascii="Times New Roman" w:hAnsi="Times New Roman" w:eastAsia="宋体"/>
        </w:rPr>
        <w:t>7.3 前瞻性研究资源配置</w:t>
      </w:r>
    </w:p>
    <w:p>
      <w:pPr>
        <w:jc w:val="center"/>
      </w:pPr>
      <w:r>
        <w:rPr>
          <w:rFonts w:ascii="Times New Roman" w:hAnsi="Times New Roman" w:eastAsia="宋体"/>
          <w:b/>
          <w:sz w:val="21"/>
        </w:rPr>
        <w:t>表19 前瞻性研究资源配置规划</w:t>
      </w:r>
    </w:p>
    <w:tbl>
      <w:tblPr>
        <w:tblStyle w:val="TableGrid"/>
        <w:tblW w:type="auto" w:w="0"/>
        <w:tblLook w:firstColumn="1" w:firstRow="1" w:lastColumn="0" w:lastRow="0" w:noHBand="0" w:noVBand="1" w:val="04A0"/>
      </w:tblPr>
      <w:tblGrid>
        <w:gridCol w:w="1662"/>
        <w:gridCol w:w="1662"/>
        <w:gridCol w:w="1662"/>
        <w:gridCol w:w="1662"/>
        <w:gridCol w:w="1662"/>
      </w:tblGrid>
      <w:tr>
        <w:tc>
          <w:tcPr>
            <w:tcW w:type="dxa" w:w="1662"/>
            <w:shd w:fill="D9E2F3"/>
          </w:tcPr>
          <w:p>
            <w:pPr>
              <w:jc w:val="center"/>
            </w:pPr>
            <w:r>
              <w:rPr>
                <w:rFonts w:ascii="Times New Roman" w:hAnsi="Times New Roman" w:eastAsia="宋体"/>
                <w:b/>
                <w:sz w:val="21"/>
              </w:rPr>
              <w:t>资源类型</w:t>
            </w:r>
          </w:p>
        </w:tc>
        <w:tc>
          <w:tcPr>
            <w:tcW w:type="dxa" w:w="1662"/>
            <w:shd w:fill="D9E2F3"/>
          </w:tcPr>
          <w:p>
            <w:pPr>
              <w:jc w:val="center"/>
            </w:pPr>
            <w:r>
              <w:rPr>
                <w:rFonts w:ascii="Times New Roman" w:hAnsi="Times New Roman" w:eastAsia="宋体"/>
                <w:b/>
                <w:sz w:val="21"/>
              </w:rPr>
              <w:t>2026年</w:t>
            </w:r>
          </w:p>
        </w:tc>
        <w:tc>
          <w:tcPr>
            <w:tcW w:type="dxa" w:w="1662"/>
            <w:shd w:fill="D9E2F3"/>
          </w:tcPr>
          <w:p>
            <w:pPr>
              <w:jc w:val="center"/>
            </w:pPr>
            <w:r>
              <w:rPr>
                <w:rFonts w:ascii="Times New Roman" w:hAnsi="Times New Roman" w:eastAsia="宋体"/>
                <w:b/>
                <w:sz w:val="21"/>
              </w:rPr>
              <w:t>2027年</w:t>
            </w:r>
          </w:p>
        </w:tc>
        <w:tc>
          <w:tcPr>
            <w:tcW w:type="dxa" w:w="1662"/>
            <w:shd w:fill="D9E2F3"/>
          </w:tcPr>
          <w:p>
            <w:pPr>
              <w:jc w:val="center"/>
            </w:pPr>
            <w:r>
              <w:rPr>
                <w:rFonts w:ascii="Times New Roman" w:hAnsi="Times New Roman" w:eastAsia="宋体"/>
                <w:b/>
                <w:sz w:val="21"/>
              </w:rPr>
              <w:t>2028年</w:t>
            </w:r>
          </w:p>
        </w:tc>
        <w:tc>
          <w:tcPr>
            <w:tcW w:type="dxa" w:w="1662"/>
            <w:shd w:fill="D9E2F3"/>
          </w:tcPr>
          <w:p>
            <w:pPr>
              <w:jc w:val="center"/>
            </w:pPr>
            <w:r>
              <w:rPr>
                <w:rFonts w:ascii="Times New Roman" w:hAnsi="Times New Roman" w:eastAsia="宋体"/>
                <w:b/>
                <w:sz w:val="21"/>
              </w:rPr>
              <w:t>2029-2030年</w:t>
            </w:r>
          </w:p>
        </w:tc>
      </w:tr>
      <w:tr>
        <w:tc>
          <w:tcPr>
            <w:tcW w:type="dxa" w:w="1662"/>
          </w:tcPr>
          <w:p>
            <w:pPr>
              <w:jc w:val="center"/>
            </w:pPr>
            <w:r>
              <w:rPr>
                <w:rFonts w:ascii="Times New Roman" w:hAnsi="Times New Roman" w:eastAsia="宋体"/>
                <w:sz w:val="21"/>
              </w:rPr>
              <w:t>研发投入（亿元）</w:t>
            </w:r>
          </w:p>
        </w:tc>
        <w:tc>
          <w:tcPr>
            <w:tcW w:type="dxa" w:w="1662"/>
          </w:tcPr>
          <w:p>
            <w:pPr>
              <w:jc w:val="center"/>
            </w:pPr>
            <w:r>
              <w:rPr>
                <w:rFonts w:ascii="Times New Roman" w:hAnsi="Times New Roman" w:eastAsia="宋体"/>
                <w:sz w:val="21"/>
              </w:rPr>
              <w:t>3-5</w:t>
            </w:r>
          </w:p>
        </w:tc>
        <w:tc>
          <w:tcPr>
            <w:tcW w:type="dxa" w:w="1662"/>
          </w:tcPr>
          <w:p>
            <w:pPr>
              <w:jc w:val="center"/>
            </w:pPr>
            <w:r>
              <w:rPr>
                <w:rFonts w:ascii="Times New Roman" w:hAnsi="Times New Roman" w:eastAsia="宋体"/>
                <w:sz w:val="21"/>
              </w:rPr>
              <w:t>5-8</w:t>
            </w:r>
          </w:p>
        </w:tc>
        <w:tc>
          <w:tcPr>
            <w:tcW w:type="dxa" w:w="1662"/>
          </w:tcPr>
          <w:p>
            <w:pPr>
              <w:jc w:val="center"/>
            </w:pPr>
            <w:r>
              <w:rPr>
                <w:rFonts w:ascii="Times New Roman" w:hAnsi="Times New Roman" w:eastAsia="宋体"/>
                <w:sz w:val="21"/>
              </w:rPr>
              <w:t>8-12</w:t>
            </w:r>
          </w:p>
        </w:tc>
        <w:tc>
          <w:tcPr>
            <w:tcW w:type="dxa" w:w="1662"/>
          </w:tcPr>
          <w:p>
            <w:pPr>
              <w:jc w:val="center"/>
            </w:pPr>
            <w:r>
              <w:rPr>
                <w:rFonts w:ascii="Times New Roman" w:hAnsi="Times New Roman" w:eastAsia="宋体"/>
                <w:sz w:val="21"/>
              </w:rPr>
              <w:t>10-15/年</w:t>
            </w:r>
          </w:p>
        </w:tc>
      </w:tr>
      <w:tr>
        <w:tc>
          <w:tcPr>
            <w:tcW w:type="dxa" w:w="1662"/>
          </w:tcPr>
          <w:p>
            <w:pPr>
              <w:jc w:val="center"/>
            </w:pPr>
            <w:r>
              <w:rPr>
                <w:rFonts w:ascii="Times New Roman" w:hAnsi="Times New Roman" w:eastAsia="宋体"/>
                <w:sz w:val="21"/>
              </w:rPr>
              <w:t>研发人员（人）</w:t>
            </w:r>
          </w:p>
        </w:tc>
        <w:tc>
          <w:tcPr>
            <w:tcW w:type="dxa" w:w="1662"/>
          </w:tcPr>
          <w:p>
            <w:pPr>
              <w:jc w:val="center"/>
            </w:pPr>
            <w:r>
              <w:rPr>
                <w:rFonts w:ascii="Times New Roman" w:hAnsi="Times New Roman" w:eastAsia="宋体"/>
                <w:sz w:val="21"/>
              </w:rPr>
              <w:t>50</w:t>
            </w:r>
          </w:p>
        </w:tc>
        <w:tc>
          <w:tcPr>
            <w:tcW w:type="dxa" w:w="1662"/>
          </w:tcPr>
          <w:p>
            <w:pPr>
              <w:jc w:val="center"/>
            </w:pPr>
            <w:r>
              <w:rPr>
                <w:rFonts w:ascii="Times New Roman" w:hAnsi="Times New Roman" w:eastAsia="宋体"/>
                <w:sz w:val="21"/>
              </w:rPr>
              <w:t>80</w:t>
            </w:r>
          </w:p>
        </w:tc>
        <w:tc>
          <w:tcPr>
            <w:tcW w:type="dxa" w:w="1662"/>
          </w:tcPr>
          <w:p>
            <w:pPr>
              <w:jc w:val="center"/>
            </w:pPr>
            <w:r>
              <w:rPr>
                <w:rFonts w:ascii="Times New Roman" w:hAnsi="Times New Roman" w:eastAsia="宋体"/>
                <w:sz w:val="21"/>
              </w:rPr>
              <w:t>120</w:t>
            </w:r>
          </w:p>
        </w:tc>
        <w:tc>
          <w:tcPr>
            <w:tcW w:type="dxa" w:w="1662"/>
          </w:tcPr>
          <w:p>
            <w:pPr>
              <w:jc w:val="center"/>
            </w:pPr>
            <w:r>
              <w:rPr>
                <w:rFonts w:ascii="Times New Roman" w:hAnsi="Times New Roman" w:eastAsia="宋体"/>
                <w:sz w:val="21"/>
              </w:rPr>
              <w:t>150+</w:t>
            </w:r>
          </w:p>
        </w:tc>
      </w:tr>
      <w:tr>
        <w:tc>
          <w:tcPr>
            <w:tcW w:type="dxa" w:w="1662"/>
          </w:tcPr>
          <w:p>
            <w:pPr>
              <w:jc w:val="center"/>
            </w:pPr>
            <w:r>
              <w:rPr>
                <w:rFonts w:ascii="Times New Roman" w:hAnsi="Times New Roman" w:eastAsia="宋体"/>
                <w:sz w:val="21"/>
              </w:rPr>
              <w:t>合作机构（家）</w:t>
            </w:r>
          </w:p>
        </w:tc>
        <w:tc>
          <w:tcPr>
            <w:tcW w:type="dxa" w:w="1662"/>
          </w:tcPr>
          <w:p>
            <w:pPr>
              <w:jc w:val="center"/>
            </w:pPr>
            <w:r>
              <w:rPr>
                <w:rFonts w:ascii="Times New Roman" w:hAnsi="Times New Roman" w:eastAsia="宋体"/>
                <w:sz w:val="21"/>
              </w:rPr>
              <w:t>5</w:t>
            </w:r>
          </w:p>
        </w:tc>
        <w:tc>
          <w:tcPr>
            <w:tcW w:type="dxa" w:w="1662"/>
          </w:tcPr>
          <w:p>
            <w:pPr>
              <w:jc w:val="center"/>
            </w:pPr>
            <w:r>
              <w:rPr>
                <w:rFonts w:ascii="Times New Roman" w:hAnsi="Times New Roman" w:eastAsia="宋体"/>
                <w:sz w:val="21"/>
              </w:rPr>
              <w:t>10</w:t>
            </w:r>
          </w:p>
        </w:tc>
        <w:tc>
          <w:tcPr>
            <w:tcW w:type="dxa" w:w="1662"/>
          </w:tcPr>
          <w:p>
            <w:pPr>
              <w:jc w:val="center"/>
            </w:pPr>
            <w:r>
              <w:rPr>
                <w:rFonts w:ascii="Times New Roman" w:hAnsi="Times New Roman" w:eastAsia="宋体"/>
                <w:sz w:val="21"/>
              </w:rPr>
              <w:t>15</w:t>
            </w:r>
          </w:p>
        </w:tc>
        <w:tc>
          <w:tcPr>
            <w:tcW w:type="dxa" w:w="1662"/>
          </w:tcPr>
          <w:p>
            <w:pPr>
              <w:jc w:val="center"/>
            </w:pPr>
            <w:r>
              <w:rPr>
                <w:rFonts w:ascii="Times New Roman" w:hAnsi="Times New Roman" w:eastAsia="宋体"/>
                <w:sz w:val="21"/>
              </w:rPr>
              <w:t>20+</w:t>
            </w:r>
          </w:p>
        </w:tc>
      </w:tr>
      <w:tr>
        <w:tc>
          <w:tcPr>
            <w:tcW w:type="dxa" w:w="1662"/>
          </w:tcPr>
          <w:p>
            <w:pPr>
              <w:jc w:val="center"/>
            </w:pPr>
            <w:r>
              <w:rPr>
                <w:rFonts w:ascii="Times New Roman" w:hAnsi="Times New Roman" w:eastAsia="宋体"/>
                <w:sz w:val="21"/>
              </w:rPr>
              <w:t>专利申报（项）</w:t>
            </w:r>
          </w:p>
        </w:tc>
        <w:tc>
          <w:tcPr>
            <w:tcW w:type="dxa" w:w="1662"/>
          </w:tcPr>
          <w:p>
            <w:pPr>
              <w:jc w:val="center"/>
            </w:pPr>
            <w:r>
              <w:rPr>
                <w:rFonts w:ascii="Times New Roman" w:hAnsi="Times New Roman" w:eastAsia="宋体"/>
                <w:sz w:val="21"/>
              </w:rPr>
              <w:t>10</w:t>
            </w:r>
          </w:p>
        </w:tc>
        <w:tc>
          <w:tcPr>
            <w:tcW w:type="dxa" w:w="1662"/>
          </w:tcPr>
          <w:p>
            <w:pPr>
              <w:jc w:val="center"/>
            </w:pPr>
            <w:r>
              <w:rPr>
                <w:rFonts w:ascii="Times New Roman" w:hAnsi="Times New Roman" w:eastAsia="宋体"/>
                <w:sz w:val="21"/>
              </w:rPr>
              <w:t>20</w:t>
            </w:r>
          </w:p>
        </w:tc>
        <w:tc>
          <w:tcPr>
            <w:tcW w:type="dxa" w:w="1662"/>
          </w:tcPr>
          <w:p>
            <w:pPr>
              <w:jc w:val="center"/>
            </w:pPr>
            <w:r>
              <w:rPr>
                <w:rFonts w:ascii="Times New Roman" w:hAnsi="Times New Roman" w:eastAsia="宋体"/>
                <w:sz w:val="21"/>
              </w:rPr>
              <w:t>30</w:t>
            </w:r>
          </w:p>
        </w:tc>
        <w:tc>
          <w:tcPr>
            <w:tcW w:type="dxa" w:w="1662"/>
          </w:tcPr>
          <w:p>
            <w:pPr>
              <w:jc w:val="center"/>
            </w:pPr>
            <w:r>
              <w:rPr>
                <w:rFonts w:ascii="Times New Roman" w:hAnsi="Times New Roman" w:eastAsia="宋体"/>
                <w:sz w:val="21"/>
              </w:rPr>
              <w:t>50+/年</w:t>
            </w:r>
          </w:p>
        </w:tc>
      </w:tr>
    </w:tbl>
    <w:p>
      <w:pPr>
        <w:pStyle w:val="Heading2"/>
        <w:jc w:val="left"/>
      </w:pPr>
      <w:r>
        <w:rPr>
          <w:rFonts w:ascii="Times New Roman" w:hAnsi="Times New Roman" w:eastAsia="宋体"/>
        </w:rPr>
        <w:t>7.4 前瞻性研究与1+M+N体系对接</w:t>
      </w:r>
    </w:p>
    <w:p>
      <w:pPr>
        <w:spacing w:line="360" w:lineRule="auto"/>
        <w:ind w:firstLine="420"/>
        <w:jc w:val="both"/>
      </w:pPr>
      <w:r>
        <w:rPr>
          <w:rFonts w:ascii="Times New Roman" w:hAnsi="Times New Roman" w:eastAsia="宋体"/>
          <w:sz w:val="24"/>
        </w:rPr>
        <w:t>中核集团前瞻性研究成果将直接支撑1+M+N体系中N类节点（行业专用算力节点）建设，形成"研究-技术-应用-标准"完整创新链条：</w:t>
      </w:r>
    </w:p>
    <w:p>
      <w:pPr>
        <w:pStyle w:val="ListBullet"/>
        <w:spacing w:line="360" w:lineRule="auto"/>
        <w:jc w:val="both"/>
      </w:pPr>
      <w:r>
        <w:rPr>
          <w:rFonts w:ascii="Times New Roman" w:hAnsi="Times New Roman" w:eastAsia="宋体"/>
          <w:sz w:val="24"/>
        </w:rPr>
        <w:t>核电数字孪生技术 → N类节点核心能力 → 核电运维智能化标准</w:t>
      </w:r>
    </w:p>
    <w:p>
      <w:pPr>
        <w:pStyle w:val="ListBullet"/>
        <w:spacing w:line="360" w:lineRule="auto"/>
        <w:jc w:val="both"/>
      </w:pPr>
      <w:r>
        <w:rPr>
          <w:rFonts w:ascii="Times New Roman" w:hAnsi="Times New Roman" w:eastAsia="宋体"/>
          <w:sz w:val="24"/>
        </w:rPr>
        <w:t>电力大模型技术 → N类节点智能服务 → 电力行业AI应用标准</w:t>
      </w:r>
    </w:p>
    <w:p>
      <w:pPr>
        <w:pStyle w:val="ListBullet"/>
        <w:spacing w:line="360" w:lineRule="auto"/>
        <w:jc w:val="both"/>
      </w:pPr>
      <w:r>
        <w:rPr>
          <w:rFonts w:ascii="Times New Roman" w:hAnsi="Times New Roman" w:eastAsia="宋体"/>
          <w:sz w:val="24"/>
        </w:rPr>
        <w:t>具身智能技术 → N类节点自主作业 → 核工业机器人标准</w:t>
      </w:r>
    </w:p>
    <w:p>
      <w:pPr>
        <w:pStyle w:val="ListBullet"/>
        <w:spacing w:line="360" w:lineRule="auto"/>
        <w:jc w:val="both"/>
      </w:pPr>
      <w:r>
        <w:rPr>
          <w:rFonts w:ascii="Times New Roman" w:hAnsi="Times New Roman" w:eastAsia="宋体"/>
          <w:sz w:val="24"/>
        </w:rPr>
        <w:t>源网荷储算脑技术 → M类节点协同调度 → 算力调度接口标准</w:t>
      </w:r>
    </w:p>
    <w:p>
      <w:pPr>
        <w:pStyle w:val="ListBullet"/>
        <w:spacing w:line="360" w:lineRule="auto"/>
        <w:jc w:val="both"/>
      </w:pPr>
      <w:r>
        <w:rPr>
          <w:rFonts w:ascii="Times New Roman" w:hAnsi="Times New Roman" w:eastAsia="宋体"/>
          <w:sz w:val="24"/>
        </w:rPr>
        <w:t>碳能算一体化技术 → N类节点绿色认证 → 绿色算力碳足迹标准</w:t>
      </w:r>
    </w:p>
    <w:p>
      <w:r>
        <w:br w:type="page"/>
      </w:r>
    </w:p>
    <w:p>
      <w:pPr>
        <w:pStyle w:val="Heading1"/>
        <w:jc w:val="left"/>
      </w:pPr>
      <w:r>
        <w:rPr>
          <w:rFonts w:ascii="Times New Roman" w:hAnsi="Times New Roman" w:eastAsia="宋体"/>
        </w:rPr>
        <w:t>八、结语与战略建议</w:t>
      </w:r>
    </w:p>
    <w:p>
      <w:pPr>
        <w:spacing w:line="360" w:lineRule="auto"/>
        <w:ind w:firstLine="420"/>
        <w:jc w:val="both"/>
      </w:pPr>
      <w:r>
        <w:rPr>
          <w:rFonts w:ascii="Times New Roman" w:hAnsi="Times New Roman" w:eastAsia="宋体"/>
          <w:b/>
          <w:sz w:val="24"/>
        </w:rPr>
        <w:t>【政策机遇研判】</w:t>
      </w:r>
      <w:r>
        <w:rPr>
          <w:rFonts w:ascii="Times New Roman" w:hAnsi="Times New Roman" w:eastAsia="宋体"/>
          <w:sz w:val="24"/>
        </w:rPr>
      </w:r>
    </w:p>
    <w:p>
      <w:pPr>
        <w:spacing w:line="360" w:lineRule="auto"/>
        <w:ind w:firstLine="420"/>
        <w:jc w:val="both"/>
      </w:pPr>
      <w:r>
        <w:rPr>
          <w:rFonts w:ascii="Times New Roman" w:hAnsi="Times New Roman" w:eastAsia="宋体"/>
          <w:sz w:val="24"/>
        </w:rPr>
        <w:t>算力网纳入六张网核心基建，标志着算力基础设施正式上升为国家战略。电算协同政策脉络清晰，从"东数西算"到"新型电力系统"再到"六张网"，产业进入加速落地期。十五五期间，7万亿投资将重塑算力产业格局。工信部1+M+N节点体系为中核提供了战略切入点和政策红利期。中核集团应抓住这一历史性机遇，将电算协同业务提升至集团核心战略高度。</w:t>
      </w:r>
    </w:p>
    <w:p>
      <w:pPr>
        <w:spacing w:line="360" w:lineRule="auto"/>
        <w:ind w:firstLine="420"/>
        <w:jc w:val="both"/>
      </w:pPr>
      <w:r>
        <w:rPr>
          <w:rFonts w:ascii="Times New Roman" w:hAnsi="Times New Roman" w:eastAsia="宋体"/>
          <w:b/>
          <w:sz w:val="24"/>
        </w:rPr>
        <w:t>【战略建议】</w:t>
      </w:r>
      <w:r>
        <w:rPr>
          <w:rFonts w:ascii="Times New Roman" w:hAnsi="Times New Roman" w:eastAsia="宋体"/>
          <w:sz w:val="24"/>
        </w:rPr>
      </w:r>
    </w:p>
    <w:p>
      <w:pPr>
        <w:pStyle w:val="ListBullet"/>
        <w:spacing w:line="360" w:lineRule="auto"/>
        <w:jc w:val="both"/>
      </w:pPr>
      <w:r>
        <w:rPr>
          <w:rFonts w:ascii="Times New Roman" w:hAnsi="Times New Roman" w:eastAsia="宋体"/>
          <w:sz w:val="24"/>
        </w:rPr>
        <w:t>提升战略定位：将电算协同提升为集团核心战略业务，而非单纯的多元化探索</w:t>
      </w:r>
    </w:p>
    <w:p>
      <w:pPr>
        <w:pStyle w:val="ListBullet"/>
        <w:spacing w:line="360" w:lineRule="auto"/>
        <w:jc w:val="both"/>
      </w:pPr>
      <w:r>
        <w:rPr>
          <w:rFonts w:ascii="Times New Roman" w:hAnsi="Times New Roman" w:eastAsia="宋体"/>
          <w:sz w:val="24"/>
        </w:rPr>
        <w:t>抢抓政策窗口：积极参与1+M+N体系申报，争取核电行业专用算力节点资格</w:t>
      </w:r>
    </w:p>
    <w:p>
      <w:pPr>
        <w:pStyle w:val="ListBullet"/>
        <w:spacing w:line="360" w:lineRule="auto"/>
        <w:jc w:val="both"/>
      </w:pPr>
      <w:r>
        <w:rPr>
          <w:rFonts w:ascii="Times New Roman" w:hAnsi="Times New Roman" w:eastAsia="宋体"/>
          <w:sz w:val="24"/>
        </w:rPr>
        <w:t>加快布局节奏：2026年完成战略规划，2027年建成示范项目，2028年形成规模效应</w:t>
      </w:r>
    </w:p>
    <w:p>
      <w:pPr>
        <w:pStyle w:val="ListBullet"/>
        <w:spacing w:line="360" w:lineRule="auto"/>
        <w:jc w:val="both"/>
      </w:pPr>
      <w:r>
        <w:rPr>
          <w:rFonts w:ascii="Times New Roman" w:hAnsi="Times New Roman" w:eastAsia="宋体"/>
          <w:sz w:val="24"/>
        </w:rPr>
        <w:t>强化技术引领：尽快成立电算协同研究院，加快核心技术研发</w:t>
      </w:r>
    </w:p>
    <w:p>
      <w:pPr>
        <w:pStyle w:val="ListBullet"/>
        <w:spacing w:line="360" w:lineRule="auto"/>
        <w:jc w:val="both"/>
      </w:pPr>
      <w:r>
        <w:rPr>
          <w:rFonts w:ascii="Times New Roman" w:hAnsi="Times New Roman" w:eastAsia="宋体"/>
          <w:sz w:val="24"/>
        </w:rPr>
        <w:t>主导标准制定：积极参与国家标准、行业标准制定，争取行业话语权</w:t>
      </w:r>
    </w:p>
    <w:p>
      <w:pPr>
        <w:pStyle w:val="ListBullet"/>
        <w:spacing w:line="360" w:lineRule="auto"/>
        <w:jc w:val="both"/>
      </w:pPr>
      <w:r>
        <w:rPr>
          <w:rFonts w:ascii="Times New Roman" w:hAnsi="Times New Roman" w:eastAsia="宋体"/>
          <w:sz w:val="24"/>
        </w:rPr>
        <w:t>构建开放生态：与电网企业，云服务商、科研机构建立战略合作</w:t>
      </w:r>
    </w:p>
    <w:p>
      <w:pPr>
        <w:spacing w:line="360" w:lineRule="auto"/>
        <w:ind w:firstLine="420"/>
        <w:jc w:val="both"/>
      </w:pPr>
      <w:r>
        <w:rPr>
          <w:rFonts w:ascii="Times New Roman" w:hAnsi="Times New Roman" w:eastAsia="宋体"/>
          <w:b/>
          <w:sz w:val="24"/>
        </w:rPr>
        <w:t>【2030年愿景】</w:t>
      </w:r>
      <w:r>
        <w:rPr>
          <w:rFonts w:ascii="Times New Roman" w:hAnsi="Times New Roman" w:eastAsia="宋体"/>
          <w:sz w:val="24"/>
        </w:rPr>
      </w:r>
    </w:p>
    <w:p>
      <w:pPr>
        <w:pStyle w:val="ListBullet"/>
        <w:spacing w:line="360" w:lineRule="auto"/>
        <w:jc w:val="both"/>
      </w:pPr>
      <w:r>
        <w:rPr>
          <w:rFonts w:ascii="Times New Roman" w:hAnsi="Times New Roman" w:eastAsia="宋体"/>
          <w:sz w:val="24"/>
        </w:rPr>
        <w:t>算力规模：运营绿色算力超过50000P，成为1+M+N体系N类节点核心建设者</w:t>
      </w:r>
    </w:p>
    <w:p>
      <w:pPr>
        <w:pStyle w:val="ListBullet"/>
        <w:spacing w:line="360" w:lineRule="auto"/>
        <w:jc w:val="both"/>
      </w:pPr>
      <w:r>
        <w:rPr>
          <w:rFonts w:ascii="Times New Roman" w:hAnsi="Times New Roman" w:eastAsia="宋体"/>
          <w:sz w:val="24"/>
        </w:rPr>
        <w:t>碳资产管理：管理核电碳资产超过500万吨</w:t>
      </w:r>
    </w:p>
    <w:p>
      <w:pPr>
        <w:pStyle w:val="ListBullet"/>
        <w:spacing w:line="360" w:lineRule="auto"/>
        <w:jc w:val="both"/>
      </w:pPr>
      <w:r>
        <w:rPr>
          <w:rFonts w:ascii="Times New Roman" w:hAnsi="Times New Roman" w:eastAsia="宋体"/>
          <w:sz w:val="24"/>
        </w:rPr>
        <w:t>技术标准：主导制定3-5项国家标准，确立行业话语权</w:t>
      </w:r>
    </w:p>
    <w:p>
      <w:pPr>
        <w:pStyle w:val="ListBullet"/>
        <w:spacing w:line="360" w:lineRule="auto"/>
        <w:jc w:val="both"/>
      </w:pPr>
      <w:r>
        <w:rPr>
          <w:rFonts w:ascii="Times New Roman" w:hAnsi="Times New Roman" w:eastAsia="宋体"/>
          <w:sz w:val="24"/>
        </w:rPr>
        <w:t>行业地位：成为国内领先、国际一流的绿色算力服务商</w:t>
      </w:r>
    </w:p>
    <w:p>
      <w:pPr>
        <w:pStyle w:val="ListBullet"/>
        <w:spacing w:line="360" w:lineRule="auto"/>
        <w:jc w:val="both"/>
      </w:pPr>
      <w:r>
        <w:rPr>
          <w:rFonts w:ascii="Times New Roman" w:hAnsi="Times New Roman" w:eastAsia="宋体"/>
          <w:sz w:val="24"/>
        </w:rPr>
        <w:t>收入规模：年营业收入突破150-200亿元</w:t>
      </w:r>
    </w:p>
    <w:p>
      <w:pPr>
        <w:spacing w:line="360" w:lineRule="auto"/>
        <w:ind w:firstLine="420"/>
        <w:jc w:val="both"/>
      </w:pPr>
      <w:r>
        <w:rPr>
          <w:rFonts w:ascii="Times New Roman" w:hAnsi="Times New Roman" w:eastAsia="宋体"/>
          <w:b/>
          <w:sz w:val="24"/>
        </w:rPr>
        <w:t>【核心结论】</w:t>
      </w:r>
      <w:r>
        <w:rPr>
          <w:rFonts w:ascii="Times New Roman" w:hAnsi="Times New Roman" w:eastAsia="宋体"/>
          <w:sz w:val="24"/>
        </w:rPr>
      </w:r>
    </w:p>
    <w:p>
      <w:pPr>
        <w:spacing w:line="360" w:lineRule="auto"/>
        <w:ind w:firstLine="420"/>
        <w:jc w:val="both"/>
      </w:pPr>
      <w:r>
        <w:rPr>
          <w:rFonts w:ascii="Times New Roman" w:hAnsi="Times New Roman" w:eastAsia="宋体"/>
          <w:sz w:val="24"/>
        </w:rPr>
        <w:t>电算协同是中核集团服务国家战略、实现转型升级的核心战略方向。在"双碳"目标、"数字中国"战略和"六张网"政策的三重驱动下，电算协同正处于历史性发展窗口期。中核集团应把握机遇，乘势而上，将电算协同打造成为集团新的战略性业务增长极，为国家算力网建设贡献"中核方案"，为中国式现代化贡献"中核力量"。</w:t>
      </w:r>
    </w:p>
    <w:p>
      <w:r>
        <w:br w:type="page"/>
      </w:r>
    </w:p>
    <w:p>
      <w:pPr>
        <w:jc w:val="center"/>
      </w:pPr>
      <w:r>
        <w:rPr>
          <w:sz w:val="24"/>
        </w:rPr>
        <w:t>— 完 —</w:t>
      </w:r>
    </w:p>
    <w:p>
      <w:pPr>
        <w:jc w:val="center"/>
      </w:pPr>
      <w:r>
        <w:rPr>
          <w:sz w:val="18"/>
        </w:rPr>
        <w:t>免责声明：本报告基于公开信息和行业研究形成，部分前瞻性判断存在不确定性，仅供集团高层领导决策参考。</w:t>
      </w:r>
    </w:p>
    <w:p>
      <w:pPr>
        <w:jc w:val="center"/>
      </w:pPr>
      <w:r>
        <w:rPr>
          <w:sz w:val="18"/>
        </w:rPr>
        <w:t>数据更新时间：2026年5月 | 政策信息截止日期：2026年5月</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