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宋体"/>
          <w:b/>
          <w:sz w:val="48"/>
        </w:rPr>
        <w:t>中核集团电算协同业务</w:t>
      </w:r>
    </w:p>
    <w:p>
      <w:pPr>
        <w:jc w:val="center"/>
      </w:pPr>
      <w:r>
        <w:rPr>
          <w:rFonts w:ascii="Times New Roman" w:hAnsi="Times New Roman" w:eastAsia="宋体"/>
          <w:b/>
          <w:sz w:val="48"/>
        </w:rPr>
        <w:t>顶层规划方案</w:t>
      </w:r>
    </w:p>
    <w:p/>
    <w:p/>
    <w:p/>
    <w:p/>
    <w:p/>
    <w:p>
      <w:pPr>
        <w:jc w:val="center"/>
      </w:pPr>
      <w:r>
        <w:rPr>
          <w:rFonts w:ascii="Times New Roman" w:hAnsi="Times New Roman" w:eastAsia="宋体"/>
          <w:sz w:val="24"/>
        </w:rPr>
        <w:t>密级：内部资料</w:t>
        <w:br/>
        <w:t>编制单位：科技创新业务中心</w:t>
        <w:br/>
        <w:t>编制日期：2026年5月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一、执行摘要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电算协同作为新型电力系统建设与数字经济深度融合的核心命题，正在加速从"概念验证"迈向"规模化落地"。本报告以2026年为研究起点，系统研判中核集团开展电算协同业务的战略定位、技术路径、生态构建及实施保障，为集团高层决策提供前瞻性智库支撑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【核心结论】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1. 战略定位：</w:t>
      </w:r>
      <w:r>
        <w:rPr>
          <w:rFonts w:ascii="Times New Roman" w:hAnsi="Times New Roman" w:eastAsia="宋体"/>
          <w:sz w:val="24"/>
        </w:rPr>
        <w:t>中核集团在国家"东数西算"和"新型电力系统"双重战略交汇点上占据独特地位。核电作为唯一能够同时满足"零碳+稳定+可靠"三重特性的电源，是国家算力基础设施实现绿色转型的关键支撑。建议集团将电算协同定位为服务国家战略的核心业务，而非单纯的多元化探索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2. 技术融合：</w:t>
      </w:r>
      <w:r>
        <w:rPr>
          <w:rFonts w:ascii="Times New Roman" w:hAnsi="Times New Roman" w:eastAsia="宋体"/>
          <w:sz w:val="24"/>
        </w:rPr>
        <w:t>前瞻性技术与电算协同业务的结合点集中在三个维度——核电站智能化运维（数字孪生+具身智能）、核电商用场景创新（电力大模型+碳能算一体化）、核电科学计算支撑（量子计算+高性能计算）。这三个维度构成了中核电算协同业务的技术护城河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3. 生态构建：</w:t>
      </w:r>
      <w:r>
        <w:rPr>
          <w:rFonts w:ascii="Times New Roman" w:hAnsi="Times New Roman" w:eastAsia="宋体"/>
          <w:sz w:val="24"/>
        </w:rPr>
        <w:t>应构建"核电算力+绿色算力认证+碳资产服务"三位一体的差异化竞争优势，在国家算力生态中确立"绿色算力核心供应商"的独特定位。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二、形势研判与政策仿真推演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2.1 全球与中国算力电力需求态势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算力需求激增正在重塑全球能源格局。根据国际能源署（IEA）和多家权威机构预测，未来5年全球与中国数据中心用电量将呈现爆发式增长：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6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1_power_consump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6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图1 2024-2030年全球与中国数据中心耗电量趋势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2.2 政策演进仿真推演（2026-2030年）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基于政策文本分析、历史演进规律及行业专家访谈，对2026-2030年电算协同领域政策走向进行仿真推演：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 2026-2030年政策演进仿真推演表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时间节点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政策预判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核心内容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影响研判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中核应对策略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2026年Q2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绿色算力国家标准出台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建立全国统一的绿色算力认证标准和碳足迹核算方法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行业门槛明确，核电零碳优势凸显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积极参与标准制定，抢占认证市场先机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2026年Q4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算力负荷参与辅助服务市场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出台算力负荷参与调峰、调频等辅助服务的配套政策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算力负荷从单纯用电向灵活调节资源转变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建立算力调度响应机制，参与辅助服务交易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2027年Q2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绿电交易机制完善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扩大电力市场规模，完善跨省跨区交易机制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核电绿电溢价空间打开，形成价格发现机制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建立绿电直供通道，争取绿电溢价收益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2027年Q4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数据中心能效标准升级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提高数据中心PUE标准，强化碳排放约束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倒逼高耗能数据中心转型升级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布局高效节能数据中心，打造绿色算力品牌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2028年Q2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数据中心碳排放强制性要求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出台数据中心碳排放配额管理办法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碳排放成本内部化，绿色算力溢价扩大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建立碳资产管理体系，开展碳交易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2028年Q4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国家级算力枢纽体系深化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完善"东数西算"工程，建立算力调度平台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西部清洁能源基地与东部算力需求对接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参与西部算力枢纽建设，实现东西协同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2029年Q2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算电协同技术标准体系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发布源网荷储算脑接口标准和安全规范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技术接口统一，促进跨平台协同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主导制定行业标准，掌握技术话语权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2029年Q4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新型电力系统基本成型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新能源占比显著提升，系统灵活性需求大增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核电调节价值凸显，成为系统稳定器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深化核电灵活性改造，提升系统价值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2030年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算电协同生态成熟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形成完整的绿色算力供给体系和市场机制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行业格局定型，先入者占据优势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巩固市场地位，输出技术和标准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宋体"/>
        </w:rPr>
        <w:t>2.3 市场动态仿真推演（2026-2030年）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基于市场规模、价格趋势、竞争格局等多维度分析，对2026-2030年电算协同市场动态进行仿真推演：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表2 2026-2030年市场动态仿真推演表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87"/>
        <w:gridCol w:w="1187"/>
        <w:gridCol w:w="1187"/>
        <w:gridCol w:w="1187"/>
        <w:gridCol w:w="1187"/>
        <w:gridCol w:w="1187"/>
        <w:gridCol w:w="1187"/>
      </w:tblGrid>
      <w:tr>
        <w:tc>
          <w:tcPr>
            <w:tcW w:type="dxa" w:w="118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指标类别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2026E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2027E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2028E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2029E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2030E</w:t>
            </w:r>
          </w:p>
        </w:tc>
        <w:tc>
          <w:tcPr>
            <w:tcW w:type="dxa" w:w="118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年均增速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数据中心市场规模（亿元）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3500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4000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4600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5200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6000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13.5%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数据中心耗电量（亿千瓦时）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2500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3200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4000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5500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14.1%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占全社会用电比重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2.5%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3.0%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3.5%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4.5%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5.5%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18.9%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碳配额均价（元/吨）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125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140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155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170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185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11.2%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绿色算力溢价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15%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24.6%</w:t>
            </w:r>
          </w:p>
        </w:tc>
      </w:tr>
      <w:tr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AI算力占比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30%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35%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40%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45%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50%</w:t>
            </w:r>
          </w:p>
        </w:tc>
        <w:tc>
          <w:tcPr>
            <w:tcW w:type="dxa" w:w="118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11.8%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74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2_market_tr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图2 2026-2030年市场动态与中核收入预测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三、中核集团电算协同顶层规划方案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3.1 战略定位与愿景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【战略定位】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国家绿色算力核心供应商 + 电算协同标准制定者 + 核电驱动算力示范引领者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【发展愿景】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到2028年，成为国内领先、国际一流的核电驱动绿色算力服务商，形成"核电+算力+碳资产"三位一体的发展格局；到2030年，确立行业领先地位，主导3-5项国家标准，运营绿色算力超过50000P，管理碳资产超过500万吨。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3.2 业务架构设计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 中核电算协同业务架构图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【中核电算协同业务架构】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顶层战略目标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（绿色算力核心供应商）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  |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┌────────────────────────┼────────────────────────┐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▼                        ▼                        ▼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【业务层】                【能力层】                 【支撑层】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┌─────────────────┐    ┌─────────────────┐    ┌─────────────────┐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绿色算力服务   │    │ • 电力大模型     │    │ • 组织架构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碳资产管理    │    │ • 数字孪生       │    │ • 人才队伍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算力调度      │    │ • 具身智能       │    │ • 资金保障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│ • 技术输出      │    │ • 碳能算一体化   │    │ • 安全体系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└─────────────────┘    └─────────────────┘    └─────────────────┘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│                        │                        │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└────────────────────────┼────────────────────────┘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          ▼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       【基础设施层】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 xml:space="preserve">                   （核电基地 + 算力设施 + 储能系统）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  <w:t>================================================================================</w:t>
      </w:r>
    </w:p>
    <w:p>
      <w:pPr>
        <w:spacing w:line="288" w:lineRule="auto"/>
        <w:jc w:val="center"/>
      </w:pPr>
      <w:r>
        <w:rPr>
          <w:rFonts w:ascii="Times New Roman" w:hAnsi="Times New Roman" w:eastAsia="宋体"/>
          <w:color w:val="646464"/>
          <w:sz w:val="21"/>
        </w:rPr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3.3 核心业务板块规划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3.3.1 绿色算力服务板块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依托核电基荷电源优势，打造"核电驱动的绿色算力"品牌，提供低碳、高可靠的算力服务。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表3 绿色算力服务板块规划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业务类型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服务内容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目标客户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盈利模式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2030年目标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基础算力服务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机柜租赁、裸金属服务器、云主机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企业客户、互联网公司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租赁费用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50000P算力规模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智能算力服务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AI训练推理、大模型服务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AI企业、科研机构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算力使用费+模型服务费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10000P智算规模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绿色算力认证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碳足迹认证、绿电溯源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数据中心运营商、大型企业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认证服务费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认证覆盖率70%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算力调度服务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负荷聚合、需求响应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电网企业、园区用户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调度服务费+辅助服务收益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年调度量100亿千瓦时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宋体"/>
        </w:rPr>
        <w:t>3.3.2 碳资产管理板块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基于碳能算一体化平台能力，为用户提供碳排放核算、碳足迹认证、碳交易代理等碳资产管理服务。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表4 碳资产管理板块规划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业务类型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服务内容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目标客户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盈利模式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2030年目标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碳核算服务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碳排放监测报告核查（MRV）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上市公司、出口企业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年度服务费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服务客户100+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碳足迹认证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产品碳足迹核算与认证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制造企业、科技公司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认证费用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认证产品500+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碳交易服务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碳配额交易、碳信用开发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电力企业、工业企业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交易佣金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年碳交易量500万吨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碳中和方案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碳中和路径设计与实施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外资企业、ESG要求高企业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项目制收费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服务项目50+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74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4_business_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图4 2026-2030年中核电算协同业务板块收入预测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3.4 区域布局规划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265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6_regional_layou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26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图6 中核电算协同业务区域布局战略重要性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四、前瞻性技术研究与布局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4.1 核心技术方向研判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基于技术成熟度、战略价值、与中核业务契合度等维度，识别六大前瞻性技术方向：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表6 六大前瞻性技术方向研判表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技术方向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技术内涵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成熟度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战略价值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中核基础</w:t>
            </w:r>
          </w:p>
        </w:tc>
        <w:tc>
          <w:tcPr>
            <w:tcW w:type="dxa" w:w="1385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布局建议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数字孪生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高保真数字镜像+实时仿真决策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★★★★☆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支撑智能运维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金七门实践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深化应用，2026年规模化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具身智能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AI与物理设备深度融合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★★☆☆☆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替代高危作业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运维机器人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安全突破，2027年试点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电力大模型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电力垂直领域大语言模型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智能调度决策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同方股份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重点突破，2026年发布1.0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源网荷储算脑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电力流与算力流协同优化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系统级调度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核电调度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试点验证，2027年上线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碳能算一体化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碳-电-算三要素联合优化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★★★☆☆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碳资产增值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核电零碳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标准引领，2026年启动</w:t>
            </w:r>
          </w:p>
        </w:tc>
      </w:tr>
      <w:tr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量子计算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量子算法在电力领域应用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★☆☆☆☆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科学计算加速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需起步</w:t>
            </w:r>
          </w:p>
        </w:tc>
        <w:tc>
          <w:tcPr>
            <w:tcW w:type="dxa" w:w="1385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能力储备，2026年预研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9652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3_tech_maturit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965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图3 技术成熟度雷达图</w:t>
      </w:r>
    </w:p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五、生态体系构建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5.1 生态伙伴分类与合作策略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表8 生态伙伴分类与合作策略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伙伴类型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战略价值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合作重点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代表企业/机构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算力技术厂商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技术赋能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AI大模型、云计算、基础设施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华为、阿里、百度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电网企业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市场准入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调度接入、电力市场、绿电采购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国网、南网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云服务商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市场渠道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算力分销、联合运营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阿里云、腾讯云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科研机构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前沿创新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联合研发、人才培养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清华、中科院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碳服务机构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碳业务支撑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碳认证、碳交易、碳核查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碳交所、核查机构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IDC运营商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运营经验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合作运营、经验借鉴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万国数据、秦淮数据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设备厂商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硬件支撑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服务器、存储、网络设备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华为、浪潮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六、实施保障与资源配置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6.1 组织架构设计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6.2 资源配置规划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6.2.1 资金投入规划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表9 2026-2030年资金投入规划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资金来源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比例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金额（亿元）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使用方向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集团自有资金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50%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60-85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核心基地建设、技术研发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政策性贷款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24-34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基础设施建设、低碳项目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产业投资基金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24-34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生态伙伴投资、孵化项目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市场化融资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10%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12-17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运营流动资金、并购重组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49811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5_investment_retur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98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图5 2026-2030年资金投入与回报预测</w:t>
      </w:r>
    </w:p>
    <w:p>
      <w:pPr>
        <w:pStyle w:val="Heading3"/>
        <w:jc w:val="left"/>
      </w:pPr>
      <w:r>
        <w:rPr>
          <w:rFonts w:ascii="Times New Roman" w:hAnsi="Times New Roman" w:eastAsia="宋体"/>
        </w:rPr>
        <w:t>6.2.2 人才队伍规划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表10 2026-2030年人才队伍规划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人才类型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需求数量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来源渠道</w:t>
            </w:r>
          </w:p>
        </w:tc>
        <w:tc>
          <w:tcPr>
            <w:tcW w:type="dxa" w:w="2077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培养周期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AI/大数据专家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40人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外部引进+内部培养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2-3年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电力系统专家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30人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核电系统内部调配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1-2年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碳资产专家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20人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外部引进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1-2年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项目管理人才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35人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内部培养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2-3年</w:t>
            </w:r>
          </w:p>
        </w:tc>
      </w:tr>
      <w:tr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复合型人才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75人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综合培养</w:t>
            </w:r>
          </w:p>
        </w:tc>
        <w:tc>
          <w:tcPr>
            <w:tcW w:type="dxa" w:w="2077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3-5年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0235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7_talent_struct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23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图7 2026-2030年人才队伍结构规划</w:t>
      </w:r>
    </w:p>
    <w:p>
      <w:pPr>
        <w:pStyle w:val="Heading2"/>
        <w:jc w:val="left"/>
      </w:pPr>
      <w:r>
        <w:rPr>
          <w:rFonts w:ascii="Times New Roman" w:hAnsi="Times New Roman" w:eastAsia="宋体"/>
        </w:rPr>
        <w:t>6.3 风险评估与防控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表11 风险评估与防控措施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风险类型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风险描述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发生概率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影响程度</w:t>
            </w:r>
          </w:p>
        </w:tc>
        <w:tc>
          <w:tcPr>
            <w:tcW w:type="dxa" w:w="1662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防控措施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技术风险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核心技术研发不及预期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产学研合作；技术储备；多路径探索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市场风险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市场需求不及预期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低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战略合作锁定核心客户；灵活调整业务策略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政策风险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行业政策变化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密切跟踪政策动态；制定多情景预案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竞争风险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竞争对手快速跟进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加速布局节奏；标准引领；差异化定位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安全风险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核安全或信息安全事件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极低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极高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严格遵守核安全规范；建立安全防护体系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资金风险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融资困难或资金链紧张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低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高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多元化融资渠道；合理资金安排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人才风险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关键人才流失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中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完善激励机制；建立人才梯队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Times New Roman" w:hAnsi="Times New Roman" w:eastAsia="宋体"/>
        </w:rPr>
        <w:t>七、结语与展望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【核心结论】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电算协同是中核集团服务国家战略、实现转型升级的核心战略方向。在"双碳"目标和"数字中国"战略的双重驱动下，电算协同正处于历史性发展窗口期。2026-2030年将是算力需求爆发的关键五年，中核必须抢占先机。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【战略建议】</w:t>
      </w:r>
      <w:r>
        <w:rPr>
          <w:rFonts w:ascii="Times New Roman" w:hAnsi="Times New Roman" w:eastAsia="宋体"/>
          <w:sz w:val="24"/>
        </w:rPr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提升战略定位：将电算协同提升为集团核心战略业务，而非单纯的多元化探索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加快布局节奏：2026年完成战略规划，2027年建成示范项目，2028年形成规模效应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强化技术引领：依托核电运行研究院和同方股份，加快核心技术研发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主导标准制定：积极参与国家标准、行业标准制定，争取行业话语权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构建开放生态：与电网企业、云服务商、科研机构建立战略合作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加强风险防控：建立完善的风险评估与防控体系，确保稳健发展</w:t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b/>
          <w:sz w:val="24"/>
        </w:rPr>
        <w:t>【未来展望】</w:t>
      </w:r>
      <w:r>
        <w:rPr>
          <w:rFonts w:ascii="Times New Roman" w:hAnsi="Times New Roman" w:eastAsia="宋体"/>
          <w:sz w:val="24"/>
        </w:rPr>
      </w:r>
    </w:p>
    <w:p>
      <w:pPr>
        <w:spacing w:line="360" w:lineRule="auto"/>
        <w:ind w:firstLine="420"/>
        <w:jc w:val="both"/>
      </w:pPr>
      <w:r>
        <w:rPr>
          <w:rFonts w:ascii="Times New Roman" w:hAnsi="Times New Roman" w:eastAsia="宋体"/>
          <w:sz w:val="24"/>
        </w:rPr>
        <w:t>展望2030年，中核集团电算协同业务有望形成以下格局：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算力规模：运营绿色算力超过50000P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碳资产：管理核电碳资产超过500万吨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技术标准：主导制定3-5项国家标准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行业地位：成为国内领先、国际一流的绿色算力服务商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 w:eastAsia="宋体"/>
          <w:sz w:val="24"/>
        </w:rPr>
        <w:t>收入规模：年营业收入突破150-200亿元</w:t>
      </w:r>
    </w:p>
    <w:p>
      <w:r>
        <w:br w:type="page"/>
      </w:r>
    </w:p>
    <w:p>
      <w:pPr>
        <w:jc w:val="center"/>
      </w:pPr>
      <w:r>
        <w:rPr>
          <w:sz w:val="24"/>
        </w:rPr>
        <w:t>— 完 —</w:t>
      </w:r>
    </w:p>
    <w:p>
      <w:pPr>
        <w:jc w:val="center"/>
      </w:pPr>
      <w:r>
        <w:rPr>
          <w:sz w:val="18"/>
        </w:rPr>
        <w:t>免责声明：本报告基于公开信息和行业研究形成，部分前瞻性判断存在不确定性，仅供集团高层领导决策参考。报告中2030年数据为预测值，实际数据可能因政策、市场等因素变化而有所不同。</w:t>
      </w:r>
    </w:p>
    <w:p>
      <w:pPr>
        <w:jc w:val="center"/>
      </w:pPr>
      <w:r>
        <w:rPr>
          <w:sz w:val="18"/>
        </w:rPr>
        <w:t>数据更新时间：2026年5月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