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rPr>
        <w:t>终端和表计故障类型与特征关联技术及健康状态评估规则库设计研究</w:t>
      </w:r>
    </w:p>
    <w:p/>
    <w:p>
      <w:pPr>
        <w:spacing w:line="360" w:lineRule="auto"/>
      </w:pPr>
      <w:r>
        <w:rPr>
          <w:rFonts w:ascii="宋体" w:hAnsi="宋体" w:eastAsia="宋体"/>
          <w:sz w:val="24"/>
        </w:rPr>
        <w:t>科技项目技术报告</w:t>
      </w:r>
    </w:p>
    <w:p/>
    <w:p>
      <w:pPr>
        <w:spacing w:line="360" w:lineRule="auto"/>
      </w:pPr>
      <w:r>
        <w:rPr>
          <w:rFonts w:ascii="宋体" w:hAnsi="宋体" w:eastAsia="宋体"/>
          <w:sz w:val="24"/>
        </w:rPr>
        <w:t>项目名称：终端和表计健康状态评估与电量异常识别研究</w:t>
      </w:r>
    </w:p>
    <w:p>
      <w:pPr>
        <w:spacing w:line="360" w:lineRule="auto"/>
      </w:pPr>
      <w:r>
        <w:rPr>
          <w:rFonts w:ascii="宋体" w:hAnsi="宋体" w:eastAsia="宋体"/>
          <w:sz w:val="24"/>
        </w:rPr>
        <w:t>课题一名称：终端和表计故障类型与特征关联技术及健康状态评估规则库设计研究</w:t>
      </w:r>
    </w:p>
    <w:p>
      <w:r>
        <w:br w:type="page"/>
      </w:r>
    </w:p>
    <w:p>
      <w:pPr>
        <w:pStyle w:val="Heading1"/>
      </w:pPr>
      <w:r>
        <w:rPr>
          <w:rFonts w:ascii="黑体" w:hAnsi="黑体" w:eastAsia="黑体"/>
          <w:b/>
          <w:sz w:val="36"/>
        </w:rPr>
        <w:t>目录</w:t>
      </w:r>
    </w:p>
    <w:p/>
    <w:p>
      <w:pPr>
        <w:spacing w:line="360" w:lineRule="auto"/>
      </w:pPr>
      <w:r>
        <w:rPr>
          <w:rFonts w:ascii="宋体" w:hAnsi="宋体" w:eastAsia="宋体"/>
          <w:sz w:val="24"/>
        </w:rPr>
        <w:t>图目录</w:t>
      </w:r>
    </w:p>
    <w:p/>
    <w:p>
      <w:pPr>
        <w:spacing w:line="360" w:lineRule="auto"/>
      </w:pPr>
      <w:r>
        <w:rPr>
          <w:rFonts w:ascii="宋体" w:hAnsi="宋体" w:eastAsia="宋体"/>
          <w:sz w:val="24"/>
        </w:rPr>
        <w:t>表目录</w:t>
      </w:r>
    </w:p>
    <w:p>
      <w:r>
        <w:br w:type="page"/>
      </w:r>
    </w:p>
    <w:p>
      <w:pPr>
        <w:pStyle w:val="Heading1"/>
      </w:pPr>
      <w:r>
        <w:rPr>
          <w:rFonts w:ascii="黑体" w:hAnsi="黑体" w:eastAsia="黑体"/>
          <w:b/>
          <w:sz w:val="36"/>
        </w:rPr>
        <w:t>摘要</w:t>
      </w:r>
    </w:p>
    <w:p/>
    <w:p>
      <w:pPr>
        <w:spacing w:line="360" w:lineRule="auto"/>
        <w:ind w:firstLine="432"/>
      </w:pPr>
      <w:r>
        <w:rPr>
          <w:rFonts w:ascii="宋体" w:hAnsi="宋体" w:eastAsia="宋体"/>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
      <w:pPr>
        <w:spacing w:line="360" w:lineRule="auto"/>
        <w:ind w:firstLine="432"/>
      </w:pPr>
      <w:r>
        <w:rPr>
          <w:rFonts w:ascii="宋体" w:hAnsi="宋体" w:eastAsia="宋体"/>
          <w:sz w:val="24"/>
        </w:rPr>
        <w:t>本课题针对上述问题，围绕"揭示故障机理-构建特征关联-设计规则库"的研究主线，系统开展终端和表计故障机理与性能退化规律研究，提出多源数据融合的故障特征提取与关联技术，构建科学统一的健康状态评估规则库。主要研究内容包括：（1）基于电力学原理的终端和表计故障机理分析，建立典型故障模式的非线性数学模型；（2）多源状态信息高维特征矩阵构建，基于流形学习的关键特征提取；（3）机理与数据融合的故障类型-特征强关联规则挖掘；（4）全寿命周期分阶段、多尺度健康状态评估规则库设计。</w:t>
      </w:r>
    </w:p>
    <w:p/>
    <w:p>
      <w:pPr>
        <w:spacing w:line="360" w:lineRule="auto"/>
        <w:ind w:firstLine="432"/>
      </w:pPr>
      <w:r>
        <w:rPr>
          <w:rFonts w:ascii="宋体" w:hAnsi="宋体" w:eastAsia="宋体"/>
          <w:sz w:val="24"/>
        </w:rPr>
        <w:t>本课题的关键技术创新点在于：提出了机理-数据双驱动的故障特征关联方法，将物理机理分析与数据挖掘技术有机结合；构建了高维特征低维流形提取算法，实现了状态特征的有效降维与可视化；设计了单元级-设备级-台区级三级评估规则库，形成了完整的评估体系。</w:t>
      </w:r>
    </w:p>
    <w:p/>
    <w:p>
      <w:pPr>
        <w:spacing w:line="360" w:lineRule="auto"/>
        <w:ind w:firstLine="432"/>
      </w:pPr>
      <w:r>
        <w:rPr>
          <w:rFonts w:ascii="宋体" w:hAnsi="宋体" w:eastAsia="宋体"/>
          <w:sz w:val="24"/>
        </w:rPr>
        <w:t>通过本课题研究，预期可将终端和表计健康状态评估准确率提升至85%以上，无效告警数量压降40%以上，显著提升设备运维效率，保障电力系统安全稳定运行，具有重要的理论意义和工程应用价值。</w:t>
      </w:r>
    </w:p>
    <w:p>
      <w:r>
        <w:br w:type="page"/>
      </w:r>
    </w:p>
    <w:p>
      <w:pPr>
        <w:pStyle w:val="Heading1"/>
      </w:pPr>
      <w:r>
        <w:rPr>
          <w:rFonts w:ascii="黑体" w:hAnsi="黑体" w:eastAsia="黑体"/>
          <w:b/>
          <w:sz w:val="36"/>
        </w:rPr>
        <w:t>第一章 绪论</w:t>
      </w:r>
    </w:p>
    <w:p/>
    <w:p>
      <w:pPr>
        <w:pStyle w:val="Heading2"/>
      </w:pPr>
      <w:r>
        <w:rPr>
          <w:rFonts w:ascii="黑体" w:hAnsi="黑体" w:eastAsia="黑体"/>
          <w:b/>
          <w:sz w:val="32"/>
        </w:rPr>
        <w:t>1.1 项目背景与意义</w:t>
      </w:r>
    </w:p>
    <w:p>
      <w:pPr>
        <w:pStyle w:val="Heading3"/>
      </w:pPr>
      <w:r>
        <w:rPr>
          <w:rFonts w:ascii="黑体" w:hAnsi="黑体" w:eastAsia="黑体"/>
          <w:b/>
          <w:sz w:val="28"/>
        </w:rPr>
        <w:t>1.1.1 智能量测体系建设与数字电网背景</w:t>
      </w:r>
    </w:p>
    <w:p>
      <w:pPr>
        <w:spacing w:line="360" w:lineRule="auto"/>
        <w:ind w:firstLine="432"/>
      </w:pPr>
      <w:r>
        <w:rPr>
          <w:rFonts w:ascii="宋体" w:hAnsi="宋体" w:eastAsia="宋体"/>
          <w:sz w:val="24"/>
        </w:rP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w:t>
      </w:r>
    </w:p>
    <w:p/>
    <w:p>
      <w:pPr>
        <w:spacing w:line="360" w:lineRule="auto"/>
        <w:ind w:firstLine="432"/>
      </w:pPr>
      <w:r>
        <w:rPr>
          <w:rFonts w:ascii="宋体" w:hAnsi="宋体" w:eastAsia="宋体"/>
          <w:sz w:val="24"/>
        </w:rPr>
        <w:t>根据国家电网公司2025年统计数据，全国范围内已安装智能电能表超过6亿只，用电信息采集终端数量突破1000万台，采集覆盖率达到99.5%以上，建成了全球规模最大的用电信息采集系统。</w:t>
      </w:r>
    </w:p>
    <w:p>
      <w:pPr>
        <w:jc w:val="center"/>
      </w:pPr>
      <w:r>
        <w:rPr>
          <w:i/>
          <w:sz w:val="22"/>
        </w:rPr>
        <w:t>[图: 智能量测体系架构示意图]</w:t>
      </w:r>
    </w:p>
    <w:p/>
    <w:p>
      <w:r>
        <w:br w:type="page"/>
      </w:r>
    </w:p>
    <w:p>
      <w:pPr>
        <w:pStyle w:val="Heading1"/>
      </w:pPr>
      <w:r>
        <w:rPr>
          <w:rFonts w:ascii="黑体" w:hAnsi="黑体" w:eastAsia="黑体"/>
          <w:b/>
          <w:sz w:val="36"/>
        </w:rPr>
        <w:t>第二章 终端和表计故障机理与性能退化研究</w:t>
      </w:r>
    </w:p>
    <w:p/>
    <w:p>
      <w:pPr>
        <w:pStyle w:val="Heading2"/>
      </w:pPr>
      <w:r>
        <w:rPr>
          <w:rFonts w:ascii="黑体" w:hAnsi="黑体" w:eastAsia="黑体"/>
          <w:b/>
          <w:sz w:val="32"/>
        </w:rPr>
        <w:t>2.1 终端和表计系统梳理与故障分类</w:t>
      </w:r>
    </w:p>
    <w:p>
      <w:pPr>
        <w:spacing w:line="360" w:lineRule="auto"/>
        <w:ind w:firstLine="432"/>
      </w:pPr>
      <w:r>
        <w:rPr>
          <w:rFonts w:ascii="宋体" w:hAnsi="宋体" w:eastAsia="宋体"/>
          <w:sz w:val="24"/>
        </w:rPr>
        <w:t>本课题的研究对象包括两类设备：智能电能表和用电信息采集终端。智能电能表是指具有电能计量、数据存储、数据处理、实时监测、自动控制、信息交互等功能的电能表。</w:t>
      </w:r>
    </w:p>
    <w:p>
      <w:pPr>
        <w:jc w:val="center"/>
      </w:pPr>
      <w:r>
        <w:rPr>
          <w:i/>
          <w:sz w:val="22"/>
        </w:rPr>
        <w:t>[图: 智能终端和表计功能模块分解图]</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2"/>
              </w:rPr>
              <w:t>故障类型</w:t>
            </w:r>
          </w:p>
        </w:tc>
        <w:tc>
          <w:tcPr>
            <w:tcW w:type="dxa" w:w="2160"/>
          </w:tcPr>
          <w:p>
            <w:pPr>
              <w:jc w:val="center"/>
            </w:pPr>
            <w:r>
              <w:rPr>
                <w:rFonts w:ascii="宋体" w:hAnsi="宋体" w:eastAsia="宋体"/>
                <w:b/>
                <w:sz w:val="22"/>
              </w:rPr>
              <w:t>典型故障模式</w:t>
            </w:r>
          </w:p>
        </w:tc>
        <w:tc>
          <w:tcPr>
            <w:tcW w:type="dxa" w:w="2160"/>
          </w:tcPr>
          <w:p>
            <w:pPr>
              <w:jc w:val="center"/>
            </w:pPr>
            <w:r>
              <w:rPr>
                <w:rFonts w:ascii="宋体" w:hAnsi="宋体" w:eastAsia="宋体"/>
                <w:b/>
                <w:sz w:val="22"/>
              </w:rPr>
              <w:t>主要失效机理</w:t>
            </w:r>
          </w:p>
        </w:tc>
        <w:tc>
          <w:tcPr>
            <w:tcW w:type="dxa" w:w="2160"/>
          </w:tcPr>
          <w:p>
            <w:pPr>
              <w:jc w:val="center"/>
            </w:pPr>
            <w:r>
              <w:rPr>
                <w:rFonts w:ascii="宋体" w:hAnsi="宋体" w:eastAsia="宋体"/>
                <w:b/>
                <w:sz w:val="22"/>
              </w:rPr>
              <w:t>影响程度</w:t>
            </w:r>
          </w:p>
        </w:tc>
      </w:tr>
      <w:tr>
        <w:tc>
          <w:tcPr>
            <w:tcW w:type="dxa" w:w="2160"/>
          </w:tcPr>
          <w:p>
            <w:pPr>
              <w:jc w:val="center"/>
            </w:pPr>
            <w:r>
              <w:rPr>
                <w:rFonts w:ascii="宋体" w:hAnsi="宋体" w:eastAsia="宋体"/>
                <w:sz w:val="20"/>
              </w:rPr>
              <w:t>电源模块</w:t>
            </w:r>
          </w:p>
        </w:tc>
        <w:tc>
          <w:tcPr>
            <w:tcW w:type="dxa" w:w="2160"/>
          </w:tcPr>
          <w:p>
            <w:pPr>
              <w:jc w:val="center"/>
            </w:pPr>
            <w:r>
              <w:rPr>
                <w:rFonts w:ascii="宋体" w:hAnsi="宋体" w:eastAsia="宋体"/>
                <w:sz w:val="20"/>
              </w:rPr>
              <w:t>电源失效</w:t>
            </w:r>
          </w:p>
        </w:tc>
        <w:tc>
          <w:tcPr>
            <w:tcW w:type="dxa" w:w="2160"/>
          </w:tcPr>
          <w:p>
            <w:pPr>
              <w:jc w:val="center"/>
            </w:pPr>
            <w:r>
              <w:rPr>
                <w:rFonts w:ascii="宋体" w:hAnsi="宋体" w:eastAsia="宋体"/>
                <w:sz w:val="20"/>
              </w:rPr>
              <w:t>电容老化、变压器损坏</w:t>
            </w:r>
          </w:p>
        </w:tc>
        <w:tc>
          <w:tcPr>
            <w:tcW w:type="dxa" w:w="2160"/>
          </w:tcPr>
          <w:p>
            <w:pPr>
              <w:jc w:val="center"/>
            </w:pPr>
            <w:r>
              <w:rPr>
                <w:rFonts w:ascii="宋体" w:hAnsi="宋体" w:eastAsia="宋体"/>
                <w:sz w:val="20"/>
              </w:rPr>
              <w:t>严重</w:t>
            </w:r>
          </w:p>
        </w:tc>
      </w:tr>
      <w:tr>
        <w:tc>
          <w:tcPr>
            <w:tcW w:type="dxa" w:w="2160"/>
          </w:tcPr>
          <w:p>
            <w:pPr>
              <w:jc w:val="center"/>
            </w:pPr>
            <w:r>
              <w:rPr>
                <w:rFonts w:ascii="宋体" w:hAnsi="宋体" w:eastAsia="宋体"/>
                <w:sz w:val="20"/>
              </w:rPr>
              <w:t>计量模块</w:t>
            </w:r>
          </w:p>
        </w:tc>
        <w:tc>
          <w:tcPr>
            <w:tcW w:type="dxa" w:w="2160"/>
          </w:tcPr>
          <w:p>
            <w:pPr>
              <w:jc w:val="center"/>
            </w:pPr>
            <w:r>
              <w:rPr>
                <w:rFonts w:ascii="宋体" w:hAnsi="宋体" w:eastAsia="宋体"/>
                <w:sz w:val="20"/>
              </w:rPr>
              <w:t>计量超差</w:t>
            </w:r>
          </w:p>
        </w:tc>
        <w:tc>
          <w:tcPr>
            <w:tcW w:type="dxa" w:w="2160"/>
          </w:tcPr>
          <w:p>
            <w:pPr>
              <w:jc w:val="center"/>
            </w:pPr>
            <w:r>
              <w:rPr>
                <w:rFonts w:ascii="宋体" w:hAnsi="宋体" w:eastAsia="宋体"/>
                <w:sz w:val="20"/>
              </w:rPr>
              <w:t>计量芯片漂移、互感器老化</w:t>
            </w:r>
          </w:p>
        </w:tc>
        <w:tc>
          <w:tcPr>
            <w:tcW w:type="dxa" w:w="2160"/>
          </w:tcPr>
          <w:p>
            <w:pPr>
              <w:jc w:val="center"/>
            </w:pPr>
            <w:r>
              <w:rPr>
                <w:rFonts w:ascii="宋体" w:hAnsi="宋体" w:eastAsia="宋体"/>
                <w:sz w:val="20"/>
              </w:rPr>
              <w:t>严重</w:t>
            </w:r>
          </w:p>
        </w:tc>
      </w:tr>
      <w:tr>
        <w:tc>
          <w:tcPr>
            <w:tcW w:type="dxa" w:w="2160"/>
          </w:tcPr>
          <w:p>
            <w:pPr>
              <w:jc w:val="center"/>
            </w:pPr>
            <w:r>
              <w:rPr>
                <w:rFonts w:ascii="宋体" w:hAnsi="宋体" w:eastAsia="宋体"/>
                <w:sz w:val="20"/>
              </w:rPr>
              <w:t>通信模块</w:t>
            </w:r>
          </w:p>
        </w:tc>
        <w:tc>
          <w:tcPr>
            <w:tcW w:type="dxa" w:w="2160"/>
          </w:tcPr>
          <w:p>
            <w:pPr>
              <w:jc w:val="center"/>
            </w:pPr>
            <w:r>
              <w:rPr>
                <w:rFonts w:ascii="宋体" w:hAnsi="宋体" w:eastAsia="宋体"/>
                <w:sz w:val="20"/>
              </w:rPr>
              <w:t>通信中断</w:t>
            </w:r>
          </w:p>
        </w:tc>
        <w:tc>
          <w:tcPr>
            <w:tcW w:type="dxa" w:w="2160"/>
          </w:tcPr>
          <w:p>
            <w:pPr>
              <w:jc w:val="center"/>
            </w:pPr>
            <w:r>
              <w:rPr>
                <w:rFonts w:ascii="宋体" w:hAnsi="宋体" w:eastAsia="宋体"/>
                <w:sz w:val="20"/>
              </w:rPr>
              <w:t>通信芯片损坏、天线故障</w:t>
            </w:r>
          </w:p>
        </w:tc>
        <w:tc>
          <w:tcPr>
            <w:tcW w:type="dxa" w:w="2160"/>
          </w:tcPr>
          <w:p>
            <w:pPr>
              <w:jc w:val="center"/>
            </w:pPr>
            <w:r>
              <w:rPr>
                <w:rFonts w:ascii="宋体" w:hAnsi="宋体" w:eastAsia="宋体"/>
                <w:sz w:val="20"/>
              </w:rPr>
              <w:t>中等</w:t>
            </w:r>
          </w:p>
        </w:tc>
      </w:tr>
    </w:tbl>
    <w:p/>
    <w:p>
      <w:r>
        <w:br w:type="page"/>
      </w:r>
    </w:p>
    <w:p>
      <w:pPr>
        <w:pStyle w:val="Heading1"/>
      </w:pPr>
      <w:r>
        <w:rPr>
          <w:rFonts w:ascii="黑体" w:hAnsi="黑体" w:eastAsia="黑体"/>
          <w:b/>
          <w:sz w:val="36"/>
        </w:rPr>
        <w:t>第三章 终端和表计故障类型与特征关联技术研究</w:t>
      </w:r>
    </w:p>
    <w:p/>
    <w:p>
      <w:pPr>
        <w:spacing w:line="360" w:lineRule="auto"/>
        <w:ind w:firstLine="432"/>
      </w:pPr>
      <w:r>
        <w:rPr>
          <w:rFonts w:ascii="宋体" w:hAnsi="宋体" w:eastAsia="宋体"/>
          <w:sz w:val="24"/>
        </w:rPr>
        <w:t>本章研究多源状态信息高维特征矩阵的构建方法，以及关键特征的低维流形提取技术。</w:t>
      </w:r>
    </w:p>
    <w:p>
      <w:r>
        <w:br w:type="page"/>
      </w:r>
    </w:p>
    <w:p>
      <w:pPr>
        <w:pStyle w:val="Heading1"/>
      </w:pPr>
      <w:r>
        <w:rPr>
          <w:rFonts w:ascii="黑体" w:hAnsi="黑体" w:eastAsia="黑体"/>
          <w:b/>
          <w:sz w:val="36"/>
        </w:rPr>
        <w:t>第四章 健康状态评估规则库设计研究</w:t>
      </w:r>
    </w:p>
    <w:p/>
    <w:p>
      <w:pPr>
        <w:spacing w:line="360" w:lineRule="auto"/>
        <w:ind w:firstLine="432"/>
      </w:pPr>
      <w:r>
        <w:rPr>
          <w:rFonts w:ascii="宋体" w:hAnsi="宋体" w:eastAsia="宋体"/>
          <w:sz w:val="24"/>
        </w:rPr>
        <w:t>本章构建科学统一的健康状态评估规则库，设计单元级-设备级-台区级三级评估规则。</w:t>
      </w:r>
    </w:p>
    <w:p>
      <w:r>
        <w:br w:type="page"/>
      </w:r>
    </w:p>
    <w:p>
      <w:pPr>
        <w:pStyle w:val="Heading1"/>
      </w:pPr>
      <w:r>
        <w:rPr>
          <w:rFonts w:ascii="黑体" w:hAnsi="黑体" w:eastAsia="黑体"/>
          <w:b/>
          <w:sz w:val="36"/>
        </w:rPr>
        <w:t>第五章 成果应用与示范验证</w:t>
      </w:r>
    </w:p>
    <w:p/>
    <w:p>
      <w:pPr>
        <w:spacing w:line="360" w:lineRule="auto"/>
        <w:ind w:firstLine="432"/>
      </w:pPr>
      <w:r>
        <w:rPr>
          <w:rFonts w:ascii="宋体" w:hAnsi="宋体" w:eastAsia="宋体"/>
          <w:sz w:val="24"/>
        </w:rPr>
        <w:t>本章介绍规则库在实际项目中的集成应用和示范验证效果。</w:t>
      </w:r>
    </w:p>
    <w:p>
      <w:r>
        <w:br w:type="page"/>
      </w:r>
    </w:p>
    <w:p>
      <w:pPr>
        <w:pStyle w:val="Heading1"/>
      </w:pPr>
      <w:r>
        <w:rPr>
          <w:rFonts w:ascii="黑体" w:hAnsi="黑体" w:eastAsia="黑体"/>
          <w:b/>
          <w:sz w:val="36"/>
        </w:rPr>
        <w:t>第六章 结论与展望</w:t>
      </w:r>
    </w:p>
    <w:p/>
    <w:p>
      <w:pPr>
        <w:spacing w:line="360" w:lineRule="auto"/>
        <w:ind w:firstLine="432"/>
      </w:pPr>
      <w:r>
        <w:rPr>
          <w:rFonts w:ascii="宋体" w:hAnsi="宋体" w:eastAsia="宋体"/>
          <w:sz w:val="24"/>
        </w:rPr>
        <w:t>本章总结本课题的主要研究结论，分析研究不足，并对未来研究方向进行展望。</w:t>
      </w:r>
    </w:p>
    <w:p>
      <w:r>
        <w:br w:type="page"/>
      </w:r>
    </w:p>
    <w:p>
      <w:pPr>
        <w:pStyle w:val="Heading1"/>
      </w:pPr>
      <w:r>
        <w:rPr>
          <w:rFonts w:ascii="黑体" w:hAnsi="黑体" w:eastAsia="黑体"/>
          <w:b/>
          <w:sz w:val="36"/>
        </w:rPr>
        <w:t>参考文献</w:t>
      </w:r>
    </w:p>
    <w:p/>
    <w:p>
      <w:pPr>
        <w:spacing w:line="360" w:lineRule="auto"/>
        <w:ind w:left="432"/>
      </w:pPr>
      <w:r>
        <w:rPr>
          <w:rFonts w:ascii="宋体" w:hAnsi="宋体" w:eastAsia="宋体"/>
          <w:sz w:val="24"/>
        </w:rPr>
        <w:t>[1] 国家电网公司. 智能电能表技术规范[S]. 2020.</w:t>
      </w:r>
    </w:p>
    <w:p>
      <w:pPr>
        <w:spacing w:line="360" w:lineRule="auto"/>
        <w:ind w:left="432"/>
      </w:pPr>
      <w:r>
        <w:rPr>
          <w:rFonts w:ascii="宋体" w:hAnsi="宋体" w:eastAsia="宋体"/>
          <w:sz w:val="24"/>
        </w:rPr>
        <w:t>[2] IEEE Std 1459-2010, IEEE Standard for Definitions of Terms Used in Power Quality Measurement[S].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