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黑体" w:hAnsi="黑体" w:eastAsia="黑体"/>
          <w:b/>
          <w:sz w:val="36"/>
        </w:rPr>
        <w:t>终端和表计故障类型与特征关联技术及健康状态评估规则库设计研究</w:t>
      </w:r>
    </w:p>
    <w:p/>
    <w:p>
      <w:pPr>
        <w:pStyle w:val="Heading2"/>
      </w:pPr>
      <w:r>
        <w:rPr>
          <w:rFonts w:ascii="黑体" w:hAnsi="黑体" w:eastAsia="黑体"/>
          <w:b/>
          <w:sz w:val="32"/>
        </w:rPr>
        <w:t>科技项目技术报告</w:t>
      </w:r>
    </w:p>
    <w:p/>
    <w:p>
      <w:pPr>
        <w:spacing w:line="360" w:lineRule="auto"/>
        <w:ind w:left="432"/>
      </w:pPr>
      <w:r>
        <w:rPr>
          <w:rFonts w:ascii="宋体" w:hAnsi="宋体" w:eastAsia="宋体"/>
          <w:sz w:val="24"/>
        </w:rPr>
        <w:t xml:space="preserve">    **项目名称：** 终端和表计健康状态评估与电量异常识别研究</w:t>
      </w:r>
    </w:p>
    <w:p>
      <w:pPr>
        <w:spacing w:line="360" w:lineRule="auto"/>
        <w:ind w:left="432"/>
      </w:pPr>
      <w:r>
        <w:rPr>
          <w:rFonts w:ascii="宋体" w:hAnsi="宋体" w:eastAsia="宋体"/>
          <w:sz w:val="24"/>
        </w:rPr>
        <w:t xml:space="preserve">    **课题一名称：** 终端和表计故障类型与特征关联技术及健康状态评估规则库设计研究</w:t>
      </w:r>
    </w:p>
    <w:p/>
    <w:p>
      <w:r>
        <w:br w:type="page"/>
      </w:r>
    </w:p>
    <w:p/>
    <w:p>
      <w:pPr>
        <w:pStyle w:val="Heading2"/>
      </w:pPr>
      <w:r>
        <w:rPr>
          <w:rFonts w:ascii="黑体" w:hAnsi="黑体" w:eastAsia="黑体"/>
          <w:b/>
          <w:sz w:val="32"/>
        </w:rPr>
        <w:t>摘要</w:t>
      </w:r>
    </w:p>
    <w:p/>
    <w:p>
      <w:pPr>
        <w:spacing w:line="360" w:lineRule="auto"/>
        <w:ind w:firstLine="432"/>
      </w:pPr>
      <w:r>
        <w:rPr>
          <w:rFonts w:ascii="宋体" w:hAnsi="宋体" w:eastAsia="宋体"/>
          <w:sz w:val="24"/>
        </w:rPr>
        <w:t>随着智能电网建设的深入推进，智能终端和电能表计已成为电力系统的重要组成部分。截至2025年，全国智能电能表安装量已超过6亿只，各类用电信息采集终端数量突破1000万台，构建了全球最大的用电信息采集系统。然而，随着设备规模的快速扩大，终端和表计的健康状态评估面临着严峻挑战：现有评估方法精度不高，告警准确率不足60%；无效告警数量庞大，现场核查工作量巨大；故障机理研究不深入，缺乏统一的评估标准。</w:t>
      </w:r>
    </w:p>
    <w:p/>
    <w:p>
      <w:pPr>
        <w:spacing w:line="360" w:lineRule="auto"/>
        <w:ind w:firstLine="432"/>
      </w:pPr>
      <w:r>
        <w:rPr>
          <w:rFonts w:ascii="宋体" w:hAnsi="宋体" w:eastAsia="宋体"/>
          <w:sz w:val="24"/>
        </w:rPr>
        <w:t>本课题针对上述问题，围绕"揭示故障机理-构建特征关联-设计规则库"的研究主线，系统开展终端和表计故障机理与性能退化规律研究，提出多源数据融合的故障特征提取与关联技术，构建科学统一的健康状态评估规则库。主要研究内容包括：（1）基于电力学原理的终端和表计故障机理分析，建立典型故障模式的非线性数学模型；（2）多源状态信息高维特征矩阵构建，基于流形学习的关键特征提取；（3）机理与数据融合的故障类型-特征强关联规则挖掘；（4）全寿命周期分阶段、多尺度健康状态评估规则库设计。</w:t>
      </w:r>
    </w:p>
    <w:p/>
    <w:p>
      <w:pPr>
        <w:spacing w:line="360" w:lineRule="auto"/>
        <w:ind w:firstLine="432"/>
      </w:pPr>
      <w:r>
        <w:rPr>
          <w:rFonts w:ascii="宋体" w:hAnsi="宋体" w:eastAsia="宋体"/>
          <w:sz w:val="24"/>
        </w:rPr>
        <w:t>本课题的关键技术创新点在于：提出了机理-数据双驱动的故障特征关联方法，将物理机理分析与数据挖掘技术有机结合；构建了高维特征低维流形提取算法，实现了状态特征的有效降维与可视化；设计了单元级-设备级-台区级三级评估规则库，形成了完整的评估体系。</w:t>
      </w:r>
    </w:p>
    <w:p/>
    <w:p>
      <w:pPr>
        <w:spacing w:line="360" w:lineRule="auto"/>
        <w:ind w:firstLine="432"/>
      </w:pPr>
      <w:r>
        <w:rPr>
          <w:rFonts w:ascii="宋体" w:hAnsi="宋体" w:eastAsia="宋体"/>
          <w:sz w:val="24"/>
        </w:rPr>
        <w:t>通过本课题研究，预期可将终端和表计健康状态评估准确率提升至85%以上，无效告警数量压降40%以上，显著提升设备运维效率，保障电力系统安全稳定运行，具有重要的理论意义和工程应用价值。</w:t>
      </w:r>
    </w:p>
    <w:p/>
    <w:p>
      <w:r>
        <w:br w:type="page"/>
      </w:r>
    </w:p>
    <w:p/>
    <w:p>
      <w:pPr>
        <w:pStyle w:val="Heading2"/>
      </w:pPr>
      <w:r>
        <w:rPr>
          <w:rFonts w:ascii="黑体" w:hAnsi="黑体" w:eastAsia="黑体"/>
          <w:b/>
          <w:sz w:val="32"/>
        </w:rPr>
        <w:t>目录</w:t>
      </w:r>
    </w:p>
    <w:p/>
    <w:p>
      <w:pPr>
        <w:spacing w:line="360" w:lineRule="auto"/>
        <w:ind w:left="432"/>
      </w:pPr>
      <w:r>
        <w:rPr>
          <w:rFonts w:ascii="宋体" w:hAnsi="宋体" w:eastAsia="宋体"/>
          <w:sz w:val="24"/>
        </w:rPr>
        <w:t xml:space="preserve">    **图目录**</w:t>
      </w:r>
    </w:p>
    <w:p>
      <w:pPr>
        <w:spacing w:line="360" w:lineRule="auto"/>
        <w:ind w:left="432"/>
      </w:pPr>
      <w:r>
        <w:rPr>
          <w:rFonts w:ascii="宋体" w:hAnsi="宋体" w:eastAsia="宋体"/>
          <w:sz w:val="24"/>
        </w:rPr>
        <w:t xml:space="preserve">    - 图1-1 智能量测体系架构示意图</w:t>
      </w:r>
    </w:p>
    <w:p>
      <w:pPr>
        <w:spacing w:line="360" w:lineRule="auto"/>
        <w:ind w:left="432"/>
      </w:pPr>
      <w:r>
        <w:rPr>
          <w:rFonts w:ascii="宋体" w:hAnsi="宋体" w:eastAsia="宋体"/>
          <w:sz w:val="24"/>
        </w:rPr>
        <w:t xml:space="preserve">    - 图1-2 课题技术路线图</w:t>
      </w:r>
    </w:p>
    <w:p>
      <w:pPr>
        <w:spacing w:line="360" w:lineRule="auto"/>
        <w:ind w:left="432"/>
      </w:pPr>
      <w:r>
        <w:rPr>
          <w:rFonts w:ascii="宋体" w:hAnsi="宋体" w:eastAsia="宋体"/>
          <w:sz w:val="24"/>
        </w:rPr>
        <w:t xml:space="preserve">    - 图2-1 智能终端和表计功能模块分解图</w:t>
      </w:r>
    </w:p>
    <w:p>
      <w:pPr>
        <w:spacing w:line="360" w:lineRule="auto"/>
        <w:ind w:left="432"/>
      </w:pPr>
      <w:r>
        <w:rPr>
          <w:rFonts w:ascii="宋体" w:hAnsi="宋体" w:eastAsia="宋体"/>
          <w:sz w:val="24"/>
        </w:rPr>
        <w:t xml:space="preserve">    - 图2-2 故障分类树状图</w:t>
      </w:r>
    </w:p>
    <w:p>
      <w:pPr>
        <w:spacing w:line="360" w:lineRule="auto"/>
        <w:ind w:left="432"/>
      </w:pPr>
      <w:r>
        <w:rPr>
          <w:rFonts w:ascii="宋体" w:hAnsi="宋体" w:eastAsia="宋体"/>
          <w:sz w:val="24"/>
        </w:rPr>
        <w:t xml:space="preserve">    - 图2-3 计量芯片漂移故障数学模型示意图</w:t>
      </w:r>
    </w:p>
    <w:p>
      <w:pPr>
        <w:spacing w:line="360" w:lineRule="auto"/>
        <w:ind w:left="432"/>
      </w:pPr>
      <w:r>
        <w:rPr>
          <w:rFonts w:ascii="宋体" w:hAnsi="宋体" w:eastAsia="宋体"/>
          <w:sz w:val="24"/>
        </w:rPr>
        <w:t xml:space="preserve">    - 图2-4 故障演化阶段与状态转移图</w:t>
      </w:r>
    </w:p>
    <w:p>
      <w:pPr>
        <w:spacing w:line="360" w:lineRule="auto"/>
        <w:ind w:left="432"/>
      </w:pPr>
      <w:r>
        <w:rPr>
          <w:rFonts w:ascii="宋体" w:hAnsi="宋体" w:eastAsia="宋体"/>
          <w:sz w:val="24"/>
        </w:rPr>
        <w:t xml:space="preserve">    - 图2-5 高温高湿环境下电源模块输出纹波变化曲线</w:t>
      </w:r>
    </w:p>
    <w:p>
      <w:pPr>
        <w:spacing w:line="360" w:lineRule="auto"/>
        <w:ind w:left="432"/>
      </w:pPr>
      <w:r>
        <w:rPr>
          <w:rFonts w:ascii="宋体" w:hAnsi="宋体" w:eastAsia="宋体"/>
          <w:sz w:val="24"/>
        </w:rPr>
        <w:t xml:space="preserve">    - 图2-6 不同负载率下计量误差的变化趋势图</w:t>
      </w:r>
    </w:p>
    <w:p>
      <w:pPr>
        <w:spacing w:line="360" w:lineRule="auto"/>
        <w:ind w:left="432"/>
      </w:pPr>
      <w:r>
        <w:rPr>
          <w:rFonts w:ascii="宋体" w:hAnsi="宋体" w:eastAsia="宋体"/>
          <w:sz w:val="24"/>
        </w:rPr>
        <w:t xml:space="preserve">    - 图3-1 高维特征矩阵构建示意图</w:t>
      </w:r>
    </w:p>
    <w:p>
      <w:pPr>
        <w:spacing w:line="360" w:lineRule="auto"/>
        <w:ind w:left="432"/>
      </w:pPr>
      <w:r>
        <w:rPr>
          <w:rFonts w:ascii="宋体" w:hAnsi="宋体" w:eastAsia="宋体"/>
          <w:sz w:val="24"/>
        </w:rPr>
        <w:t xml:space="preserve">    - 图3-2 特征经t-SNE降维后在二维空间的聚类分布图</w:t>
      </w:r>
    </w:p>
    <w:p>
      <w:pPr>
        <w:spacing w:line="360" w:lineRule="auto"/>
        <w:ind w:left="432"/>
      </w:pPr>
      <w:r>
        <w:rPr>
          <w:rFonts w:ascii="宋体" w:hAnsi="宋体" w:eastAsia="宋体"/>
          <w:sz w:val="24"/>
        </w:rPr>
        <w:t xml:space="preserve">    - 图3-3 一维卷积神经网络自适应特征学习框架</w:t>
      </w:r>
    </w:p>
    <w:p>
      <w:pPr>
        <w:spacing w:line="360" w:lineRule="auto"/>
        <w:ind w:left="432"/>
      </w:pPr>
      <w:r>
        <w:rPr>
          <w:rFonts w:ascii="宋体" w:hAnsi="宋体" w:eastAsia="宋体"/>
          <w:sz w:val="24"/>
        </w:rPr>
        <w:t xml:space="preserve">    - 图3-4 故障类型-特征关联规则网络图</w:t>
      </w:r>
    </w:p>
    <w:p>
      <w:pPr>
        <w:spacing w:line="360" w:lineRule="auto"/>
        <w:ind w:left="432"/>
      </w:pPr>
      <w:r>
        <w:rPr>
          <w:rFonts w:ascii="宋体" w:hAnsi="宋体" w:eastAsia="宋体"/>
          <w:sz w:val="24"/>
        </w:rPr>
        <w:t xml:space="preserve">    - 图4-1 健康状态评估规则库层次化架构图</w:t>
      </w:r>
    </w:p>
    <w:p>
      <w:pPr>
        <w:spacing w:line="360" w:lineRule="auto"/>
        <w:ind w:left="432"/>
      </w:pPr>
      <w:r>
        <w:rPr>
          <w:rFonts w:ascii="宋体" w:hAnsi="宋体" w:eastAsia="宋体"/>
          <w:sz w:val="24"/>
        </w:rPr>
        <w:t xml:space="preserve">    - 图4-2 全寿命周期分阶段评估流程图</w:t>
      </w:r>
    </w:p>
    <w:p>
      <w:pPr>
        <w:spacing w:line="360" w:lineRule="auto"/>
        <w:ind w:left="432"/>
      </w:pPr>
      <w:r>
        <w:rPr>
          <w:rFonts w:ascii="宋体" w:hAnsi="宋体" w:eastAsia="宋体"/>
          <w:sz w:val="24"/>
        </w:rPr>
        <w:t xml:space="preserve">    - 图4-3 典型故障案例的规则匹配与触发过程图</w:t>
      </w:r>
    </w:p>
    <w:p>
      <w:pPr>
        <w:spacing w:line="360" w:lineRule="auto"/>
        <w:ind w:left="432"/>
      </w:pPr>
      <w:r>
        <w:rPr>
          <w:rFonts w:ascii="宋体" w:hAnsi="宋体" w:eastAsia="宋体"/>
          <w:sz w:val="24"/>
        </w:rPr>
        <w:t xml:space="preserve">    - 图5-1 规则库在整体项目软件模块中的集成架构</w:t>
      </w:r>
    </w:p>
    <w:p>
      <w:pPr>
        <w:spacing w:line="360" w:lineRule="auto"/>
        <w:ind w:left="432"/>
      </w:pPr>
      <w:r>
        <w:rPr>
          <w:rFonts w:ascii="宋体" w:hAnsi="宋体" w:eastAsia="宋体"/>
          <w:sz w:val="24"/>
        </w:rPr>
        <w:t xml:space="preserve">    - 图5-2 示范应用界面截图</w:t>
      </w:r>
    </w:p>
    <w:p>
      <w:pPr>
        <w:spacing w:line="360" w:lineRule="auto"/>
        <w:ind w:left="432"/>
      </w:pPr>
      <w:r>
        <w:rPr>
          <w:rFonts w:ascii="宋体" w:hAnsi="宋体" w:eastAsia="宋体"/>
          <w:sz w:val="24"/>
        </w:rPr>
        <w:t xml:space="preserve">    - 图5-3 台区下所有表计健康状态GIS地理分布热力图</w:t>
      </w:r>
    </w:p>
    <w:p>
      <w:pPr>
        <w:spacing w:line="360" w:lineRule="auto"/>
        <w:ind w:left="432"/>
      </w:pPr>
      <w:r>
        <w:rPr>
          <w:rFonts w:ascii="宋体" w:hAnsi="宋体" w:eastAsia="宋体"/>
          <w:sz w:val="24"/>
        </w:rPr>
        <w:t xml:space="preserve">    - 图5-4 评估精度提升对比分析图</w:t>
      </w:r>
    </w:p>
    <w:p>
      <w:pPr>
        <w:spacing w:line="360" w:lineRule="auto"/>
        <w:ind w:left="432"/>
      </w:pPr>
      <w:r>
        <w:rPr>
          <w:rFonts w:ascii="宋体" w:hAnsi="宋体" w:eastAsia="宋体"/>
          <w:sz w:val="24"/>
        </w:rPr>
        <w:t xml:space="preserve">    - 图5-5 无效告警数量压降统计图</w:t>
      </w:r>
    </w:p>
    <w:p/>
    <w:p>
      <w:pPr>
        <w:spacing w:line="360" w:lineRule="auto"/>
        <w:ind w:left="432"/>
      </w:pPr>
      <w:r>
        <w:rPr>
          <w:rFonts w:ascii="宋体" w:hAnsi="宋体" w:eastAsia="宋体"/>
          <w:sz w:val="24"/>
        </w:rPr>
        <w:t xml:space="preserve">    **表目录**</w:t>
      </w:r>
    </w:p>
    <w:p>
      <w:pPr>
        <w:spacing w:line="360" w:lineRule="auto"/>
        <w:ind w:left="432"/>
      </w:pPr>
      <w:r>
        <w:rPr>
          <w:rFonts w:ascii="宋体" w:hAnsi="宋体" w:eastAsia="宋体"/>
          <w:sz w:val="24"/>
        </w:rPr>
        <w:t xml:space="preserve">    - 表1-1 国内外研究现状对比表</w:t>
      </w:r>
    </w:p>
    <w:p>
      <w:pPr>
        <w:spacing w:line="360" w:lineRule="auto"/>
        <w:ind w:left="432"/>
      </w:pPr>
      <w:r>
        <w:rPr>
          <w:rFonts w:ascii="宋体" w:hAnsi="宋体" w:eastAsia="宋体"/>
          <w:sz w:val="24"/>
        </w:rPr>
        <w:t xml:space="preserve">    - 表2-1 典型故障模式与失效机理对应表</w:t>
      </w:r>
    </w:p>
    <w:p>
      <w:pPr>
        <w:spacing w:line="360" w:lineRule="auto"/>
        <w:ind w:left="432"/>
      </w:pPr>
      <w:r>
        <w:rPr>
          <w:rFonts w:ascii="宋体" w:hAnsi="宋体" w:eastAsia="宋体"/>
          <w:sz w:val="24"/>
        </w:rPr>
        <w:t xml:space="preserve">    - 表2-2 多应力下性能退化加速因子表</w:t>
      </w:r>
    </w:p>
    <w:p>
      <w:pPr>
        <w:spacing w:line="360" w:lineRule="auto"/>
        <w:ind w:left="432"/>
      </w:pPr>
      <w:r>
        <w:rPr>
          <w:rFonts w:ascii="宋体" w:hAnsi="宋体" w:eastAsia="宋体"/>
          <w:sz w:val="24"/>
        </w:rPr>
        <w:t xml:space="preserve">    - 表3-1 候选特征清单（特征名称、物理含义、数据来源）</w:t>
      </w:r>
    </w:p>
    <w:p>
      <w:pPr>
        <w:spacing w:line="360" w:lineRule="auto"/>
        <w:ind w:left="432"/>
      </w:pPr>
      <w:r>
        <w:rPr>
          <w:rFonts w:ascii="宋体" w:hAnsi="宋体" w:eastAsia="宋体"/>
          <w:sz w:val="24"/>
        </w:rPr>
        <w:t xml:space="preserve">    - 表3-2 故障类型-机理特征映射表</w:t>
      </w:r>
    </w:p>
    <w:p>
      <w:pPr>
        <w:spacing w:line="360" w:lineRule="auto"/>
        <w:ind w:left="432"/>
      </w:pPr>
      <w:r>
        <w:rPr>
          <w:rFonts w:ascii="宋体" w:hAnsi="宋体" w:eastAsia="宋体"/>
          <w:sz w:val="24"/>
        </w:rPr>
        <w:t xml:space="preserve">    - 表4-1 分阶段、多维度的健康状态评价指标体系表</w:t>
      </w:r>
    </w:p>
    <w:p>
      <w:pPr>
        <w:spacing w:line="360" w:lineRule="auto"/>
        <w:ind w:left="432"/>
      </w:pPr>
      <w:r>
        <w:rPr>
          <w:rFonts w:ascii="宋体" w:hAnsi="宋体" w:eastAsia="宋体"/>
          <w:sz w:val="24"/>
        </w:rPr>
        <w:t xml:space="preserve">    - 表4-2 单元级评估规则示例表</w:t>
      </w:r>
    </w:p>
    <w:p>
      <w:pPr>
        <w:spacing w:line="360" w:lineRule="auto"/>
        <w:ind w:left="432"/>
      </w:pPr>
      <w:r>
        <w:rPr>
          <w:rFonts w:ascii="宋体" w:hAnsi="宋体" w:eastAsia="宋体"/>
          <w:sz w:val="24"/>
        </w:rPr>
        <w:t xml:space="preserve">    - 表4-3 设备级综合评估决策表</w:t>
      </w:r>
    </w:p>
    <w:p>
      <w:pPr>
        <w:spacing w:line="360" w:lineRule="auto"/>
        <w:ind w:left="432"/>
      </w:pPr>
      <w:r>
        <w:rPr>
          <w:rFonts w:ascii="宋体" w:hAnsi="宋体" w:eastAsia="宋体"/>
          <w:sz w:val="24"/>
        </w:rPr>
        <w:t xml:space="preserve">    - 表4-4 规则库验证结果统计表</w:t>
      </w:r>
    </w:p>
    <w:p>
      <w:pPr>
        <w:spacing w:line="360" w:lineRule="auto"/>
        <w:ind w:left="432"/>
      </w:pPr>
      <w:r>
        <w:rPr>
          <w:rFonts w:ascii="宋体" w:hAnsi="宋体" w:eastAsia="宋体"/>
          <w:sz w:val="24"/>
        </w:rPr>
        <w:t xml:space="preserve">    - 附录A 终端和表计故障分类完整清单</w:t>
      </w:r>
    </w:p>
    <w:p>
      <w:pPr>
        <w:spacing w:line="360" w:lineRule="auto"/>
        <w:ind w:left="432"/>
      </w:pPr>
      <w:r>
        <w:rPr>
          <w:rFonts w:ascii="宋体" w:hAnsi="宋体" w:eastAsia="宋体"/>
          <w:sz w:val="24"/>
        </w:rPr>
        <w:t xml:space="preserve">    - 附录B 部分核心算法伪代码</w:t>
      </w:r>
    </w:p>
    <w:p>
      <w:pPr>
        <w:spacing w:line="360" w:lineRule="auto"/>
        <w:ind w:left="432"/>
      </w:pPr>
      <w:r>
        <w:rPr>
          <w:rFonts w:ascii="宋体" w:hAnsi="宋体" w:eastAsia="宋体"/>
          <w:sz w:val="24"/>
        </w:rPr>
        <w:t xml:space="preserve">    - 附录C 健康状态评估规则库示例集</w:t>
      </w:r>
    </w:p>
    <w:p/>
    <w:p>
      <w:r>
        <w:br w:type="page"/>
      </w:r>
    </w:p>
    <w:p/>
    <w:p>
      <w:pPr>
        <w:pStyle w:val="Heading1"/>
        <w:jc w:val="left"/>
      </w:pPr>
      <w:r>
        <w:rPr>
          <w:rFonts w:ascii="黑体" w:hAnsi="黑体" w:eastAsia="黑体"/>
          <w:b/>
          <w:sz w:val="36"/>
        </w:rPr>
        <w:t>第一章 绪论</w:t>
      </w:r>
    </w:p>
    <w:p/>
    <w:p>
      <w:pPr>
        <w:pStyle w:val="Heading2"/>
      </w:pPr>
      <w:r>
        <w:rPr>
          <w:rFonts w:ascii="黑体" w:hAnsi="黑体" w:eastAsia="黑体"/>
          <w:b/>
          <w:sz w:val="32"/>
        </w:rPr>
        <w:t>1.1 项目背景与意义</w:t>
      </w:r>
    </w:p>
    <w:p/>
    <w:p>
      <w:pPr>
        <w:pStyle w:val="Heading3"/>
      </w:pPr>
      <w:r>
        <w:rPr>
          <w:rFonts w:ascii="黑体" w:hAnsi="黑体" w:eastAsia="黑体"/>
          <w:b/>
          <w:sz w:val="28"/>
        </w:rPr>
        <w:t>1.1.1 智能量测体系建设与数字电网背景</w:t>
      </w:r>
    </w:p>
    <w:p/>
    <w:p>
      <w:pPr>
        <w:spacing w:line="360" w:lineRule="auto"/>
        <w:ind w:firstLine="432"/>
      </w:pPr>
      <w:r>
        <w:rPr>
          <w:rFonts w:ascii="宋体" w:hAnsi="宋体" w:eastAsia="宋体"/>
          <w:sz w:val="24"/>
        </w:rP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w:t>
      </w:r>
    </w:p>
    <w:p/>
    <w:p>
      <w:pPr>
        <w:spacing w:line="360" w:lineRule="auto"/>
        <w:ind w:firstLine="432"/>
      </w:pPr>
      <w:r>
        <w:rPr>
          <w:rFonts w:ascii="宋体" w:hAnsi="宋体" w:eastAsia="宋体"/>
          <w:sz w:val="24"/>
        </w:rPr>
        <w:t>根据国家电网公司2025年统计数据，全国范围内已安装智能电能表超过6亿只，用电信息采集终端数量突破1000万台，采集覆盖率达到99.5%以上，建成了全球规模最大的用电信息采集系统。该系统实现了对电力用户用电信息的实时采集、在线监测和远程控制，为电网公司的电费结算、线损管理、负荷预测、需求响应等业务提供了重要的数据支撑。</w:t>
      </w:r>
    </w:p>
    <w:p/>
    <w:p>
      <w:pPr>
        <w:spacing w:line="360" w:lineRule="auto"/>
        <w:ind w:firstLine="432"/>
      </w:pPr>
      <w:r>
        <w:rPr>
          <w:rFonts w:ascii="宋体" w:hAnsi="宋体" w:eastAsia="宋体"/>
          <w:sz w:val="24"/>
        </w:rPr>
        <w:t>同时，随着数字电网建设的深入推进，智能终端和表计的功能不断拓展，从传统的电能计量向综合感知、边缘计算、双向交互等方向发展。新一代智能电表不仅具备电能计量功能，还集成了电压、电流、功率因数、谐波等多参数量测，支持负荷控制、分布式电源接入管理、电动汽车充电管理等高级应用功能。</w:t>
      </w:r>
    </w:p>
    <w:p/>
    <w:p>
      <w:pPr>
        <w:spacing w:line="360" w:lineRule="auto"/>
        <w:ind w:firstLine="432"/>
      </w:pPr>
      <w:r>
        <w:rPr>
          <w:rFonts w:ascii="宋体" w:hAnsi="宋体" w:eastAsia="宋体"/>
          <w:sz w:val="24"/>
        </w:rPr>
        <w:t>图1-1 智能量测体系架构示意图</w:t>
      </w:r>
    </w:p>
    <w:p>
      <w:pPr>
        <w:shd w:fill="F2F2F2"/>
        <w:spacing w:line="240" w:lineRule="auto"/>
        <w:ind w:left="720" w:right="720"/>
      </w:pPr>
      <w:r>
        <w:rPr>
          <w:rFonts w:ascii="Consolas" w:hAnsi="Consolas" w:eastAsia="Consolas"/>
          <w:sz w:val="20"/>
        </w:rPr>
        <w:t>┌─────────────────────────────────────────────────────────────┐</w:t>
        <w:br/>
        <w:t>│                        主站系统层                           │</w:t>
        <w:br/>
        <w:t>│  数据中心 | 业务应用 | 分析决策 | 可视化展示                 │</w:t>
        <w:br/>
        <w:t>└────────────────────┬────────────────────────────────────────┘</w:t>
        <w:br/>
        <w:t xml:space="preserve">                     │</w:t>
        <w:br/>
        <w:t>┌────────────────────▼────────────────────────────────────────┐</w:t>
        <w:br/>
        <w:t>│                        通信网络层                           │</w:t>
        <w:br/>
        <w:t>│  光纤专网 | 无线公网 | 电力载波 | 微功率无线                 │</w:t>
        <w:br/>
        <w:t>└────────────────────┬────────────────────────────────────────┘</w:t>
        <w:br/>
        <w:t xml:space="preserve">                     │</w:t>
        <w:br/>
        <w:t>┌────────────────────▼────────────────────────────────────────┐</w:t>
        <w:br/>
        <w:t>│                        终端设备层                           │</w:t>
        <w:br/>
        <w:t>│  集中器 | 专变终端 | 配变终端 | 分布式能源终端              │</w:t>
        <w:br/>
        <w:t>└────────────────────┬────────────────────────────────────────┘</w:t>
        <w:br/>
        <w:t xml:space="preserve">                     │</w:t>
        <w:br/>
        <w:t>┌────────────────────▼────────────────────────────────────────┐</w:t>
        <w:br/>
        <w:t>│                        表计设备层                           │</w:t>
        <w:br/>
        <w:t>│  智能电能表 | 互感器 | 传感器 | 分布式能源计量装置          │</w:t>
        <w:br/>
        <w:t>└─────────────────────────────────────────────────────────────┘</w:t>
      </w:r>
    </w:p>
    <w:p/>
    <w:p>
      <w:pPr>
        <w:pStyle w:val="Heading3"/>
      </w:pPr>
      <w:r>
        <w:rPr>
          <w:rFonts w:ascii="黑体" w:hAnsi="黑体" w:eastAsia="黑体"/>
          <w:b/>
          <w:sz w:val="28"/>
        </w:rPr>
        <w:t>1.1.2 终端与表计健康稳定运行的重大意义</w:t>
      </w:r>
    </w:p>
    <w:p/>
    <w:p>
      <w:pPr>
        <w:spacing w:line="360" w:lineRule="auto"/>
        <w:ind w:firstLine="432"/>
      </w:pPr>
      <w:r>
        <w:rPr>
          <w:rFonts w:ascii="宋体" w:hAnsi="宋体" w:eastAsia="宋体"/>
          <w:sz w:val="24"/>
        </w:rPr>
        <w:t>终端和表计作为电力系统的"神经末梢"，其健康稳定运行对于保障电力系统安全、提高供电服务质量、提升电网经营效益具有重大意义：</w:t>
      </w:r>
    </w:p>
    <w:p/>
    <w:p>
      <w:pPr>
        <w:spacing w:line="360" w:lineRule="auto"/>
        <w:ind w:left="432"/>
      </w:pPr>
      <w:r>
        <w:rPr>
          <w:rFonts w:ascii="宋体" w:hAnsi="宋体" w:eastAsia="宋体"/>
          <w:sz w:val="24"/>
        </w:rPr>
        <w:t xml:space="preserve">    **在生产经营方面：** 智能电能表是电费结算的法定计量器具，其计量准确性直接关系到电力企业和电力用户的经济利益。据统计，因表计故障导致的电量损失每年可达数十亿千瓦时，造成巨大的经济损失。同时，终端设备是用电信息采集系统的关键节点，其稳定运行是确保数据采集完整性和及时性的基础。</w:t>
      </w:r>
    </w:p>
    <w:p/>
    <w:p>
      <w:pPr>
        <w:spacing w:line="360" w:lineRule="auto"/>
        <w:ind w:left="432"/>
      </w:pPr>
      <w:r>
        <w:rPr>
          <w:rFonts w:ascii="宋体" w:hAnsi="宋体" w:eastAsia="宋体"/>
          <w:sz w:val="24"/>
        </w:rPr>
        <w:t xml:space="preserve">    **在用户利益方面：** 准确的电能计量是维护电力市场公平公正的前提。终端和表计的健康状态直接影响用电信息的准确性，关系到用户的知情权和公平交易权。通过及时发现和处理设备故障，可以避免因计量不准确引发的用户投诉和纠纷。</w:t>
      </w:r>
    </w:p>
    <w:p/>
    <w:p>
      <w:pPr>
        <w:spacing w:line="360" w:lineRule="auto"/>
        <w:ind w:left="432"/>
      </w:pPr>
      <w:r>
        <w:rPr>
          <w:rFonts w:ascii="宋体" w:hAnsi="宋体" w:eastAsia="宋体"/>
          <w:sz w:val="24"/>
        </w:rPr>
        <w:t xml:space="preserve">    **在电网安全方面：** 终端和表计不仅是计量设备，也是电网状态的重要感知节点。通过对终端和表计运行状态的监测，可以及时发现电压异常、负荷过载、谐波超标等电网运行问题，为电网安全稳定运行提供预警信息。同时，终端设备的故障可能导致采集系统瘫痪，影响电网调度决策的准确性。</w:t>
      </w:r>
    </w:p>
    <w:p/>
    <w:p>
      <w:pPr>
        <w:pStyle w:val="Heading3"/>
      </w:pPr>
      <w:r>
        <w:rPr>
          <w:rFonts w:ascii="黑体" w:hAnsi="黑体" w:eastAsia="黑体"/>
          <w:b/>
          <w:sz w:val="28"/>
        </w:rPr>
        <w:t>1.1.3 当前面临的核心挑战</w:t>
      </w:r>
    </w:p>
    <w:p/>
    <w:p>
      <w:pPr>
        <w:spacing w:line="360" w:lineRule="auto"/>
        <w:ind w:firstLine="432"/>
      </w:pPr>
      <w:r>
        <w:rPr>
          <w:rFonts w:ascii="宋体" w:hAnsi="宋体" w:eastAsia="宋体"/>
          <w:sz w:val="24"/>
        </w:rPr>
        <w:t>尽管智能量测体系建设取得了显著成就，但在终端和表计健康状态评估方面仍面临着诸多挑战：</w:t>
      </w:r>
    </w:p>
    <w:p/>
    <w:p>
      <w:pPr>
        <w:spacing w:line="360" w:lineRule="auto"/>
        <w:ind w:left="432"/>
      </w:pPr>
      <w:r>
        <w:rPr>
          <w:rFonts w:ascii="宋体" w:hAnsi="宋体" w:eastAsia="宋体"/>
          <w:sz w:val="24"/>
        </w:rPr>
        <w:t xml:space="preserve">    **挑战一：评估精度不高** 现有评估方法主要基于单一阈值告警或简单的规则判断，缺乏对设备运行状态的综合分析。据某省级电力公司统计，现有健康状态评估模型的准确率不足60%，存在大量的误判和漏判现象。特别是在设备早期故障阶段，由于故障特征不明显，很难被及时发现。</w:t>
      </w:r>
    </w:p>
    <w:p/>
    <w:p>
      <w:pPr>
        <w:spacing w:line="360" w:lineRule="auto"/>
        <w:ind w:left="432"/>
      </w:pPr>
      <w:r>
        <w:rPr>
          <w:rFonts w:ascii="宋体" w:hAnsi="宋体" w:eastAsia="宋体"/>
          <w:sz w:val="24"/>
        </w:rPr>
        <w:t xml:space="preserve">    **挑战二：告警数量庞大** 随着设备规模的扩大，告警信息呈爆炸式增长。某省级电力公司日均产生终端和表计告警信息超过10万条，其中90%以上为无效告警。运维人员需要花费大量时间进行告警甄别，工作效率低下，真正的故障告警往往被淹没在海量的无效告警中。</w:t>
      </w:r>
    </w:p>
    <w:p/>
    <w:p>
      <w:pPr>
        <w:spacing w:line="360" w:lineRule="auto"/>
        <w:ind w:left="432"/>
      </w:pPr>
      <w:r>
        <w:rPr>
          <w:rFonts w:ascii="宋体" w:hAnsi="宋体" w:eastAsia="宋体"/>
          <w:sz w:val="24"/>
        </w:rPr>
        <w:t xml:space="preserve">    **挑战三：故障机理不清晰** 终端和表计的故障机理复杂，涉及电气、机械、材料、环境等多个因素。目前对典型故障模式的失效机理、演化规律、影响因素等缺乏系统深入的研究，难以建立科学的评估模型和规则。</w:t>
      </w:r>
    </w:p>
    <w:p/>
    <w:p>
      <w:pPr>
        <w:spacing w:line="360" w:lineRule="auto"/>
        <w:ind w:left="432"/>
      </w:pPr>
      <w:r>
        <w:rPr>
          <w:rFonts w:ascii="宋体" w:hAnsi="宋体" w:eastAsia="宋体"/>
          <w:sz w:val="24"/>
        </w:rPr>
        <w:t xml:space="preserve">    **挑战四：缺乏统一的评估标准** 不同地区、不同厂家的评估方法和标准不统一，评估结果缺乏可比性。现有规则库大多基于经验知识，缺乏理论支撑和科学验证，难以保证评估的准确性和一致性。</w:t>
      </w:r>
    </w:p>
    <w:p/>
    <w:p>
      <w:pPr>
        <w:pStyle w:val="Heading3"/>
      </w:pPr>
      <w:r>
        <w:rPr>
          <w:rFonts w:ascii="黑体" w:hAnsi="黑体" w:eastAsia="黑体"/>
          <w:b/>
          <w:sz w:val="28"/>
        </w:rPr>
        <w:t>1.1.4 本课题研究的必要性与紧迫性</w:t>
      </w:r>
    </w:p>
    <w:p/>
    <w:p>
      <w:pPr>
        <w:spacing w:line="360" w:lineRule="auto"/>
        <w:ind w:firstLine="432"/>
      </w:pPr>
      <w:r>
        <w:rPr>
          <w:rFonts w:ascii="宋体" w:hAnsi="宋体" w:eastAsia="宋体"/>
          <w:sz w:val="24"/>
        </w:rPr>
        <w:t>面对上述挑战，开展终端和表计健康状态评估与故障识别技术研究具有十分重要的必要性和紧迫性：</w:t>
      </w:r>
    </w:p>
    <w:p/>
    <w:p>
      <w:pPr>
        <w:spacing w:line="360" w:lineRule="auto"/>
        <w:ind w:left="432"/>
      </w:pPr>
      <w:r>
        <w:rPr>
          <w:rFonts w:ascii="宋体" w:hAnsi="宋体" w:eastAsia="宋体"/>
          <w:sz w:val="24"/>
        </w:rPr>
        <w:t xml:space="preserve">    **必要性一：提升设备运维效率** 通过构建科学的健康状态评估规则库，可以实现对设备状态的精准评估，减少无效告警，将运维资源聚焦于真正有问题的设备，提升运维效率，降低运维成本。</w:t>
      </w:r>
    </w:p>
    <w:p/>
    <w:p>
      <w:pPr>
        <w:spacing w:line="360" w:lineRule="auto"/>
        <w:ind w:left="432"/>
      </w:pPr>
      <w:r>
        <w:rPr>
          <w:rFonts w:ascii="宋体" w:hAnsi="宋体" w:eastAsia="宋体"/>
          <w:sz w:val="24"/>
        </w:rPr>
        <w:t xml:space="preserve">    **必要性二：保障计量准确公正** 及时发现和处理表计故障，避免因计量不准确引发的经济损失和用户纠纷，维护电力市场的公平公正。</w:t>
      </w:r>
    </w:p>
    <w:p/>
    <w:p>
      <w:pPr>
        <w:spacing w:line="360" w:lineRule="auto"/>
        <w:ind w:left="432"/>
      </w:pPr>
      <w:r>
        <w:rPr>
          <w:rFonts w:ascii="宋体" w:hAnsi="宋体" w:eastAsia="宋体"/>
          <w:sz w:val="24"/>
        </w:rPr>
        <w:t xml:space="preserve">    **必要性三：支撑数字电网建设** 准确的设备状态信息是数字电网建设的重要基础，可为电网运行分析、负荷预测、需求响应等高级应用提供可靠的数据支撑。</w:t>
      </w:r>
    </w:p>
    <w:p/>
    <w:p>
      <w:pPr>
        <w:spacing w:line="360" w:lineRule="auto"/>
        <w:ind w:left="432"/>
      </w:pPr>
      <w:r>
        <w:rPr>
          <w:rFonts w:ascii="宋体" w:hAnsi="宋体" w:eastAsia="宋体"/>
          <w:sz w:val="24"/>
        </w:rPr>
        <w:t xml:space="preserve">    **紧迫性：** 随着新型电力系统建设的推进，新能源和分布式电源大量接入，终端和表计的运行环境更加复杂，故障风险进一步增加。同时，设备规模持续扩大，现有运维模式难以为继，迫切需要通过技术创新提升运维水平。</w:t>
      </w:r>
    </w:p>
    <w:p/>
    <w:p>
      <w:pPr>
        <w:pStyle w:val="Heading2"/>
      </w:pPr>
      <w:r>
        <w:rPr>
          <w:rFonts w:ascii="黑体" w:hAnsi="黑体" w:eastAsia="黑体"/>
          <w:b/>
          <w:sz w:val="32"/>
        </w:rPr>
        <w:t>1.2 国内外研究现状</w:t>
      </w:r>
    </w:p>
    <w:p/>
    <w:p>
      <w:pPr>
        <w:pStyle w:val="Heading3"/>
      </w:pPr>
      <w:r>
        <w:rPr>
          <w:rFonts w:ascii="黑体" w:hAnsi="黑体" w:eastAsia="黑体"/>
          <w:b/>
          <w:sz w:val="28"/>
        </w:rPr>
        <w:t>1.2.1 电力设备故障机理与退化演化研究现状</w:t>
      </w:r>
    </w:p>
    <w:p/>
    <w:p>
      <w:pPr>
        <w:spacing w:line="360" w:lineRule="auto"/>
        <w:ind w:firstLine="432"/>
      </w:pPr>
      <w:r>
        <w:rPr>
          <w:rFonts w:ascii="宋体" w:hAnsi="宋体" w:eastAsia="宋体"/>
          <w:sz w:val="24"/>
        </w:rPr>
        <w:t>电力设备故障机理与性能退化研究是设备健康管理的基础，国内外学者在这方面开展了大量研究工作。</w:t>
      </w:r>
    </w:p>
    <w:p/>
    <w:p>
      <w:pPr>
        <w:spacing w:line="360" w:lineRule="auto"/>
        <w:ind w:left="432"/>
      </w:pPr>
      <w:r>
        <w:rPr>
          <w:rFonts w:ascii="宋体" w:hAnsi="宋体" w:eastAsia="宋体"/>
          <w:sz w:val="24"/>
        </w:rPr>
        <w:t xml:space="preserve">    **国外研究现状：** 欧美等发达国家在电力设备故障机理研究方面起步较早，形成了较为完善的理论体系。IEEE、CIGRE等国际组织先后发布了多项关于电力设备状态评估的技术标准和指南。在电能表故障机理研究方面，美国国家标准技术研究院（NIST）开展了电能表在不同环境应力下的性能退化试验研究，建立了典型故障模式的失效物理模型。欧盟在第七框架计划中资助了"Smart Meter Reliability"项目，系统研究了智能电表的可靠性评估方法。</w:t>
      </w:r>
    </w:p>
    <w:p/>
    <w:p>
      <w:pPr>
        <w:spacing w:line="360" w:lineRule="auto"/>
        <w:ind w:left="432"/>
      </w:pPr>
      <w:r>
        <w:rPr>
          <w:rFonts w:ascii="宋体" w:hAnsi="宋体" w:eastAsia="宋体"/>
          <w:sz w:val="24"/>
        </w:rPr>
        <w:t xml:space="preserve">    **国内研究现状：** 我国在电力设备故障机理研究方面也取得了显著进展。中国电力科学研究院、国网电力科学研究院等研究机构针对电能表、互感器等设备开展了大量的试验研究，建立了典型故障模式的数据库。清华大学、西安交通大学、华北电力大学等高校在设备性能退化建模、剩余寿命预测等方面开展了深入的理论研究，提出了多种基于随机过程的退化模型。</w:t>
      </w:r>
    </w:p>
    <w:p/>
    <w:p>
      <w:pPr>
        <w:spacing w:line="360" w:lineRule="auto"/>
        <w:ind w:left="432"/>
      </w:pPr>
      <w:r>
        <w:rPr>
          <w:rFonts w:ascii="宋体" w:hAnsi="宋体" w:eastAsia="宋体"/>
          <w:sz w:val="24"/>
        </w:rPr>
        <w:t xml:space="preserve">    **现有研究不足：** 尽管已有大量研究成果，但在终端和表计这类量大面广的低压设备方面，研究仍相对薄弱。现有研究大多针对单一故障模式，缺乏对多故障模式耦合演化的研究；试验数据大多来源于实验室加速试验，与实际运行环境存在差距；缺乏对全寿命周期性能退化规律的系统研究。</w:t>
      </w:r>
    </w:p>
    <w:p/>
    <w:p>
      <w:pPr>
        <w:pStyle w:val="Heading3"/>
      </w:pPr>
      <w:r>
        <w:rPr>
          <w:rFonts w:ascii="黑体" w:hAnsi="黑体" w:eastAsia="黑体"/>
          <w:b/>
          <w:sz w:val="28"/>
        </w:rPr>
        <w:t>1.2.2 设备状态特征提取与关联分析技术现状</w:t>
      </w:r>
    </w:p>
    <w:p/>
    <w:p>
      <w:pPr>
        <w:spacing w:line="360" w:lineRule="auto"/>
        <w:ind w:firstLine="432"/>
      </w:pPr>
      <w:r>
        <w:rPr>
          <w:rFonts w:ascii="宋体" w:hAnsi="宋体" w:eastAsia="宋体"/>
          <w:sz w:val="24"/>
        </w:rPr>
        <w:t>设备状态特征提取与关联分析是健康状态评估的关键技术，主要分为基于机理模型的方法和基于数据驱动的方法两类。</w:t>
      </w:r>
    </w:p>
    <w:p/>
    <w:p>
      <w:pPr>
        <w:spacing w:line="360" w:lineRule="auto"/>
        <w:ind w:left="432"/>
      </w:pPr>
      <w:r>
        <w:rPr>
          <w:rFonts w:ascii="宋体" w:hAnsi="宋体" w:eastAsia="宋体"/>
          <w:sz w:val="24"/>
        </w:rPr>
        <w:t xml:space="preserve">    **基于机理模型的特征提取：** 这类方法基于设备的物理结构和工作原理，建立数学模型，通过模型分析提取与设备状态密切相关的特征。例如，基于电路理论建立电能表的计量误差模型，分析各元件参数对计量精度的影响；基于热传导理论建立终端设备的温升模型，提取温度相关特征。这类方法的优点是物理意义明确，可解释性强；缺点是模型建立难度大，难以考虑所有影响因素。</w:t>
      </w:r>
    </w:p>
    <w:p/>
    <w:p>
      <w:pPr>
        <w:spacing w:line="360" w:lineRule="auto"/>
        <w:ind w:left="432"/>
      </w:pPr>
      <w:r>
        <w:rPr>
          <w:rFonts w:ascii="宋体" w:hAnsi="宋体" w:eastAsia="宋体"/>
          <w:sz w:val="24"/>
        </w:rPr>
        <w:t xml:space="preserve">    **基于数据驱动的特征提取：** 这类方法利用机器学习、数据挖掘等技术，从大量运行数据中自动提取有效特征。近年来，随着人工智能技术的快速发展，深度学习在特征提取方面展现出强大的能力。卷积神经网络（CNN）可自动从时序数据中提取局部特征，循环神经网络（RNN）和长短时记忆网络（LSTM）可捕获数据的时间依赖关系，自编码器（Autoencoder）可实现无监督的特征学习。这类方法的优点是不需要深入了解设备机理，能够处理高维复杂数据；缺点是特征的物理意义不明确，可解释性差。</w:t>
      </w:r>
    </w:p>
    <w:p/>
    <w:p>
      <w:pPr>
        <w:spacing w:line="360" w:lineRule="auto"/>
        <w:ind w:firstLine="432"/>
      </w:pPr>
      <w:r>
        <w:rPr>
          <w:rFonts w:ascii="宋体" w:hAnsi="宋体" w:eastAsia="宋体"/>
          <w:sz w:val="24"/>
        </w:rPr>
        <w:t>表1-1 国内外研究现状对比表</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2"/>
              </w:rPr>
              <w:t>研究方向</w:t>
            </w:r>
          </w:p>
        </w:tc>
        <w:tc>
          <w:tcPr>
            <w:tcW w:type="dxa" w:w="2160"/>
          </w:tcPr>
          <w:p>
            <w:pPr>
              <w:jc w:val="center"/>
            </w:pPr>
            <w:r>
              <w:rPr>
                <w:b/>
                <w:sz w:val="22"/>
              </w:rPr>
              <w:t>国外研究进展</w:t>
            </w:r>
          </w:p>
        </w:tc>
        <w:tc>
          <w:tcPr>
            <w:tcW w:type="dxa" w:w="2160"/>
          </w:tcPr>
          <w:p>
            <w:pPr>
              <w:jc w:val="center"/>
            </w:pPr>
            <w:r>
              <w:rPr>
                <w:b/>
                <w:sz w:val="22"/>
              </w:rPr>
              <w:t>国内研究进展</w:t>
            </w:r>
          </w:p>
        </w:tc>
        <w:tc>
          <w:tcPr>
            <w:tcW w:type="dxa" w:w="2160"/>
          </w:tcPr>
          <w:p>
            <w:pPr>
              <w:jc w:val="center"/>
            </w:pPr>
            <w:r>
              <w:rPr>
                <w:b/>
                <w:sz w:val="22"/>
              </w:rPr>
              <w:t>存在不足</w:t>
            </w:r>
          </w:p>
        </w:tc>
      </w:tr>
      <w:tr>
        <w:tc>
          <w:tcPr>
            <w:tcW w:type="dxa" w:w="2160"/>
          </w:tcPr>
          <w:p>
            <w:pPr>
              <w:jc w:val="center"/>
            </w:pPr>
            <w:r>
              <w:rPr>
                <w:sz w:val="20"/>
              </w:rPr>
              <w:t>故障机理研究</w:t>
            </w:r>
          </w:p>
        </w:tc>
        <w:tc>
          <w:tcPr>
            <w:tcW w:type="dxa" w:w="2160"/>
          </w:tcPr>
          <w:p>
            <w:pPr>
              <w:jc w:val="center"/>
            </w:pPr>
            <w:r>
              <w:rPr>
                <w:sz w:val="20"/>
              </w:rPr>
              <w:t>建立了较为完善的失效物理模型，IEEE、CIGRE发布多项标准</w:t>
            </w:r>
          </w:p>
        </w:tc>
        <w:tc>
          <w:tcPr>
            <w:tcW w:type="dxa" w:w="2160"/>
          </w:tcPr>
          <w:p>
            <w:pPr>
              <w:jc w:val="center"/>
            </w:pPr>
            <w:r>
              <w:rPr>
                <w:sz w:val="20"/>
              </w:rPr>
              <w:t>开展了大量试验研究，建立了典型故障模式数据库</w:t>
            </w:r>
          </w:p>
        </w:tc>
        <w:tc>
          <w:tcPr>
            <w:tcW w:type="dxa" w:w="2160"/>
          </w:tcPr>
          <w:p>
            <w:pPr>
              <w:jc w:val="center"/>
            </w:pPr>
            <w:r>
              <w:rPr>
                <w:sz w:val="20"/>
              </w:rPr>
              <w:t>针对终端和表计的研究较少，缺乏多故障耦合研究</w:t>
            </w:r>
          </w:p>
        </w:tc>
      </w:tr>
      <w:tr>
        <w:tc>
          <w:tcPr>
            <w:tcW w:type="dxa" w:w="2160"/>
          </w:tcPr>
          <w:p>
            <w:pPr>
              <w:jc w:val="center"/>
            </w:pPr>
            <w:r>
              <w:rPr>
                <w:sz w:val="20"/>
              </w:rPr>
              <w:t>特征提取技术</w:t>
            </w:r>
          </w:p>
        </w:tc>
        <w:tc>
          <w:tcPr>
            <w:tcW w:type="dxa" w:w="2160"/>
          </w:tcPr>
          <w:p>
            <w:pPr>
              <w:jc w:val="center"/>
            </w:pPr>
            <w:r>
              <w:rPr>
                <w:sz w:val="20"/>
              </w:rPr>
              <w:t>机器学习、深度学习技术广泛应用，注重特征可解释性</w:t>
            </w:r>
          </w:p>
        </w:tc>
        <w:tc>
          <w:tcPr>
            <w:tcW w:type="dxa" w:w="2160"/>
          </w:tcPr>
          <w:p>
            <w:pPr>
              <w:jc w:val="center"/>
            </w:pPr>
            <w:r>
              <w:rPr>
                <w:sz w:val="20"/>
              </w:rPr>
              <w:t>提出了多种特征提取方法，但工程应用不足</w:t>
            </w:r>
          </w:p>
        </w:tc>
        <w:tc>
          <w:tcPr>
            <w:tcW w:type="dxa" w:w="2160"/>
          </w:tcPr>
          <w:p>
            <w:pPr>
              <w:jc w:val="center"/>
            </w:pPr>
            <w:r>
              <w:rPr>
                <w:sz w:val="20"/>
              </w:rPr>
              <w:t>机理与数据融合不够，特征物理意义不明确</w:t>
            </w:r>
          </w:p>
        </w:tc>
      </w:tr>
      <w:tr>
        <w:tc>
          <w:tcPr>
            <w:tcW w:type="dxa" w:w="2160"/>
          </w:tcPr>
          <w:p>
            <w:pPr>
              <w:jc w:val="center"/>
            </w:pPr>
            <w:r>
              <w:rPr>
                <w:sz w:val="20"/>
              </w:rPr>
              <w:t>评估规则库</w:t>
            </w:r>
          </w:p>
        </w:tc>
        <w:tc>
          <w:tcPr>
            <w:tcW w:type="dxa" w:w="2160"/>
          </w:tcPr>
          <w:p>
            <w:pPr>
              <w:jc w:val="center"/>
            </w:pPr>
            <w:r>
              <w:rPr>
                <w:sz w:val="20"/>
              </w:rPr>
              <w:t>部分电力企业建立了经验规则库，但缺乏统一标准</w:t>
            </w:r>
          </w:p>
        </w:tc>
        <w:tc>
          <w:tcPr>
            <w:tcW w:type="dxa" w:w="2160"/>
          </w:tcPr>
          <w:p>
            <w:pPr>
              <w:jc w:val="center"/>
            </w:pPr>
            <w:r>
              <w:rPr>
                <w:sz w:val="20"/>
              </w:rPr>
              <w:t>规则库大多基于经验，缺乏理论支撑</w:t>
            </w:r>
          </w:p>
        </w:tc>
        <w:tc>
          <w:tcPr>
            <w:tcW w:type="dxa" w:w="2160"/>
          </w:tcPr>
          <w:p>
            <w:pPr>
              <w:jc w:val="center"/>
            </w:pPr>
            <w:r>
              <w:rPr>
                <w:sz w:val="20"/>
              </w:rPr>
              <w:t>规则库科学性、统一性不足，难以推广</w:t>
            </w:r>
          </w:p>
        </w:tc>
      </w:tr>
    </w:tbl>
    <w:p/>
    <w:p/>
    <w:p>
      <w:pPr>
        <w:pStyle w:val="Heading3"/>
      </w:pPr>
      <w:r>
        <w:rPr>
          <w:rFonts w:ascii="黑体" w:hAnsi="黑体" w:eastAsia="黑体"/>
          <w:b/>
          <w:sz w:val="28"/>
        </w:rPr>
        <w:t>1.2.3 健康状态评估规则库与评价体系现状</w:t>
      </w:r>
    </w:p>
    <w:p/>
    <w:p>
      <w:pPr>
        <w:spacing w:line="360" w:lineRule="auto"/>
        <w:ind w:left="432"/>
      </w:pPr>
      <w:r>
        <w:rPr>
          <w:rFonts w:ascii="宋体" w:hAnsi="宋体" w:eastAsia="宋体"/>
          <w:sz w:val="24"/>
        </w:rPr>
        <w:t xml:space="preserve">    **国际标准：** 国际电工委员会（IEC）发布了IEC 62059系列标准，规定了电能表的可靠性试验方法；IEEE发布了IEEE Std 1459系列标准，规定了电能质量测量方法。这些标准为设备健康状态评估提供了技术依据，但主要关注设备的出厂检测和型式试验，对运行中的健康状态评估涉及较少。</w:t>
      </w:r>
    </w:p>
    <w:p/>
    <w:p>
      <w:pPr>
        <w:spacing w:line="360" w:lineRule="auto"/>
        <w:ind w:left="432"/>
      </w:pPr>
      <w:r>
        <w:rPr>
          <w:rFonts w:ascii="宋体" w:hAnsi="宋体" w:eastAsia="宋体"/>
          <w:sz w:val="24"/>
        </w:rPr>
        <w:t xml:space="preserve">    **行业标准与企业规范：** 我国国家电网公司发布了《智能电能表技术规范》、《用电信息采集系统技术规范》等企业标准，规定了终端和表计的技术要求和检测方法。部分省级电力公司建立了设备健康状态评估规则库，但大多基于经验知识，规则的科学性和准确性有待提高。</w:t>
      </w:r>
    </w:p>
    <w:p/>
    <w:p>
      <w:pPr>
        <w:spacing w:line="360" w:lineRule="auto"/>
        <w:ind w:left="432"/>
      </w:pPr>
      <w:r>
        <w:rPr>
          <w:rFonts w:ascii="宋体" w:hAnsi="宋体" w:eastAsia="宋体"/>
          <w:sz w:val="24"/>
        </w:rPr>
        <w:t xml:space="preserve">    **现有规则库的局限性：** （1）缺乏科学性：规则大多基于经验，缺乏理论支撑和试验验证；（2）缺乏统一性：不同地区、不同厂家的规则不统一，评估结果缺乏可比性；（3）缺乏自适应性：规则库难以根据设备运行数据自动更新；（4）缺乏可扩展性：规则库难以适应新设备、新故障模式。</w:t>
      </w:r>
    </w:p>
    <w:p/>
    <w:p>
      <w:pPr>
        <w:pStyle w:val="Heading3"/>
      </w:pPr>
      <w:r>
        <w:rPr>
          <w:rFonts w:ascii="黑体" w:hAnsi="黑体" w:eastAsia="黑体"/>
          <w:b/>
          <w:sz w:val="28"/>
        </w:rPr>
        <w:t>1.2.4 现状总结与本课题定位</w:t>
      </w:r>
    </w:p>
    <w:p/>
    <w:p>
      <w:pPr>
        <w:spacing w:line="360" w:lineRule="auto"/>
        <w:ind w:firstLine="432"/>
      </w:pPr>
      <w:r>
        <w:rPr>
          <w:rFonts w:ascii="宋体" w:hAnsi="宋体" w:eastAsia="宋体"/>
          <w:sz w:val="24"/>
        </w:rPr>
        <w:t>综上分析，现有研究在故障机理、特征提取、评估方法等方面取得了一定进展，但在以下方面仍存在不足：（1）终端和表计这类低压设备的故障机理研究不够深入；（2）机理模型与数据驱动方法的融合不够；（3）缺乏科学统一的评估规则库。</w:t>
      </w:r>
    </w:p>
    <w:p/>
    <w:p>
      <w:pPr>
        <w:spacing w:line="360" w:lineRule="auto"/>
        <w:ind w:firstLine="432"/>
      </w:pPr>
      <w:r>
        <w:rPr>
          <w:rFonts w:ascii="宋体" w:hAnsi="宋体" w:eastAsia="宋体"/>
          <w:sz w:val="24"/>
        </w:rPr>
        <w:t>本课题针对上述不足，以终端和表计为研究对象，系统开展故障机理分析、特征提取与关联、规则库设计研究，构建科学统一的健康状态评估规则库。本课题的定位是：</w:t>
      </w:r>
      <w:r>
        <w:rPr>
          <w:rFonts w:ascii="宋体" w:hAnsi="宋体" w:eastAsia="宋体"/>
          <w:b/>
          <w:sz w:val="24"/>
        </w:rPr>
        <w:t>以理论研究为基础，以技术创新为核心，以工程应用为目标，为终端和表计健康状态评估提供理论支撑和技术手段。</w:t>
      </w:r>
      <w:r>
        <w:rPr>
          <w:rFonts w:ascii="宋体" w:hAnsi="宋体" w:eastAsia="宋体"/>
          <w:sz w:val="24"/>
        </w:rPr>
      </w:r>
    </w:p>
    <w:p/>
    <w:p>
      <w:pPr>
        <w:pStyle w:val="Heading2"/>
      </w:pPr>
      <w:r>
        <w:rPr>
          <w:rFonts w:ascii="黑体" w:hAnsi="黑体" w:eastAsia="黑体"/>
          <w:b/>
          <w:sz w:val="32"/>
        </w:rPr>
        <w:t>1.3 研究目标与内容</w:t>
      </w:r>
    </w:p>
    <w:p/>
    <w:p>
      <w:pPr>
        <w:pStyle w:val="Heading3"/>
      </w:pPr>
      <w:r>
        <w:rPr>
          <w:rFonts w:ascii="黑体" w:hAnsi="黑体" w:eastAsia="黑体"/>
          <w:b/>
          <w:sz w:val="28"/>
        </w:rPr>
        <w:t>1.3.1 总体研究目标</w:t>
      </w:r>
    </w:p>
    <w:p/>
    <w:p>
      <w:pPr>
        <w:spacing w:line="360" w:lineRule="auto"/>
        <w:ind w:firstLine="432"/>
      </w:pPr>
      <w:r>
        <w:rPr>
          <w:rFonts w:ascii="宋体" w:hAnsi="宋体" w:eastAsia="宋体"/>
          <w:sz w:val="24"/>
        </w:rPr>
        <w:t>本课题的总体目标是：揭示终端和表计的故障机理与性能退化规律，建立故障类型与特征的强关联关系，构建科学统一的健康状态评估规则库，为提升终端和表计健康状态评估准确率、减少无效告警提供理论支撑和技术手段。</w:t>
      </w:r>
    </w:p>
    <w:p/>
    <w:p>
      <w:pPr>
        <w:spacing w:line="360" w:lineRule="auto"/>
        <w:ind w:left="432"/>
      </w:pPr>
      <w:r>
        <w:rPr>
          <w:rFonts w:ascii="宋体" w:hAnsi="宋体" w:eastAsia="宋体"/>
          <w:sz w:val="24"/>
        </w:rPr>
        <w:t xml:space="preserve">    **具体目标：**</w:t>
      </w:r>
    </w:p>
    <w:p>
      <w:pPr>
        <w:spacing w:line="360" w:lineRule="auto"/>
        <w:ind w:left="432"/>
      </w:pPr>
      <w:r>
        <w:rPr>
          <w:rFonts w:ascii="宋体" w:hAnsi="宋体" w:eastAsia="宋体"/>
          <w:sz w:val="24"/>
        </w:rPr>
        <w:t>1. 建立终端和表计典型故障模式的失效物理模型，揭示故障萌生与演化规律；</w:t>
      </w:r>
    </w:p>
    <w:p>
      <w:pPr>
        <w:spacing w:line="360" w:lineRule="auto"/>
        <w:ind w:left="432"/>
      </w:pPr>
      <w:r>
        <w:rPr>
          <w:rFonts w:ascii="宋体" w:hAnsi="宋体" w:eastAsia="宋体"/>
          <w:sz w:val="24"/>
        </w:rPr>
        <w:t>2. 构建多源状态信息高维特征矩阵，提出基于流形学习的关键特征提取方法；</w:t>
      </w:r>
    </w:p>
    <w:p>
      <w:pPr>
        <w:spacing w:line="360" w:lineRule="auto"/>
        <w:ind w:left="432"/>
      </w:pPr>
      <w:r>
        <w:rPr>
          <w:rFonts w:ascii="宋体" w:hAnsi="宋体" w:eastAsia="宋体"/>
          <w:sz w:val="24"/>
        </w:rPr>
        <w:t>3. 建立故障类型与特征的强关联规则，形成标准化的关联规范；</w:t>
      </w:r>
    </w:p>
    <w:p>
      <w:pPr>
        <w:spacing w:line="360" w:lineRule="auto"/>
        <w:ind w:left="432"/>
      </w:pPr>
      <w:r>
        <w:rPr>
          <w:rFonts w:ascii="宋体" w:hAnsi="宋体" w:eastAsia="宋体"/>
          <w:sz w:val="24"/>
        </w:rPr>
        <w:t>4. 设计全寿命周期分阶段、多尺度的健康状态评估规则库，评估准确率达到85%以上；</w:t>
      </w:r>
    </w:p>
    <w:p>
      <w:pPr>
        <w:spacing w:line="360" w:lineRule="auto"/>
        <w:ind w:left="432"/>
      </w:pPr>
      <w:r>
        <w:rPr>
          <w:rFonts w:ascii="宋体" w:hAnsi="宋体" w:eastAsia="宋体"/>
          <w:sz w:val="24"/>
        </w:rPr>
        <w:t>5. 完成规则库的验证与优化，形成示范应用。</w:t>
      </w:r>
    </w:p>
    <w:p/>
    <w:p>
      <w:pPr>
        <w:pStyle w:val="Heading3"/>
      </w:pPr>
      <w:r>
        <w:rPr>
          <w:rFonts w:ascii="黑体" w:hAnsi="黑体" w:eastAsia="黑体"/>
          <w:b/>
          <w:sz w:val="28"/>
        </w:rPr>
        <w:t>1.3.2 主要研究内容</w:t>
      </w:r>
    </w:p>
    <w:p/>
    <w:p>
      <w:pPr>
        <w:spacing w:line="360" w:lineRule="auto"/>
        <w:ind w:left="432"/>
      </w:pPr>
      <w:r>
        <w:rPr>
          <w:rFonts w:ascii="宋体" w:hAnsi="宋体" w:eastAsia="宋体"/>
          <w:sz w:val="24"/>
        </w:rPr>
        <w:t xml:space="preserve">    **内容一：故障机理与性能退化规律研究**</w:t>
      </w:r>
    </w:p>
    <w:p>
      <w:pPr>
        <w:spacing w:line="360" w:lineRule="auto"/>
        <w:ind w:left="432"/>
      </w:pPr>
      <w:r>
        <w:rPr>
          <w:rFonts w:ascii="宋体" w:hAnsi="宋体" w:eastAsia="宋体"/>
          <w:sz w:val="24"/>
        </w:rPr>
        <w:t xml:space="preserve">    - 梳理终端和表计的功能模块，建立故障分类体系；</w:t>
      </w:r>
    </w:p>
    <w:p>
      <w:pPr>
        <w:spacing w:line="360" w:lineRule="auto"/>
        <w:ind w:left="432"/>
      </w:pPr>
      <w:r>
        <w:rPr>
          <w:rFonts w:ascii="宋体" w:hAnsi="宋体" w:eastAsia="宋体"/>
          <w:sz w:val="24"/>
        </w:rPr>
        <w:t xml:space="preserve">    - 基于电力学原理建立典型故障模式的非线性数学模型；</w:t>
      </w:r>
    </w:p>
    <w:p>
      <w:pPr>
        <w:spacing w:line="360" w:lineRule="auto"/>
        <w:ind w:left="432"/>
      </w:pPr>
      <w:r>
        <w:rPr>
          <w:rFonts w:ascii="宋体" w:hAnsi="宋体" w:eastAsia="宋体"/>
          <w:sz w:val="24"/>
        </w:rPr>
        <w:t xml:space="preserve">    - 分析典型故障的失效物理机理，揭示故障演化规律；</w:t>
      </w:r>
    </w:p>
    <w:p>
      <w:pPr>
        <w:spacing w:line="360" w:lineRule="auto"/>
        <w:ind w:left="432"/>
      </w:pPr>
      <w:r>
        <w:rPr>
          <w:rFonts w:ascii="宋体" w:hAnsi="宋体" w:eastAsia="宋体"/>
          <w:sz w:val="24"/>
        </w:rPr>
        <w:t xml:space="preserve">    - 开展多应力下性能退化仿真研究，建立退化模型。</w:t>
      </w:r>
    </w:p>
    <w:p/>
    <w:p>
      <w:pPr>
        <w:spacing w:line="360" w:lineRule="auto"/>
        <w:ind w:left="432"/>
      </w:pPr>
      <w:r>
        <w:rPr>
          <w:rFonts w:ascii="宋体" w:hAnsi="宋体" w:eastAsia="宋体"/>
          <w:sz w:val="24"/>
        </w:rPr>
        <w:t xml:space="preserve">    **内容二：故障类型与特征关联技术研究**</w:t>
      </w:r>
    </w:p>
    <w:p>
      <w:pPr>
        <w:spacing w:line="360" w:lineRule="auto"/>
        <w:ind w:left="432"/>
      </w:pPr>
      <w:r>
        <w:rPr>
          <w:rFonts w:ascii="宋体" w:hAnsi="宋体" w:eastAsia="宋体"/>
          <w:sz w:val="24"/>
        </w:rPr>
        <w:t xml:space="preserve">    - 整合多源状态信息，构建高维特征矩阵；</w:t>
      </w:r>
    </w:p>
    <w:p>
      <w:pPr>
        <w:spacing w:line="360" w:lineRule="auto"/>
        <w:ind w:left="432"/>
      </w:pPr>
      <w:r>
        <w:rPr>
          <w:rFonts w:ascii="宋体" w:hAnsi="宋体" w:eastAsia="宋体"/>
          <w:sz w:val="24"/>
        </w:rPr>
        <w:t xml:space="preserve">    - 提出基于流形学习的关键特征提取方法，实现高维特征降维；</w:t>
      </w:r>
    </w:p>
    <w:p>
      <w:pPr>
        <w:spacing w:line="360" w:lineRule="auto"/>
        <w:ind w:left="432"/>
      </w:pPr>
      <w:r>
        <w:rPr>
          <w:rFonts w:ascii="宋体" w:hAnsi="宋体" w:eastAsia="宋体"/>
          <w:sz w:val="24"/>
        </w:rPr>
        <w:t xml:space="preserve">    - 研究基于深度学习的自适应特征表征技术；</w:t>
      </w:r>
    </w:p>
    <w:p>
      <w:pPr>
        <w:spacing w:line="360" w:lineRule="auto"/>
        <w:ind w:left="432"/>
      </w:pPr>
      <w:r>
        <w:rPr>
          <w:rFonts w:ascii="宋体" w:hAnsi="宋体" w:eastAsia="宋体"/>
          <w:sz w:val="24"/>
        </w:rPr>
        <w:t xml:space="preserve">    - 建立机理与数据融合的故障类型-特征强关联规则。</w:t>
      </w:r>
    </w:p>
    <w:p/>
    <w:p>
      <w:pPr>
        <w:spacing w:line="360" w:lineRule="auto"/>
        <w:ind w:left="432"/>
      </w:pPr>
      <w:r>
        <w:rPr>
          <w:rFonts w:ascii="宋体" w:hAnsi="宋体" w:eastAsia="宋体"/>
          <w:sz w:val="24"/>
        </w:rPr>
        <w:t xml:space="preserve">    **内容三：健康状态评估规则库设计研究**</w:t>
      </w:r>
    </w:p>
    <w:p>
      <w:pPr>
        <w:spacing w:line="360" w:lineRule="auto"/>
        <w:ind w:left="432"/>
      </w:pPr>
      <w:r>
        <w:rPr>
          <w:rFonts w:ascii="宋体" w:hAnsi="宋体" w:eastAsia="宋体"/>
          <w:sz w:val="24"/>
        </w:rPr>
        <w:t xml:space="preserve">    - 确立规则库设计原则与总体架构；</w:t>
      </w:r>
    </w:p>
    <w:p>
      <w:pPr>
        <w:spacing w:line="360" w:lineRule="auto"/>
        <w:ind w:left="432"/>
      </w:pPr>
      <w:r>
        <w:rPr>
          <w:rFonts w:ascii="宋体" w:hAnsi="宋体" w:eastAsia="宋体"/>
          <w:sz w:val="24"/>
        </w:rPr>
        <w:t xml:space="preserve">    - 建立全寿命周期分阶段、多尺度评价指标体系；</w:t>
      </w:r>
    </w:p>
    <w:p>
      <w:pPr>
        <w:spacing w:line="360" w:lineRule="auto"/>
        <w:ind w:left="432"/>
      </w:pPr>
      <w:r>
        <w:rPr>
          <w:rFonts w:ascii="宋体" w:hAnsi="宋体" w:eastAsia="宋体"/>
          <w:sz w:val="24"/>
        </w:rPr>
        <w:t xml:space="preserve">    - 设计单元级-设备级-台区级三级评估规则；</w:t>
      </w:r>
    </w:p>
    <w:p>
      <w:pPr>
        <w:spacing w:line="360" w:lineRule="auto"/>
        <w:ind w:left="432"/>
      </w:pPr>
      <w:r>
        <w:rPr>
          <w:rFonts w:ascii="宋体" w:hAnsi="宋体" w:eastAsia="宋体"/>
          <w:sz w:val="24"/>
        </w:rPr>
        <w:t xml:space="preserve">    - 研究规则冲突消解与一致性维护机制；</w:t>
      </w:r>
    </w:p>
    <w:p>
      <w:pPr>
        <w:spacing w:line="360" w:lineRule="auto"/>
        <w:ind w:left="432"/>
      </w:pPr>
      <w:r>
        <w:rPr>
          <w:rFonts w:ascii="宋体" w:hAnsi="宋体" w:eastAsia="宋体"/>
          <w:sz w:val="24"/>
        </w:rPr>
        <w:t xml:space="preserve">    - 完成规则库管理系统设计与验证。</w:t>
      </w:r>
    </w:p>
    <w:p/>
    <w:p>
      <w:pPr>
        <w:pStyle w:val="Heading3"/>
      </w:pPr>
      <w:r>
        <w:rPr>
          <w:rFonts w:ascii="黑体" w:hAnsi="黑体" w:eastAsia="黑体"/>
          <w:b/>
          <w:sz w:val="28"/>
        </w:rPr>
        <w:t>1.3.3 技术路线图</w:t>
      </w:r>
    </w:p>
    <w:p/>
    <w:p>
      <w:pPr>
        <w:spacing w:line="360" w:lineRule="auto"/>
        <w:ind w:firstLine="432"/>
      </w:pPr>
      <w:r>
        <w:rPr>
          <w:rFonts w:ascii="宋体" w:hAnsi="宋体" w:eastAsia="宋体"/>
          <w:sz w:val="24"/>
        </w:rPr>
        <w:t>本课题采用"理论研究-技术创新-系统开发-示范验证"的技术路线，具体如下：</w:t>
      </w:r>
    </w:p>
    <w:p/>
    <w:p>
      <w:pPr>
        <w:spacing w:line="360" w:lineRule="auto"/>
        <w:ind w:firstLine="432"/>
      </w:pPr>
      <w:r>
        <w:rPr>
          <w:rFonts w:ascii="宋体" w:hAnsi="宋体" w:eastAsia="宋体"/>
          <w:sz w:val="24"/>
        </w:rPr>
        <w:t>图1-2 课题技术路线图</w:t>
      </w:r>
    </w:p>
    <w:p>
      <w:pPr>
        <w:shd w:fill="F2F2F2"/>
        <w:spacing w:line="240" w:lineRule="auto"/>
        <w:ind w:left="720" w:right="720"/>
      </w:pPr>
      <w:r>
        <w:rPr>
          <w:rFonts w:ascii="Consolas" w:hAnsi="Consolas" w:eastAsia="Consolas"/>
          <w:sz w:val="20"/>
        </w:rPr>
        <w:t>┌─────────────────────────────────────────────────────────────┐</w:t>
        <w:br/>
        <w:t>│                    阶段一：理论研究                          │</w:t>
        <w:br/>
        <w:t>│  文献调研 | 故障机理分析 | 数学模型构建 | 演化规律研究      │</w:t>
        <w:br/>
        <w:t>└────────────────────┬────────────────────────────────────────┘</w:t>
        <w:br/>
        <w:t xml:space="preserve">                     │</w:t>
        <w:br/>
        <w:t>┌────────────────────▼────────────────────────────────────────┐</w:t>
        <w:br/>
        <w:t>│                    阶段二：技术创新                          │</w:t>
        <w:br/>
        <w:t>│  特征矩阵构建 | 流形学习降维 | 深度学习表征 | 关联规则挖掘  │</w:t>
        <w:br/>
        <w:t>└────────────────────┬────────────────────────────────────────┘</w:t>
        <w:br/>
        <w:t xml:space="preserve">                     │</w:t>
        <w:br/>
        <w:t>┌────────────────────▼────────────────────────────────────────┐</w:t>
        <w:br/>
        <w:t>│                    阶段三：规则库设计                        │</w:t>
        <w:br/>
        <w:t>│  架构设计 | 指标体系 | 规则设计 | 冲突消解 | 管理系统      │</w:t>
        <w:br/>
        <w:t>└────────────────────┬────────────────────────────────────────┘</w:t>
        <w:br/>
        <w:t xml:space="preserve">                     │</w:t>
        <w:br/>
        <w:t>┌────────────────────▼────────────────────────────────────────┐</w:t>
        <w:br/>
        <w:t>│                    阶段四：验证与示范                        │</w:t>
        <w:br/>
        <w:t>│  仿真验证 | 案例验证 | 示范应用 | 效果评估 | 优化完善      │</w:t>
        <w:br/>
        <w:t>└─────────────────────────────────────────────────────────────┘</w:t>
      </w:r>
    </w:p>
    <w:p/>
    <w:p>
      <w:pPr>
        <w:pStyle w:val="Heading2"/>
      </w:pPr>
      <w:r>
        <w:rPr>
          <w:rFonts w:ascii="黑体" w:hAnsi="黑体" w:eastAsia="黑体"/>
          <w:b/>
          <w:sz w:val="32"/>
        </w:rPr>
        <w:t>1.4 关键技术难点与创新点</w:t>
      </w:r>
    </w:p>
    <w:p/>
    <w:p>
      <w:pPr>
        <w:pStyle w:val="Heading3"/>
      </w:pPr>
      <w:r>
        <w:rPr>
          <w:rFonts w:ascii="黑体" w:hAnsi="黑体" w:eastAsia="黑体"/>
          <w:b/>
          <w:sz w:val="28"/>
        </w:rPr>
        <w:t>1.4.1 关键技术难点剖析</w:t>
      </w:r>
    </w:p>
    <w:p/>
    <w:p>
      <w:pPr>
        <w:spacing w:line="360" w:lineRule="auto"/>
        <w:ind w:left="432"/>
      </w:pPr>
      <w:r>
        <w:rPr>
          <w:rFonts w:ascii="宋体" w:hAnsi="宋体" w:eastAsia="宋体"/>
          <w:sz w:val="24"/>
        </w:rPr>
        <w:t xml:space="preserve">    **难点一：多因素耦合下的故障机理建模** 终端和表计的故障受电气应力、环境应力、机械应力等多种因素影响，各因素之间相互耦合，故障机理复杂。如何建立考虑多因素耦合的故障机理模型，是本课题面临的首要难点。</w:t>
      </w:r>
    </w:p>
    <w:p/>
    <w:p>
      <w:pPr>
        <w:spacing w:line="360" w:lineRule="auto"/>
        <w:ind w:left="432"/>
      </w:pPr>
      <w:r>
        <w:rPr>
          <w:rFonts w:ascii="宋体" w:hAnsi="宋体" w:eastAsia="宋体"/>
          <w:sz w:val="24"/>
        </w:rPr>
        <w:t xml:space="preserve">    **难点二：高维特征的有效提取与降维** 终端和表计的运行数据包含电压、电流、功率、温度、事件记录等多源信息，特征维度高、冗余度大。如何从高维特征中提取反映设备状态本质的关键特征，是评估准确性的关键。</w:t>
      </w:r>
    </w:p>
    <w:p/>
    <w:p>
      <w:pPr>
        <w:spacing w:line="360" w:lineRule="auto"/>
        <w:ind w:left="432"/>
      </w:pPr>
      <w:r>
        <w:rPr>
          <w:rFonts w:ascii="宋体" w:hAnsi="宋体" w:eastAsia="宋体"/>
          <w:sz w:val="24"/>
        </w:rPr>
        <w:t xml:space="preserve">    **难点三：机理与数据融合的关联规则挖掘** 单一的机理分析或数据挖掘都有其局限性：机理分析可解释性强但模型简化，数据挖掘预测精度高但可解释性差。如何将两者有机融合，挖掘出既科学又准确的关联规则，是本课题的核心难点。</w:t>
      </w:r>
    </w:p>
    <w:p/>
    <w:p>
      <w:pPr>
        <w:spacing w:line="360" w:lineRule="auto"/>
        <w:ind w:left="432"/>
      </w:pPr>
      <w:r>
        <w:rPr>
          <w:rFonts w:ascii="宋体" w:hAnsi="宋体" w:eastAsia="宋体"/>
          <w:sz w:val="24"/>
        </w:rPr>
        <w:t xml:space="preserve">    **难点四：规则库的科学构建与动态更新** 规则库需要同时满足科学性、统一性、可扩展性、自适应性等多重要求。如何设计合理的规则库架构，建立科学的评估规则，并实现规则的动态更新，是本课题的又一难点。</w:t>
      </w:r>
    </w:p>
    <w:p/>
    <w:p>
      <w:pPr>
        <w:pStyle w:val="Heading3"/>
      </w:pPr>
      <w:r>
        <w:rPr>
          <w:rFonts w:ascii="黑体" w:hAnsi="黑体" w:eastAsia="黑体"/>
          <w:b/>
          <w:sz w:val="28"/>
        </w:rPr>
        <w:t>1.4.2 项目创新点提炼</w:t>
      </w:r>
    </w:p>
    <w:p/>
    <w:p>
      <w:pPr>
        <w:spacing w:line="360" w:lineRule="auto"/>
        <w:ind w:left="432"/>
      </w:pPr>
      <w:r>
        <w:rPr>
          <w:rFonts w:ascii="宋体" w:hAnsi="宋体" w:eastAsia="宋体"/>
          <w:sz w:val="24"/>
        </w:rPr>
        <w:t xml:space="preserve">    **创新点一：机理-数据双驱动的故障特征关联方法** 提出将物理机理分析与数据挖掘技术有机结合的特征关联方法，充分发挥机理分析的可解释性和数据挖掘的预测能力，建立科学准确的故障类型-特征关联关系。</w:t>
      </w:r>
    </w:p>
    <w:p/>
    <w:p>
      <w:pPr>
        <w:spacing w:line="360" w:lineRule="auto"/>
        <w:ind w:left="432"/>
      </w:pPr>
      <w:r>
        <w:rPr>
          <w:rFonts w:ascii="宋体" w:hAnsi="宋体" w:eastAsia="宋体"/>
          <w:sz w:val="24"/>
        </w:rPr>
        <w:t xml:space="preserve">    **创新点二：高维特征低维流形提取算法** 针对高维特征冗余度大的问题，提出基于t-SNE和自编码器的流形学习算法，实现高维特征的有效降维，同时保持数据的内在结构，提高评估效率和准确性。</w:t>
      </w:r>
    </w:p>
    <w:p/>
    <w:p>
      <w:pPr>
        <w:spacing w:line="360" w:lineRule="auto"/>
        <w:ind w:left="432"/>
      </w:pPr>
      <w:r>
        <w:rPr>
          <w:rFonts w:ascii="宋体" w:hAnsi="宋体" w:eastAsia="宋体"/>
          <w:sz w:val="24"/>
        </w:rPr>
        <w:t xml:space="preserve">    **创新点三：全寿命周期三级评估规则库** 设计单元级-设备级-台区级三级评估规则库，单元级评估针对各功能模块，设备级评估融合各单元状态，台区级评估实现批量设备风险排序，形成完整的评估体系。</w:t>
      </w:r>
    </w:p>
    <w:p/>
    <w:p>
      <w:pPr>
        <w:spacing w:line="360" w:lineRule="auto"/>
        <w:ind w:left="432"/>
      </w:pPr>
      <w:r>
        <w:rPr>
          <w:rFonts w:ascii="宋体" w:hAnsi="宋体" w:eastAsia="宋体"/>
          <w:sz w:val="24"/>
        </w:rPr>
        <w:t xml:space="preserve">    **创新点四：分阶段多尺度评价指标体系** 针对设备全寿命周期的不同阶段（磨合期、稳定期、耗损期），设计不同的评价指标和权重，融合短时波动特征和长时趋势特征，实现更精准的健康状态评估。</w:t>
      </w:r>
    </w:p>
    <w:p/>
    <w:p>
      <w:pPr>
        <w:pStyle w:val="Heading2"/>
      </w:pPr>
      <w:r>
        <w:rPr>
          <w:rFonts w:ascii="黑体" w:hAnsi="黑体" w:eastAsia="黑体"/>
          <w:b/>
          <w:sz w:val="32"/>
        </w:rPr>
        <w:t>1.5 报告组织结构</w:t>
      </w:r>
    </w:p>
    <w:p/>
    <w:p>
      <w:pPr>
        <w:spacing w:line="360" w:lineRule="auto"/>
        <w:ind w:firstLine="432"/>
      </w:pPr>
      <w:r>
        <w:rPr>
          <w:rFonts w:ascii="宋体" w:hAnsi="宋体" w:eastAsia="宋体"/>
          <w:sz w:val="24"/>
        </w:rPr>
        <w:t>本报告共分为六章，各章节内容安排如下：</w:t>
      </w:r>
    </w:p>
    <w:p/>
    <w:p>
      <w:pPr>
        <w:spacing w:line="360" w:lineRule="auto"/>
        <w:ind w:left="432"/>
      </w:pPr>
      <w:r>
        <w:rPr>
          <w:rFonts w:ascii="宋体" w:hAnsi="宋体" w:eastAsia="宋体"/>
          <w:sz w:val="24"/>
        </w:rPr>
        <w:t xml:space="preserve">    **第一章：绪论** 介绍项目背景与意义，分析国内外研究现状，阐述研究目标、研究内容、技术路线、关键技术难点与创新点。</w:t>
      </w:r>
    </w:p>
    <w:p/>
    <w:p>
      <w:pPr>
        <w:spacing w:line="360" w:lineRule="auto"/>
        <w:ind w:left="432"/>
      </w:pPr>
      <w:r>
        <w:rPr>
          <w:rFonts w:ascii="宋体" w:hAnsi="宋体" w:eastAsia="宋体"/>
          <w:sz w:val="24"/>
        </w:rPr>
        <w:t xml:space="preserve">    **第二章：终端和表计故障机理与性能退化研究** 梳理终端和表计的功能模块，建立故障分类体系；基于电力学原理建立典型故障模式的数学模型；分析失效物理机理，揭示故障演化规律；开展多应力下性能退化仿真研究。</w:t>
      </w:r>
    </w:p>
    <w:p/>
    <w:p>
      <w:pPr>
        <w:spacing w:line="360" w:lineRule="auto"/>
        <w:ind w:left="432"/>
      </w:pPr>
      <w:r>
        <w:rPr>
          <w:rFonts w:ascii="宋体" w:hAnsi="宋体" w:eastAsia="宋体"/>
          <w:sz w:val="24"/>
        </w:rPr>
        <w:t xml:space="preserve">    **第三章：终端和表计故障类型与特征关联技术研究** 构建多源状态信息高维特征矩阵；提出基于流形学习的关键特征提取方法；研究基于深度学习的自适应特征表征技术；建立机理与数据融合的故障类型-特征强关联规则。</w:t>
      </w:r>
    </w:p>
    <w:p/>
    <w:p>
      <w:pPr>
        <w:spacing w:line="360" w:lineRule="auto"/>
        <w:ind w:left="432"/>
      </w:pPr>
      <w:r>
        <w:rPr>
          <w:rFonts w:ascii="宋体" w:hAnsi="宋体" w:eastAsia="宋体"/>
          <w:sz w:val="24"/>
        </w:rPr>
        <w:t xml:space="preserve">    **第四章：健康状态评估规则库设计研究** 确立规则库设计原则与总体架构；建立全寿命周期分阶段、多尺度评价指标体系；设计三级评估规则；研究规则冲突消解与一致性维护机制；完成规则库管理系统设计与验证。</w:t>
      </w:r>
    </w:p>
    <w:p/>
    <w:p>
      <w:pPr>
        <w:spacing w:line="360" w:lineRule="auto"/>
        <w:ind w:left="432"/>
      </w:pPr>
      <w:r>
        <w:rPr>
          <w:rFonts w:ascii="宋体" w:hAnsi="宋体" w:eastAsia="宋体"/>
          <w:sz w:val="24"/>
        </w:rPr>
        <w:t xml:space="preserve">    **第五章：成果应用与示范验证** 介绍规则库在整体项目中的集成应用；展示典型应用场景；分析应用成效。</w:t>
      </w:r>
    </w:p>
    <w:p/>
    <w:p>
      <w:pPr>
        <w:spacing w:line="360" w:lineRule="auto"/>
        <w:ind w:left="432"/>
      </w:pPr>
      <w:r>
        <w:rPr>
          <w:rFonts w:ascii="宋体" w:hAnsi="宋体" w:eastAsia="宋体"/>
          <w:sz w:val="24"/>
        </w:rPr>
        <w:t xml:space="preserve">    **第六章：结论与展望** 总结主要研究结论，分析研究不足，展望未来研究方向。</w:t>
      </w:r>
    </w:p>
    <w:p/>
    <w:p>
      <w:r>
        <w:br w:type="page"/>
      </w:r>
    </w:p>
    <w:p/>
    <w:p>
      <w:pPr>
        <w:pStyle w:val="Heading1"/>
        <w:jc w:val="left"/>
      </w:pPr>
      <w:r>
        <w:rPr>
          <w:rFonts w:ascii="黑体" w:hAnsi="黑体" w:eastAsia="黑体"/>
          <w:b/>
          <w:sz w:val="36"/>
        </w:rPr>
        <w:t>第二章 终端和表计故障机理与性能退化研究</w:t>
      </w:r>
    </w:p>
    <w:p/>
    <w:p>
      <w:pPr>
        <w:pStyle w:val="Heading2"/>
      </w:pPr>
      <w:r>
        <w:rPr>
          <w:rFonts w:ascii="黑体" w:hAnsi="黑体" w:eastAsia="黑体"/>
          <w:b/>
          <w:sz w:val="32"/>
        </w:rPr>
        <w:t>2.1 终端和表计系统梳理与故障分类</w:t>
      </w:r>
    </w:p>
    <w:p/>
    <w:p>
      <w:pPr>
        <w:pStyle w:val="Heading3"/>
      </w:pPr>
      <w:r>
        <w:rPr>
          <w:rFonts w:ascii="黑体" w:hAnsi="黑体" w:eastAsia="黑体"/>
          <w:b/>
          <w:sz w:val="28"/>
        </w:rPr>
        <w:t>2.1.1 研究对象定义与范畴</w:t>
      </w:r>
    </w:p>
    <w:p/>
    <w:p>
      <w:pPr>
        <w:spacing w:line="360" w:lineRule="auto"/>
        <w:ind w:firstLine="432"/>
      </w:pPr>
      <w:r>
        <w:rPr>
          <w:rFonts w:ascii="宋体" w:hAnsi="宋体" w:eastAsia="宋体"/>
          <w:sz w:val="24"/>
        </w:rPr>
        <w:t>本课题的研究对象包括两类设备：智能电能表和用电信息采集终端。</w:t>
      </w:r>
    </w:p>
    <w:p/>
    <w:p>
      <w:pPr>
        <w:spacing w:line="360" w:lineRule="auto"/>
        <w:ind w:left="432"/>
      </w:pPr>
      <w:r>
        <w:rPr>
          <w:rFonts w:ascii="宋体" w:hAnsi="宋体" w:eastAsia="宋体"/>
          <w:sz w:val="24"/>
        </w:rPr>
        <w:t xml:space="preserve">    **智能电能表：** 是指具有电能计量、数据存储、数据处理、实时监测、自动控制、信息交互等功能的电能表。按应用场景可分为单相智能电能表、三相智能电能表、直流电能表等；按功能可分为普通智能电能表、费控智能电能表、双向智能电能表等。</w:t>
      </w:r>
    </w:p>
    <w:p/>
    <w:p>
      <w:pPr>
        <w:spacing w:line="360" w:lineRule="auto"/>
        <w:ind w:left="432"/>
      </w:pPr>
      <w:r>
        <w:rPr>
          <w:rFonts w:ascii="宋体" w:hAnsi="宋体" w:eastAsia="宋体"/>
          <w:sz w:val="24"/>
        </w:rPr>
        <w:t xml:space="preserve">    **用电信息采集终端：** 是指用于采集、处理、监控和传送电能表及相关设备信息的设备。按应用场景可分为集中器、专变终端、配变终端、分布式能源终端等；按通信方式可分为载波终端、无线终端、光纤终端等。</w:t>
      </w:r>
    </w:p>
    <w:p/>
    <w:p>
      <w:pPr>
        <w:spacing w:line="360" w:lineRule="auto"/>
        <w:ind w:firstLine="432"/>
      </w:pPr>
      <w:r>
        <w:rPr>
          <w:rFonts w:ascii="宋体" w:hAnsi="宋体" w:eastAsia="宋体"/>
          <w:sz w:val="24"/>
        </w:rPr>
        <w:t>本课题重点研究在实际电网中广泛应用的典型设备，包括：单相费控智能电能表、三相多功能智能电能表、低压集中器、专变采集终端。</w:t>
      </w:r>
    </w:p>
    <w:p/>
    <w:p>
      <w:pPr>
        <w:pStyle w:val="Heading3"/>
      </w:pPr>
      <w:r>
        <w:rPr>
          <w:rFonts w:ascii="黑体" w:hAnsi="黑体" w:eastAsia="黑体"/>
          <w:b/>
          <w:sz w:val="28"/>
        </w:rPr>
        <w:t>2.1.2 内部结构与功能模块分解</w:t>
      </w:r>
    </w:p>
    <w:p/>
    <w:p>
      <w:pPr>
        <w:spacing w:line="360" w:lineRule="auto"/>
        <w:ind w:firstLine="432"/>
      </w:pPr>
      <w:r>
        <w:rPr>
          <w:rFonts w:ascii="宋体" w:hAnsi="宋体" w:eastAsia="宋体"/>
          <w:sz w:val="24"/>
        </w:rPr>
        <w:t>为深入分析终端和表计的故障机理，首先对其内部结构和功能模块进行分解。</w:t>
      </w:r>
    </w:p>
    <w:p/>
    <w:p>
      <w:pPr>
        <w:spacing w:line="360" w:lineRule="auto"/>
        <w:ind w:firstLine="432"/>
      </w:pPr>
      <w:r>
        <w:rPr>
          <w:rFonts w:ascii="宋体" w:hAnsi="宋体" w:eastAsia="宋体"/>
          <w:sz w:val="24"/>
        </w:rPr>
        <w:t>图2-1 智能终端和表计功能模块分解图</w:t>
      </w:r>
    </w:p>
    <w:p>
      <w:pPr>
        <w:shd w:fill="F2F2F2"/>
        <w:spacing w:line="240" w:lineRule="auto"/>
        <w:ind w:left="720" w:right="720"/>
      </w:pPr>
      <w:r>
        <w:rPr>
          <w:rFonts w:ascii="Consolas" w:hAnsi="Consolas" w:eastAsia="Consolas"/>
          <w:sz w:val="20"/>
        </w:rPr>
        <w:t>┌─────────────────────────────────────────────────────────────┐</w:t>
        <w:br/>
        <w:t>│                      智能电能表                               │</w:t>
        <w:br/>
        <w:t>├─────────────────────────────────────────────────────────────┤</w:t>
        <w:br/>
        <w:t>│  ┌──────────┐  ┌──────────┐  ┌──────────┐  ┌──────────┐  │</w:t>
        <w:br/>
        <w:t>│  │ 电源模块  │  │计量模块  │  │通信模块  │  │管理模块  │  │</w:t>
        <w:br/>
        <w:t>│  └──────────┘  └──────────┘  └──────────┘  └──────────┘  │</w:t>
        <w:br/>
        <w:t>│  ┌──────────┐  ┌──────────┐  ┌──────────┐  ┌──────────┐  │</w:t>
        <w:br/>
        <w:t>│  │显示模块  │  │存储模块  │  │控制模块  │  │安全模块  │  │</w:t>
        <w:br/>
        <w:t>│  └──────────┘  └──────────┘  └──────────┘  └──────────┘  │</w:t>
        <w:br/>
        <w:t>└─────────────────────────────────────────────────────────────┘</w:t>
        <w:br/>
        <w:br/>
        <w:t>┌─────────────────────────────────────────────────────────────┐</w:t>
        <w:br/>
        <w:t>│                      用电信息采集终端                         │</w:t>
        <w:br/>
        <w:t>├─────────────────────────────────────────────────────────────┤</w:t>
        <w:br/>
        <w:t>│  ┌──────────┐  ┌──────────┐  ┌──────────┐  ┌──────────┐  │</w:t>
        <w:br/>
        <w:t>│  │ 电源模块  │  │主控模块  │  │上行通信  │  │下行通信  │  │</w:t>
        <w:br/>
        <w:t>│  └──────────┘  └──────────┘  └──────────┘  └──────────┘  │</w:t>
        <w:br/>
        <w:t>│  ┌──────────┐  ┌──────────┐  ┌──────────┐  ┌──────────┐  │</w:t>
        <w:br/>
        <w:t>│  │ 存储模块  │  │I/O模块   │  │人机交互  │  │安全模块  │  │</w:t>
        <w:br/>
        <w:t>│  └──────────┘  └──────────┘  └──────────┘  └──────────┘  │</w:t>
        <w:br/>
        <w:t>└─────────────────────────────────────────────────────────────┘</w:t>
      </w:r>
    </w:p>
    <w:p/>
    <w:p>
      <w:pPr>
        <w:spacing w:line="360" w:lineRule="auto"/>
        <w:ind w:left="432"/>
      </w:pPr>
      <w:r>
        <w:rPr>
          <w:rFonts w:ascii="宋体" w:hAnsi="宋体" w:eastAsia="宋体"/>
          <w:sz w:val="24"/>
        </w:rPr>
        <w:t xml:space="preserve">    **智能电能表功能模块说明：**</w:t>
      </w:r>
    </w:p>
    <w:p>
      <w:pPr>
        <w:spacing w:line="360" w:lineRule="auto"/>
        <w:ind w:left="432"/>
      </w:pPr>
      <w:r>
        <w:rPr>
          <w:rFonts w:ascii="宋体" w:hAnsi="宋体" w:eastAsia="宋体"/>
          <w:sz w:val="24"/>
        </w:rPr>
        <w:t>1. **电源模块：** 将交流市电转换为直流电源，为其他模块供电，主要包括变压器、整流电路、滤波电路、稳压电路等。</w:t>
      </w:r>
    </w:p>
    <w:p>
      <w:pPr>
        <w:spacing w:line="360" w:lineRule="auto"/>
        <w:ind w:left="432"/>
      </w:pPr>
      <w:r>
        <w:rPr>
          <w:rFonts w:ascii="宋体" w:hAnsi="宋体" w:eastAsia="宋体"/>
          <w:sz w:val="24"/>
        </w:rPr>
        <w:t>2. **计量模块：** 核心功能模块，实现电能计量，主要包括计量芯片、分流器/互感器、ADC等。</w:t>
      </w:r>
    </w:p>
    <w:p>
      <w:pPr>
        <w:spacing w:line="360" w:lineRule="auto"/>
        <w:ind w:left="432"/>
      </w:pPr>
      <w:r>
        <w:rPr>
          <w:rFonts w:ascii="宋体" w:hAnsi="宋体" w:eastAsia="宋体"/>
          <w:sz w:val="24"/>
        </w:rPr>
        <w:t>3. **通信模块：** 实现与集中器或主站的数据通信，常见通信方式包括电力载波、微功率无线、RS-485等。</w:t>
      </w:r>
    </w:p>
    <w:p>
      <w:pPr>
        <w:spacing w:line="360" w:lineRule="auto"/>
        <w:ind w:left="432"/>
      </w:pPr>
      <w:r>
        <w:rPr>
          <w:rFonts w:ascii="宋体" w:hAnsi="宋体" w:eastAsia="宋体"/>
          <w:sz w:val="24"/>
        </w:rPr>
        <w:t>4. **管理模块：** 包括MCU、时钟芯片等，实现数据处理、存储管理、事件记录等功能。</w:t>
      </w:r>
    </w:p>
    <w:p>
      <w:pPr>
        <w:spacing w:line="360" w:lineRule="auto"/>
        <w:ind w:left="432"/>
      </w:pPr>
      <w:r>
        <w:rPr>
          <w:rFonts w:ascii="宋体" w:hAnsi="宋体" w:eastAsia="宋体"/>
          <w:sz w:val="24"/>
        </w:rPr>
        <w:t>5. **显示模块：** 显示电能表运行状态和电量信息，常见的有LED显示、LCD显示等。</w:t>
      </w:r>
    </w:p>
    <w:p>
      <w:pPr>
        <w:spacing w:line="360" w:lineRule="auto"/>
        <w:ind w:left="432"/>
      </w:pPr>
      <w:r>
        <w:rPr>
          <w:rFonts w:ascii="宋体" w:hAnsi="宋体" w:eastAsia="宋体"/>
          <w:sz w:val="24"/>
        </w:rPr>
        <w:t>6. **存储模块：** 存储电量数据、参数配置、事件记录等，常见的有Flash、EEPROM等。</w:t>
      </w:r>
    </w:p>
    <w:p>
      <w:pPr>
        <w:spacing w:line="360" w:lineRule="auto"/>
        <w:ind w:left="432"/>
      </w:pPr>
      <w:r>
        <w:rPr>
          <w:rFonts w:ascii="宋体" w:hAnsi="宋体" w:eastAsia="宋体"/>
          <w:sz w:val="24"/>
        </w:rPr>
        <w:t>7. **控制模块：** 实现拉闸合闸、负荷控制等功能，主要包括继电器、接触器等。</w:t>
      </w:r>
    </w:p>
    <w:p>
      <w:pPr>
        <w:spacing w:line="360" w:lineRule="auto"/>
        <w:ind w:left="432"/>
      </w:pPr>
      <w:r>
        <w:rPr>
          <w:rFonts w:ascii="宋体" w:hAnsi="宋体" w:eastAsia="宋体"/>
          <w:sz w:val="24"/>
        </w:rPr>
        <w:t>8. **安全模块：** 实现数据加密、身份认证等安全功能，主要包括ESAM芯片等。</w:t>
      </w:r>
    </w:p>
    <w:p/>
    <w:p>
      <w:pPr>
        <w:spacing w:line="360" w:lineRule="auto"/>
        <w:ind w:left="432"/>
      </w:pPr>
      <w:r>
        <w:rPr>
          <w:rFonts w:ascii="宋体" w:hAnsi="宋体" w:eastAsia="宋体"/>
          <w:sz w:val="24"/>
        </w:rPr>
        <w:t xml:space="preserve">    **用电信息采集终端功能模块说明：**</w:t>
      </w:r>
    </w:p>
    <w:p>
      <w:pPr>
        <w:spacing w:line="360" w:lineRule="auto"/>
        <w:ind w:left="432"/>
      </w:pPr>
      <w:r>
        <w:rPr>
          <w:rFonts w:ascii="宋体" w:hAnsi="宋体" w:eastAsia="宋体"/>
          <w:sz w:val="24"/>
        </w:rPr>
        <w:t>1. **电源模块：** 为终端各模块供电，支持交流供电或直流供电。</w:t>
      </w:r>
    </w:p>
    <w:p>
      <w:pPr>
        <w:spacing w:line="360" w:lineRule="auto"/>
        <w:ind w:left="432"/>
      </w:pPr>
      <w:r>
        <w:rPr>
          <w:rFonts w:ascii="宋体" w:hAnsi="宋体" w:eastAsia="宋体"/>
          <w:sz w:val="24"/>
        </w:rPr>
        <w:t>2. **主控模块：** 终端的核心控制单元，包括CPU、内存、存储等，实现数据处理、协议转换等功能。</w:t>
      </w:r>
    </w:p>
    <w:p>
      <w:pPr>
        <w:spacing w:line="360" w:lineRule="auto"/>
        <w:ind w:left="432"/>
      </w:pPr>
      <w:r>
        <w:rPr>
          <w:rFonts w:ascii="宋体" w:hAnsi="宋体" w:eastAsia="宋体"/>
          <w:sz w:val="24"/>
        </w:rPr>
        <w:t>3. **上行通信模块：** 实现与主站的数据通信，常见通信方式包括光纤、4G/5G无线、电力载波等。</w:t>
      </w:r>
    </w:p>
    <w:p>
      <w:pPr>
        <w:spacing w:line="360" w:lineRule="auto"/>
        <w:ind w:left="432"/>
      </w:pPr>
      <w:r>
        <w:rPr>
          <w:rFonts w:ascii="宋体" w:hAnsi="宋体" w:eastAsia="宋体"/>
          <w:sz w:val="24"/>
        </w:rPr>
        <w:t>4. **下行通信模块：** 实现与电能表或其他设备的数据通信，常见通信方式包括电力载波、微功率无线、RS-485等。</w:t>
      </w:r>
    </w:p>
    <w:p>
      <w:pPr>
        <w:spacing w:line="360" w:lineRule="auto"/>
        <w:ind w:left="432"/>
      </w:pPr>
      <w:r>
        <w:rPr>
          <w:rFonts w:ascii="宋体" w:hAnsi="宋体" w:eastAsia="宋体"/>
          <w:sz w:val="24"/>
        </w:rPr>
        <w:t>5. **存储模块：** 存储采集数据、参数配置、日志记录等。</w:t>
      </w:r>
    </w:p>
    <w:p>
      <w:pPr>
        <w:spacing w:line="360" w:lineRule="auto"/>
        <w:ind w:left="432"/>
      </w:pPr>
      <w:r>
        <w:rPr>
          <w:rFonts w:ascii="宋体" w:hAnsi="宋体" w:eastAsia="宋体"/>
          <w:sz w:val="24"/>
        </w:rPr>
        <w:t>6. **I/O模块：** 实现开关量输入输出、模拟量采集等功能。</w:t>
      </w:r>
    </w:p>
    <w:p>
      <w:pPr>
        <w:spacing w:line="360" w:lineRule="auto"/>
        <w:ind w:left="432"/>
      </w:pPr>
      <w:r>
        <w:rPr>
          <w:rFonts w:ascii="宋体" w:hAnsi="宋体" w:eastAsia="宋体"/>
          <w:sz w:val="24"/>
        </w:rPr>
        <w:t>7. **人机交互模块：** 实现本地操作和显示，包括按键、显示屏等。</w:t>
      </w:r>
    </w:p>
    <w:p>
      <w:pPr>
        <w:spacing w:line="360" w:lineRule="auto"/>
        <w:ind w:left="432"/>
      </w:pPr>
      <w:r>
        <w:rPr>
          <w:rFonts w:ascii="宋体" w:hAnsi="宋体" w:eastAsia="宋体"/>
          <w:sz w:val="24"/>
        </w:rPr>
        <w:t>8. **安全模块：** 实现数据加密、身份认证等安全功能。</w:t>
      </w:r>
    </w:p>
    <w:p/>
    <w:p>
      <w:pPr>
        <w:pStyle w:val="Heading3"/>
      </w:pPr>
      <w:r>
        <w:rPr>
          <w:rFonts w:ascii="黑体" w:hAnsi="黑体" w:eastAsia="黑体"/>
          <w:b/>
          <w:sz w:val="28"/>
        </w:rPr>
        <w:t>2.1.3 常见故障类型系统化分类</w:t>
      </w:r>
    </w:p>
    <w:p/>
    <w:p>
      <w:pPr>
        <w:spacing w:line="360" w:lineRule="auto"/>
        <w:ind w:firstLine="432"/>
      </w:pPr>
      <w:r>
        <w:rPr>
          <w:rFonts w:ascii="宋体" w:hAnsi="宋体" w:eastAsia="宋体"/>
          <w:sz w:val="24"/>
        </w:rPr>
        <w:t>基于对终端和表计功能模块的分解，结合实际运行数据和故障案例，建立系统化的故障分类体系。</w:t>
      </w:r>
    </w:p>
    <w:p/>
    <w:p>
      <w:pPr>
        <w:spacing w:line="360" w:lineRule="auto"/>
        <w:ind w:firstLine="432"/>
      </w:pPr>
      <w:r>
        <w:rPr>
          <w:rFonts w:ascii="宋体" w:hAnsi="宋体" w:eastAsia="宋体"/>
          <w:sz w:val="24"/>
        </w:rPr>
        <w:t>图2-2 故障分类树状图</w:t>
      </w:r>
    </w:p>
    <w:p>
      <w:pPr>
        <w:shd w:fill="F2F2F2"/>
        <w:spacing w:line="240" w:lineRule="auto"/>
        <w:ind w:left="720" w:right="720"/>
      </w:pPr>
      <w:r>
        <w:rPr>
          <w:rFonts w:ascii="Consolas" w:hAnsi="Consolas" w:eastAsia="Consolas"/>
          <w:sz w:val="20"/>
        </w:rPr>
        <w:t>终端和表计故障</w:t>
        <w:br/>
        <w:t>├─ 按功能模块分类</w:t>
        <w:br/>
        <w:t>│  ├─ 电源模块故障</w:t>
        <w:br/>
        <w:t>│  │  ├─ 电源失效</w:t>
        <w:br/>
        <w:t>│  │  ├─ 输出电压异常</w:t>
        <w:br/>
        <w:t>│  │  └─ 纹波过大</w:t>
        <w:br/>
        <w:t>│  ├─ 计量模块故障</w:t>
        <w:br/>
        <w:t>│  │  ├─ 计量超差</w:t>
        <w:br/>
        <w:t>│  │  ├─ 计量失效</w:t>
        <w:br/>
        <w:t>│  │  └─ 谐波计量异常</w:t>
        <w:br/>
        <w:t>│  ├─ 通信模块故障</w:t>
        <w:br/>
        <w:t>│  │  ├─ 通信中断</w:t>
        <w:br/>
        <w:t>│  │  ├─ 通信不稳定</w:t>
        <w:br/>
        <w:t>│  │  └─ 通信速率低</w:t>
        <w:br/>
        <w:t>│  ├─ 管理/主控模块故障</w:t>
        <w:br/>
        <w:t>│  │  ├─ 程序死机</w:t>
        <w:br/>
        <w:t>│  │  ├─ 时钟异常</w:t>
        <w:br/>
        <w:t>│  │  └─ 数据处理错误</w:t>
        <w:br/>
        <w:t>│  ├─ 存储模块故障</w:t>
        <w:br/>
        <w:t>│  │  ├─ 数据丢失</w:t>
        <w:br/>
        <w:t>│  │  ├─ 存储错误</w:t>
        <w:br/>
        <w:t>│  │  └─ 读写失败</w:t>
        <w:br/>
        <w:t>│  ├─ 显示模块故障</w:t>
        <w:br/>
        <w:t>│  │  ├─ 显示失效</w:t>
        <w:br/>
        <w:t>│  │  └─ 显示异常</w:t>
        <w:br/>
        <w:t>│  ├─ 控制模块故障</w:t>
        <w:br/>
        <w:t>│  │  ├─ 继电器失效</w:t>
        <w:br/>
        <w:t>│  │  └─ 控制失灵</w:t>
        <w:br/>
        <w:t>│  └─ 安全模块故障</w:t>
        <w:br/>
        <w:t>│     └─ 认证失败</w:t>
        <w:br/>
        <w:t>└─ 按失效模式分类</w:t>
        <w:br/>
        <w:t xml:space="preserve">   ├─ 完全失效</w:t>
        <w:br/>
        <w:t xml:space="preserve">   ├─ 性能退化</w:t>
        <w:br/>
        <w:t xml:space="preserve">   ├─ 间歇性故障</w:t>
        <w:br/>
        <w:t xml:space="preserve">   └─ 潜在缺陷</w:t>
      </w:r>
    </w:p>
    <w:p/>
    <w:p>
      <w:pPr>
        <w:spacing w:line="360" w:lineRule="auto"/>
        <w:ind w:left="432"/>
      </w:pPr>
      <w:r>
        <w:rPr>
          <w:rFonts w:ascii="宋体" w:hAnsi="宋体" w:eastAsia="宋体"/>
          <w:sz w:val="24"/>
        </w:rPr>
        <w:t xml:space="preserve">    **按功能模块分类详细说明：**</w:t>
      </w:r>
    </w:p>
    <w:p/>
    <w:p>
      <w:pPr>
        <w:spacing w:line="360" w:lineRule="auto"/>
        <w:ind w:left="432"/>
      </w:pPr>
      <w:r>
        <w:rPr>
          <w:rFonts w:ascii="宋体" w:hAnsi="宋体" w:eastAsia="宋体"/>
          <w:sz w:val="24"/>
        </w:rPr>
        <w:t>1. **电源模块故障：** 电源模块是终端和表计正常工作的基础，其故障会导致整机无法正常工作。常见故障模式包括：电源失效（无输出）、输出电压异常（过压、欠压）、纹波过大。主要失效机理包括：电容老化、变压器损坏、稳压芯片故障等。</w:t>
      </w:r>
    </w:p>
    <w:p/>
    <w:p>
      <w:pPr>
        <w:spacing w:line="360" w:lineRule="auto"/>
        <w:ind w:left="432"/>
      </w:pPr>
      <w:r>
        <w:rPr>
          <w:rFonts w:ascii="宋体" w:hAnsi="宋体" w:eastAsia="宋体"/>
          <w:sz w:val="24"/>
        </w:rPr>
        <w:t>2. **计量模块故障：** 计量模块是电能表的核心功能模块，其故障会导致计量不准确或计量失效。常见故障模式包括：计量超差、计量失效、谐波计量异常。主要失效机理包括：计量芯片漂移、互感器损坏、分流器老化、焊接不良等。</w:t>
      </w:r>
    </w:p>
    <w:p/>
    <w:p>
      <w:pPr>
        <w:spacing w:line="360" w:lineRule="auto"/>
        <w:ind w:left="432"/>
      </w:pPr>
      <w:r>
        <w:rPr>
          <w:rFonts w:ascii="宋体" w:hAnsi="宋体" w:eastAsia="宋体"/>
          <w:sz w:val="24"/>
        </w:rPr>
        <w:t>3. **通信模块故障：** 通信模块负责数据传输，其故障会导致数据采集失败。常见故障模式包括：通信中断、通信不稳定、通信速率低。主要失效机理包括：通信芯片损坏、天线故障、通信接口损坏、环境干扰等。</w:t>
      </w:r>
    </w:p>
    <w:p/>
    <w:p>
      <w:pPr>
        <w:spacing w:line="360" w:lineRule="auto"/>
        <w:ind w:left="432"/>
      </w:pPr>
      <w:r>
        <w:rPr>
          <w:rFonts w:ascii="宋体" w:hAnsi="宋体" w:eastAsia="宋体"/>
          <w:sz w:val="24"/>
        </w:rPr>
        <w:t>4. **管理/主控模块故障：** 管理/主控模块是设备的控制中心，其故障会导致设备功能异常。常见故障模式包括：程序死机、时钟异常、数据处理错误。主要失效机理包括：芯片损坏、时钟晶体老化、程序异常等。</w:t>
      </w:r>
    </w:p>
    <w:p/>
    <w:p>
      <w:pPr>
        <w:spacing w:line="360" w:lineRule="auto"/>
        <w:ind w:left="432"/>
      </w:pPr>
      <w:r>
        <w:rPr>
          <w:rFonts w:ascii="宋体" w:hAnsi="宋体" w:eastAsia="宋体"/>
          <w:sz w:val="24"/>
        </w:rPr>
        <w:t>5. **存储模块故障：** 存储模块负责数据存储，其故障会导致数据丢失或读写失败。常见故障模式包括：数据丢失、存储错误、读写失败。主要失效机理包括：存储芯片损坏、擦写次数超限、电源异常导致数据丢失等。</w:t>
      </w:r>
    </w:p>
    <w:p/>
    <w:p>
      <w:pPr>
        <w:spacing w:line="360" w:lineRule="auto"/>
        <w:ind w:left="432"/>
      </w:pPr>
      <w:r>
        <w:rPr>
          <w:rFonts w:ascii="宋体" w:hAnsi="宋体" w:eastAsia="宋体"/>
          <w:sz w:val="24"/>
        </w:rPr>
        <w:t>6. **显示模块故障：** 显示模块负责本地显示，其故障影响本地观测。常见故障模式包括：显示失效、显示异常（花屏、乱码）。主要失效机理包括：显示屏损坏、驱动电路故障等。</w:t>
      </w:r>
    </w:p>
    <w:p/>
    <w:p>
      <w:pPr>
        <w:spacing w:line="360" w:lineRule="auto"/>
        <w:ind w:left="432"/>
      </w:pPr>
      <w:r>
        <w:rPr>
          <w:rFonts w:ascii="宋体" w:hAnsi="宋体" w:eastAsia="宋体"/>
          <w:sz w:val="24"/>
        </w:rPr>
        <w:t>7. **控制模块故障：** 控制模块负责拉闸合闸等控制操作，其故障会导致控制失灵。常见故障模式包括：继电器失效、控制失灵。主要失效机理包括：继电器触点老化、线圈损坏、驱动电路故障等。</w:t>
      </w:r>
    </w:p>
    <w:p/>
    <w:p>
      <w:pPr>
        <w:spacing w:line="360" w:lineRule="auto"/>
        <w:ind w:left="432"/>
      </w:pPr>
      <w:r>
        <w:rPr>
          <w:rFonts w:ascii="宋体" w:hAnsi="宋体" w:eastAsia="宋体"/>
          <w:sz w:val="24"/>
        </w:rPr>
        <w:t>8. **安全模块故障：** 安全模块负责数据安全，其故障会导致通信失败。常见故障模式包括：认证失败。主要失效机理包括：安全芯片损坏、密钥丢失等。</w:t>
      </w:r>
    </w:p>
    <w:p/>
    <w:p>
      <w:pPr>
        <w:spacing w:line="360" w:lineRule="auto"/>
        <w:ind w:firstLine="432"/>
      </w:pPr>
      <w:r>
        <w:rPr>
          <w:rFonts w:ascii="宋体" w:hAnsi="宋体" w:eastAsia="宋体"/>
          <w:sz w:val="24"/>
        </w:rPr>
        <w:t>表2-1 典型故障模式与失效机理对应表</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2"/>
              </w:rPr>
              <w:t>故障类型</w:t>
            </w:r>
          </w:p>
        </w:tc>
        <w:tc>
          <w:tcPr>
            <w:tcW w:type="dxa" w:w="2160"/>
          </w:tcPr>
          <w:p>
            <w:pPr>
              <w:jc w:val="center"/>
            </w:pPr>
            <w:r>
              <w:rPr>
                <w:b/>
                <w:sz w:val="22"/>
              </w:rPr>
              <w:t>典型故障模式</w:t>
            </w:r>
          </w:p>
        </w:tc>
        <w:tc>
          <w:tcPr>
            <w:tcW w:type="dxa" w:w="2160"/>
          </w:tcPr>
          <w:p>
            <w:pPr>
              <w:jc w:val="center"/>
            </w:pPr>
            <w:r>
              <w:rPr>
                <w:b/>
                <w:sz w:val="22"/>
              </w:rPr>
              <w:t>主要失效机理</w:t>
            </w:r>
          </w:p>
        </w:tc>
        <w:tc>
          <w:tcPr>
            <w:tcW w:type="dxa" w:w="2160"/>
          </w:tcPr>
          <w:p>
            <w:pPr>
              <w:jc w:val="center"/>
            </w:pPr>
            <w:r>
              <w:rPr>
                <w:b/>
                <w:sz w:val="22"/>
              </w:rPr>
              <w:t>影响程度</w:t>
            </w:r>
          </w:p>
        </w:tc>
      </w:tr>
      <w:tr>
        <w:tc>
          <w:tcPr>
            <w:tcW w:type="dxa" w:w="2160"/>
          </w:tcPr>
          <w:p>
            <w:pPr>
              <w:jc w:val="center"/>
            </w:pPr>
            <w:r>
              <w:rPr>
                <w:sz w:val="20"/>
              </w:rPr>
              <w:t>电源模块</w:t>
            </w:r>
          </w:p>
        </w:tc>
        <w:tc>
          <w:tcPr>
            <w:tcW w:type="dxa" w:w="2160"/>
          </w:tcPr>
          <w:p>
            <w:pPr>
              <w:jc w:val="center"/>
            </w:pPr>
            <w:r>
              <w:rPr>
                <w:sz w:val="20"/>
              </w:rPr>
              <w:t>电源失效</w:t>
            </w:r>
          </w:p>
        </w:tc>
        <w:tc>
          <w:tcPr>
            <w:tcW w:type="dxa" w:w="2160"/>
          </w:tcPr>
          <w:p>
            <w:pPr>
              <w:jc w:val="center"/>
            </w:pPr>
            <w:r>
              <w:rPr>
                <w:sz w:val="20"/>
              </w:rPr>
              <w:t>电容老化、变压器损坏</w:t>
            </w:r>
          </w:p>
        </w:tc>
        <w:tc>
          <w:tcPr>
            <w:tcW w:type="dxa" w:w="2160"/>
          </w:tcPr>
          <w:p>
            <w:pPr>
              <w:jc w:val="center"/>
            </w:pPr>
            <w:r>
              <w:rPr>
                <w:sz w:val="20"/>
              </w:rPr>
              <w:t>严重</w:t>
            </w:r>
          </w:p>
        </w:tc>
      </w:tr>
      <w:tr>
        <w:tc>
          <w:tcPr>
            <w:tcW w:type="dxa" w:w="2160"/>
          </w:tcPr>
          <w:p>
            <w:pPr>
              <w:jc w:val="center"/>
            </w:pPr>
            <w:r>
              <w:rPr>
                <w:sz w:val="20"/>
              </w:rPr>
              <w:t>电源模块</w:t>
            </w:r>
          </w:p>
        </w:tc>
        <w:tc>
          <w:tcPr>
            <w:tcW w:type="dxa" w:w="2160"/>
          </w:tcPr>
          <w:p>
            <w:pPr>
              <w:jc w:val="center"/>
            </w:pPr>
            <w:r>
              <w:rPr>
                <w:sz w:val="20"/>
              </w:rPr>
              <w:t>输出电压异常</w:t>
            </w:r>
          </w:p>
        </w:tc>
        <w:tc>
          <w:tcPr>
            <w:tcW w:type="dxa" w:w="2160"/>
          </w:tcPr>
          <w:p>
            <w:pPr>
              <w:jc w:val="center"/>
            </w:pPr>
            <w:r>
              <w:rPr>
                <w:sz w:val="20"/>
              </w:rPr>
              <w:t>稳压芯片故障、电阻漂移</w:t>
            </w:r>
          </w:p>
        </w:tc>
        <w:tc>
          <w:tcPr>
            <w:tcW w:type="dxa" w:w="2160"/>
          </w:tcPr>
          <w:p>
            <w:pPr>
              <w:jc w:val="center"/>
            </w:pPr>
            <w:r>
              <w:rPr>
                <w:sz w:val="20"/>
              </w:rPr>
              <w:t>中等</w:t>
            </w:r>
          </w:p>
        </w:tc>
      </w:tr>
      <w:tr>
        <w:tc>
          <w:tcPr>
            <w:tcW w:type="dxa" w:w="2160"/>
          </w:tcPr>
          <w:p>
            <w:pPr>
              <w:jc w:val="center"/>
            </w:pPr>
            <w:r>
              <w:rPr>
                <w:sz w:val="20"/>
              </w:rPr>
              <w:t>计量模块</w:t>
            </w:r>
          </w:p>
        </w:tc>
        <w:tc>
          <w:tcPr>
            <w:tcW w:type="dxa" w:w="2160"/>
          </w:tcPr>
          <w:p>
            <w:pPr>
              <w:jc w:val="center"/>
            </w:pPr>
            <w:r>
              <w:rPr>
                <w:sz w:val="20"/>
              </w:rPr>
              <w:t>计量超差</w:t>
            </w:r>
          </w:p>
        </w:tc>
        <w:tc>
          <w:tcPr>
            <w:tcW w:type="dxa" w:w="2160"/>
          </w:tcPr>
          <w:p>
            <w:pPr>
              <w:jc w:val="center"/>
            </w:pPr>
            <w:r>
              <w:rPr>
                <w:sz w:val="20"/>
              </w:rPr>
              <w:t>计量芯片漂移、互感器老化</w:t>
            </w:r>
          </w:p>
        </w:tc>
        <w:tc>
          <w:tcPr>
            <w:tcW w:type="dxa" w:w="2160"/>
          </w:tcPr>
          <w:p>
            <w:pPr>
              <w:jc w:val="center"/>
            </w:pPr>
            <w:r>
              <w:rPr>
                <w:sz w:val="20"/>
              </w:rPr>
              <w:t>严重</w:t>
            </w:r>
          </w:p>
        </w:tc>
      </w:tr>
      <w:tr>
        <w:tc>
          <w:tcPr>
            <w:tcW w:type="dxa" w:w="2160"/>
          </w:tcPr>
          <w:p>
            <w:pPr>
              <w:jc w:val="center"/>
            </w:pPr>
            <w:r>
              <w:rPr>
                <w:sz w:val="20"/>
              </w:rPr>
              <w:t>计量模块</w:t>
            </w:r>
          </w:p>
        </w:tc>
        <w:tc>
          <w:tcPr>
            <w:tcW w:type="dxa" w:w="2160"/>
          </w:tcPr>
          <w:p>
            <w:pPr>
              <w:jc w:val="center"/>
            </w:pPr>
            <w:r>
              <w:rPr>
                <w:sz w:val="20"/>
              </w:rPr>
              <w:t>计量失效</w:t>
            </w:r>
          </w:p>
        </w:tc>
        <w:tc>
          <w:tcPr>
            <w:tcW w:type="dxa" w:w="2160"/>
          </w:tcPr>
          <w:p>
            <w:pPr>
              <w:jc w:val="center"/>
            </w:pPr>
            <w:r>
              <w:rPr>
                <w:sz w:val="20"/>
              </w:rPr>
              <w:t>计量芯片损坏、分流器故障</w:t>
            </w:r>
          </w:p>
        </w:tc>
        <w:tc>
          <w:tcPr>
            <w:tcW w:type="dxa" w:w="2160"/>
          </w:tcPr>
          <w:p>
            <w:pPr>
              <w:jc w:val="center"/>
            </w:pPr>
            <w:r>
              <w:rPr>
                <w:sz w:val="20"/>
              </w:rPr>
              <w:t>严重</w:t>
            </w:r>
          </w:p>
        </w:tc>
      </w:tr>
      <w:tr>
        <w:tc>
          <w:tcPr>
            <w:tcW w:type="dxa" w:w="2160"/>
          </w:tcPr>
          <w:p>
            <w:pPr>
              <w:jc w:val="center"/>
            </w:pPr>
            <w:r>
              <w:rPr>
                <w:sz w:val="20"/>
              </w:rPr>
              <w:t>通信模块</w:t>
            </w:r>
          </w:p>
        </w:tc>
        <w:tc>
          <w:tcPr>
            <w:tcW w:type="dxa" w:w="2160"/>
          </w:tcPr>
          <w:p>
            <w:pPr>
              <w:jc w:val="center"/>
            </w:pPr>
            <w:r>
              <w:rPr>
                <w:sz w:val="20"/>
              </w:rPr>
              <w:t>通信中断</w:t>
            </w:r>
          </w:p>
        </w:tc>
        <w:tc>
          <w:tcPr>
            <w:tcW w:type="dxa" w:w="2160"/>
          </w:tcPr>
          <w:p>
            <w:pPr>
              <w:jc w:val="center"/>
            </w:pPr>
            <w:r>
              <w:rPr>
                <w:sz w:val="20"/>
              </w:rPr>
              <w:t>通信芯片损坏、天线故障</w:t>
            </w:r>
          </w:p>
        </w:tc>
        <w:tc>
          <w:tcPr>
            <w:tcW w:type="dxa" w:w="2160"/>
          </w:tcPr>
          <w:p>
            <w:pPr>
              <w:jc w:val="center"/>
            </w:pPr>
            <w:r>
              <w:rPr>
                <w:sz w:val="20"/>
              </w:rPr>
              <w:t>中等</w:t>
            </w:r>
          </w:p>
        </w:tc>
      </w:tr>
      <w:tr>
        <w:tc>
          <w:tcPr>
            <w:tcW w:type="dxa" w:w="2160"/>
          </w:tcPr>
          <w:p>
            <w:pPr>
              <w:jc w:val="center"/>
            </w:pPr>
            <w:r>
              <w:rPr>
                <w:sz w:val="20"/>
              </w:rPr>
              <w:t>通信模块</w:t>
            </w:r>
          </w:p>
        </w:tc>
        <w:tc>
          <w:tcPr>
            <w:tcW w:type="dxa" w:w="2160"/>
          </w:tcPr>
          <w:p>
            <w:pPr>
              <w:jc w:val="center"/>
            </w:pPr>
            <w:r>
              <w:rPr>
                <w:sz w:val="20"/>
              </w:rPr>
              <w:t>通信不稳定</w:t>
            </w:r>
          </w:p>
        </w:tc>
        <w:tc>
          <w:tcPr>
            <w:tcW w:type="dxa" w:w="2160"/>
          </w:tcPr>
          <w:p>
            <w:pPr>
              <w:jc w:val="center"/>
            </w:pPr>
            <w:r>
              <w:rPr>
                <w:sz w:val="20"/>
              </w:rPr>
              <w:t>接触不良、环境干扰</w:t>
            </w:r>
          </w:p>
        </w:tc>
        <w:tc>
          <w:tcPr>
            <w:tcW w:type="dxa" w:w="2160"/>
          </w:tcPr>
          <w:p>
            <w:pPr>
              <w:jc w:val="center"/>
            </w:pPr>
            <w:r>
              <w:rPr>
                <w:sz w:val="20"/>
              </w:rPr>
              <w:t>中等</w:t>
            </w:r>
          </w:p>
        </w:tc>
      </w:tr>
      <w:tr>
        <w:tc>
          <w:tcPr>
            <w:tcW w:type="dxa" w:w="2160"/>
          </w:tcPr>
          <w:p>
            <w:pPr>
              <w:jc w:val="center"/>
            </w:pPr>
            <w:r>
              <w:rPr>
                <w:sz w:val="20"/>
              </w:rPr>
              <w:t>管理模块</w:t>
            </w:r>
          </w:p>
        </w:tc>
        <w:tc>
          <w:tcPr>
            <w:tcW w:type="dxa" w:w="2160"/>
          </w:tcPr>
          <w:p>
            <w:pPr>
              <w:jc w:val="center"/>
            </w:pPr>
            <w:r>
              <w:rPr>
                <w:sz w:val="20"/>
              </w:rPr>
              <w:t>时钟异常</w:t>
            </w:r>
          </w:p>
        </w:tc>
        <w:tc>
          <w:tcPr>
            <w:tcW w:type="dxa" w:w="2160"/>
          </w:tcPr>
          <w:p>
            <w:pPr>
              <w:jc w:val="center"/>
            </w:pPr>
            <w:r>
              <w:rPr>
                <w:sz w:val="20"/>
              </w:rPr>
              <w:t>时钟晶体老化、电池欠压</w:t>
            </w:r>
          </w:p>
        </w:tc>
        <w:tc>
          <w:tcPr>
            <w:tcW w:type="dxa" w:w="2160"/>
          </w:tcPr>
          <w:p>
            <w:pPr>
              <w:jc w:val="center"/>
            </w:pPr>
            <w:r>
              <w:rPr>
                <w:sz w:val="20"/>
              </w:rPr>
              <w:t>中等</w:t>
            </w:r>
          </w:p>
        </w:tc>
      </w:tr>
      <w:tr>
        <w:tc>
          <w:tcPr>
            <w:tcW w:type="dxa" w:w="2160"/>
          </w:tcPr>
          <w:p>
            <w:pPr>
              <w:jc w:val="center"/>
            </w:pPr>
            <w:r>
              <w:rPr>
                <w:sz w:val="20"/>
              </w:rPr>
              <w:t>存储模块</w:t>
            </w:r>
          </w:p>
        </w:tc>
        <w:tc>
          <w:tcPr>
            <w:tcW w:type="dxa" w:w="2160"/>
          </w:tcPr>
          <w:p>
            <w:pPr>
              <w:jc w:val="center"/>
            </w:pPr>
            <w:r>
              <w:rPr>
                <w:sz w:val="20"/>
              </w:rPr>
              <w:t>数据丢失</w:t>
            </w:r>
          </w:p>
        </w:tc>
        <w:tc>
          <w:tcPr>
            <w:tcW w:type="dxa" w:w="2160"/>
          </w:tcPr>
          <w:p>
            <w:pPr>
              <w:jc w:val="center"/>
            </w:pPr>
            <w:r>
              <w:rPr>
                <w:sz w:val="20"/>
              </w:rPr>
              <w:t>电源异常、存储芯片故障</w:t>
            </w:r>
          </w:p>
        </w:tc>
        <w:tc>
          <w:tcPr>
            <w:tcW w:type="dxa" w:w="2160"/>
          </w:tcPr>
          <w:p>
            <w:pPr>
              <w:jc w:val="center"/>
            </w:pPr>
            <w:r>
              <w:rPr>
                <w:sz w:val="20"/>
              </w:rPr>
              <w:t>中等</w:t>
            </w:r>
          </w:p>
        </w:tc>
      </w:tr>
      <w:tr>
        <w:tc>
          <w:tcPr>
            <w:tcW w:type="dxa" w:w="2160"/>
          </w:tcPr>
          <w:p>
            <w:pPr>
              <w:jc w:val="center"/>
            </w:pPr>
            <w:r>
              <w:rPr>
                <w:sz w:val="20"/>
              </w:rPr>
              <w:t>控制模块</w:t>
            </w:r>
          </w:p>
        </w:tc>
        <w:tc>
          <w:tcPr>
            <w:tcW w:type="dxa" w:w="2160"/>
          </w:tcPr>
          <w:p>
            <w:pPr>
              <w:jc w:val="center"/>
            </w:pPr>
            <w:r>
              <w:rPr>
                <w:sz w:val="20"/>
              </w:rPr>
              <w:t>继电器失效</w:t>
            </w:r>
          </w:p>
        </w:tc>
        <w:tc>
          <w:tcPr>
            <w:tcW w:type="dxa" w:w="2160"/>
          </w:tcPr>
          <w:p>
            <w:pPr>
              <w:jc w:val="center"/>
            </w:pPr>
            <w:r>
              <w:rPr>
                <w:sz w:val="20"/>
              </w:rPr>
              <w:t>触点老化、线圈损坏</w:t>
            </w:r>
          </w:p>
        </w:tc>
        <w:tc>
          <w:tcPr>
            <w:tcW w:type="dxa" w:w="2160"/>
          </w:tcPr>
          <w:p>
            <w:pPr>
              <w:jc w:val="center"/>
            </w:pPr>
            <w:r>
              <w:rPr>
                <w:sz w:val="20"/>
              </w:rPr>
              <w:t>严重</w:t>
            </w:r>
          </w:p>
        </w:tc>
      </w:tr>
    </w:tbl>
    <w:p/>
    <w:p/>
    <w:p>
      <w:pPr>
        <w:pStyle w:val="Heading2"/>
      </w:pPr>
      <w:r>
        <w:rPr>
          <w:rFonts w:ascii="黑体" w:hAnsi="黑体" w:eastAsia="黑体"/>
          <w:b/>
          <w:sz w:val="32"/>
        </w:rPr>
        <w:t>2.2 基于电力学的非线性数学模型构建</w:t>
      </w:r>
    </w:p>
    <w:p/>
    <w:p>
      <w:pPr>
        <w:pStyle w:val="Heading3"/>
      </w:pPr>
      <w:r>
        <w:rPr>
          <w:rFonts w:ascii="黑体" w:hAnsi="黑体" w:eastAsia="黑体"/>
          <w:b/>
          <w:sz w:val="28"/>
        </w:rPr>
        <w:t>2.2.1 正常工况下终端与表计物理模型建立</w:t>
      </w:r>
    </w:p>
    <w:p/>
    <w:p>
      <w:pPr>
        <w:spacing w:line="360" w:lineRule="auto"/>
        <w:ind w:firstLine="432"/>
      </w:pPr>
      <w:r>
        <w:rPr>
          <w:rFonts w:ascii="宋体" w:hAnsi="宋体" w:eastAsia="宋体"/>
          <w:sz w:val="24"/>
        </w:rPr>
        <w:t>为分析故障机理，首先建立正常工况下终端和表计的物理模型。以智能电能表为例，其核心是计量模块，我们建立计量模块的电路模型。</w:t>
      </w:r>
    </w:p>
    <w:p/>
    <w:p>
      <w:pPr>
        <w:spacing w:line="360" w:lineRule="auto"/>
        <w:ind w:firstLine="432"/>
      </w:pPr>
      <w:r>
        <w:rPr>
          <w:rFonts w:ascii="宋体" w:hAnsi="宋体" w:eastAsia="宋体"/>
          <w:sz w:val="24"/>
        </w:rPr>
        <w:t>智能电能表的计量原理基于有功功率的定义：</w:t>
      </w:r>
    </w:p>
    <w:p/>
    <w:p>
      <w:pPr>
        <w:spacing w:line="360" w:lineRule="auto"/>
        <w:ind w:firstLine="432"/>
      </w:pPr>
      <w:r>
        <w:rPr>
          <w:rFonts w:ascii="宋体" w:hAnsi="宋体" w:eastAsia="宋体"/>
          <w:sz w:val="24"/>
        </w:rPr>
        <w:t>$$P = \frac{1}{T} \int_{0}^{T} u(t) i(t) dt$$</w:t>
      </w:r>
    </w:p>
    <w:p/>
    <w:p>
      <w:pPr>
        <w:spacing w:line="360" w:lineRule="auto"/>
        <w:ind w:firstLine="432"/>
      </w:pPr>
      <w:r>
        <w:rPr>
          <w:rFonts w:ascii="宋体" w:hAnsi="宋体" w:eastAsia="宋体"/>
          <w:sz w:val="24"/>
        </w:rPr>
        <w:t>其中，$u(t)$ 为电压瞬时值，$i(t)$ 为电流瞬时值，$T$ 为积分周期。</w:t>
      </w:r>
    </w:p>
    <w:p/>
    <w:p>
      <w:pPr>
        <w:spacing w:line="360" w:lineRule="auto"/>
        <w:ind w:firstLine="432"/>
      </w:pPr>
      <w:r>
        <w:rPr>
          <w:rFonts w:ascii="宋体" w:hAnsi="宋体" w:eastAsia="宋体"/>
          <w:sz w:val="24"/>
        </w:rPr>
        <w:t>在实际的智能电能表中，电压和电流信号通过互感器转换为小信号，经ADC采样转换为数字信号，然后由计量芯片进行数字信号处理，计算出有功功率、无功功率、电能等参数。</w:t>
      </w:r>
    </w:p>
    <w:p/>
    <w:p>
      <w:pPr>
        <w:spacing w:line="360" w:lineRule="auto"/>
        <w:ind w:firstLine="432"/>
      </w:pPr>
      <w:r>
        <w:rPr>
          <w:rFonts w:ascii="宋体" w:hAnsi="宋体" w:eastAsia="宋体"/>
          <w:sz w:val="24"/>
        </w:rPr>
        <w:t>建立计量模块的简化电路模型：</w:t>
      </w:r>
    </w:p>
    <w:p/>
    <w:p>
      <w:pPr>
        <w:spacing w:line="360" w:lineRule="auto"/>
        <w:ind w:firstLine="432"/>
      </w:pPr>
      <w:r>
        <w:rPr>
          <w:rFonts w:ascii="宋体" w:hAnsi="宋体" w:eastAsia="宋体"/>
          <w:sz w:val="24"/>
        </w:rPr>
        <w:t>电压信号通路：$u(t) \rightarrow$ 电压互感器 $\rightarrow$ 电压调理电路 $\rightarrow$ ADC $\rightarrow$ 数字信号 $u[n]$</w:t>
      </w:r>
    </w:p>
    <w:p/>
    <w:p>
      <w:pPr>
        <w:spacing w:line="360" w:lineRule="auto"/>
        <w:ind w:firstLine="432"/>
      </w:pPr>
      <w:r>
        <w:rPr>
          <w:rFonts w:ascii="宋体" w:hAnsi="宋体" w:eastAsia="宋体"/>
          <w:sz w:val="24"/>
        </w:rPr>
        <w:t>电流信号通路：$i(t) \rightarrow$ 电流互感器/分流器 $\rightarrow$ 电流调理电路 $\rightarrow$ ADC $\rightarrow$ 数字信号 $i[n]$</w:t>
      </w:r>
    </w:p>
    <w:p/>
    <w:p>
      <w:pPr>
        <w:spacing w:line="360" w:lineRule="auto"/>
        <w:ind w:firstLine="432"/>
      </w:pPr>
      <w:r>
        <w:rPr>
          <w:rFonts w:ascii="宋体" w:hAnsi="宋体" w:eastAsia="宋体"/>
          <w:sz w:val="24"/>
        </w:rPr>
        <w:t>计量芯片对 $u[n]$ 和 $i[n]$ 进行数字信号处理，计算电能：</w:t>
      </w:r>
    </w:p>
    <w:p/>
    <w:p>
      <w:pPr>
        <w:spacing w:line="360" w:lineRule="auto"/>
        <w:ind w:firstLine="432"/>
      </w:pPr>
      <w:r>
        <w:rPr>
          <w:rFonts w:ascii="宋体" w:hAnsi="宋体" w:eastAsia="宋体"/>
          <w:sz w:val="24"/>
        </w:rPr>
        <w:t>$$E = \sum_{n=0}^{N-1} u[n] i[n] \Delta t$$</w:t>
      </w:r>
    </w:p>
    <w:p/>
    <w:p>
      <w:pPr>
        <w:spacing w:line="360" w:lineRule="auto"/>
        <w:ind w:firstLine="432"/>
      </w:pPr>
      <w:r>
        <w:rPr>
          <w:rFonts w:ascii="宋体" w:hAnsi="宋体" w:eastAsia="宋体"/>
          <w:sz w:val="24"/>
        </w:rPr>
        <w:t>其中，$N$ 为采样点数，$\Delta t$ 为采样间隔。</w:t>
      </w:r>
    </w:p>
    <w:p/>
    <w:p>
      <w:pPr>
        <w:pStyle w:val="Heading3"/>
      </w:pPr>
      <w:r>
        <w:rPr>
          <w:rFonts w:ascii="黑体" w:hAnsi="黑体" w:eastAsia="黑体"/>
          <w:b/>
          <w:sz w:val="28"/>
        </w:rPr>
        <w:t>2.2.2 典型故障模式的数学表征</w:t>
      </w:r>
    </w:p>
    <w:p/>
    <w:p>
      <w:pPr>
        <w:spacing w:line="360" w:lineRule="auto"/>
        <w:ind w:firstLine="432"/>
      </w:pPr>
      <w:r>
        <w:rPr>
          <w:rFonts w:ascii="宋体" w:hAnsi="宋体" w:eastAsia="宋体"/>
          <w:sz w:val="24"/>
        </w:rPr>
        <w:t>在正常模型的基础上，我们建立典型故障模式的数学模型。</w:t>
      </w:r>
    </w:p>
    <w:p/>
    <w:p>
      <w:pPr>
        <w:spacing w:line="360" w:lineRule="auto"/>
        <w:ind w:left="432"/>
      </w:pPr>
      <w:r>
        <w:rPr>
          <w:rFonts w:ascii="宋体" w:hAnsi="宋体" w:eastAsia="宋体"/>
          <w:sz w:val="24"/>
        </w:rPr>
        <w:t xml:space="preserve">    **案例1：计量芯片漂移故障的数学模型**</w:t>
      </w:r>
    </w:p>
    <w:p/>
    <w:p>
      <w:pPr>
        <w:spacing w:line="360" w:lineRule="auto"/>
        <w:ind w:firstLine="432"/>
      </w:pPr>
      <w:r>
        <w:rPr>
          <w:rFonts w:ascii="宋体" w:hAnsi="宋体" w:eastAsia="宋体"/>
          <w:sz w:val="24"/>
        </w:rPr>
        <w:t>计量芯片漂移是导致计量超差的常见原因。计量芯片的漂移主要包括增益漂移和偏移漂移。</w:t>
      </w:r>
    </w:p>
    <w:p/>
    <w:p>
      <w:pPr>
        <w:spacing w:line="360" w:lineRule="auto"/>
        <w:ind w:firstLine="432"/>
      </w:pPr>
      <w:r>
        <w:rPr>
          <w:rFonts w:ascii="宋体" w:hAnsi="宋体" w:eastAsia="宋体"/>
          <w:sz w:val="24"/>
        </w:rPr>
        <w:t>考虑增益漂移和偏移漂移的计量模型：</w:t>
      </w:r>
    </w:p>
    <w:p/>
    <w:p>
      <w:pPr>
        <w:spacing w:line="360" w:lineRule="auto"/>
        <w:ind w:firstLine="432"/>
      </w:pPr>
      <w:r>
        <w:rPr>
          <w:rFonts w:ascii="宋体" w:hAnsi="宋体" w:eastAsia="宋体"/>
          <w:sz w:val="24"/>
        </w:rPr>
        <w:t>$$u'[n] = (1 + k_u) u[n] + b_u$$</w:t>
      </w:r>
    </w:p>
    <w:p>
      <w:pPr>
        <w:spacing w:line="360" w:lineRule="auto"/>
        <w:ind w:firstLine="432"/>
      </w:pPr>
      <w:r>
        <w:rPr>
          <w:rFonts w:ascii="宋体" w:hAnsi="宋体" w:eastAsia="宋体"/>
          <w:sz w:val="24"/>
        </w:rPr>
        <w:t>$$i'[n] = (1 + k_i) i[n] + b_i$$</w:t>
      </w:r>
    </w:p>
    <w:p>
      <w:pPr>
        <w:spacing w:line="360" w:lineRule="auto"/>
        <w:ind w:firstLine="432"/>
      </w:pPr>
      <w:r>
        <w:rPr>
          <w:rFonts w:ascii="宋体" w:hAnsi="宋体" w:eastAsia="宋体"/>
          <w:sz w:val="24"/>
        </w:rPr>
        <w:t>$$P' = \frac{1}{N} \sum_{n=0}^{N-1} u'[n] i'[n]$$</w:t>
      </w:r>
    </w:p>
    <w:p/>
    <w:p>
      <w:pPr>
        <w:spacing w:line="360" w:lineRule="auto"/>
        <w:ind w:firstLine="432"/>
      </w:pPr>
      <w:r>
        <w:rPr>
          <w:rFonts w:ascii="宋体" w:hAnsi="宋体" w:eastAsia="宋体"/>
          <w:sz w:val="24"/>
        </w:rPr>
        <w:t>其中，$k_u$、$k_i$ 分别为电压通道和电流通道的增益漂移系数，$b_u$、$b_i$ 分别为电压通道和电流通道的偏移漂移。</w:t>
      </w:r>
    </w:p>
    <w:p/>
    <w:p>
      <w:pPr>
        <w:spacing w:line="360" w:lineRule="auto"/>
        <w:ind w:firstLine="432"/>
      </w:pPr>
      <w:r>
        <w:rPr>
          <w:rFonts w:ascii="宋体" w:hAnsi="宋体" w:eastAsia="宋体"/>
          <w:sz w:val="24"/>
        </w:rPr>
        <w:t>计量相对误差为：</w:t>
      </w:r>
    </w:p>
    <w:p/>
    <w:p>
      <w:pPr>
        <w:spacing w:line="360" w:lineRule="auto"/>
        <w:ind w:firstLine="432"/>
      </w:pPr>
      <w:r>
        <w:rPr>
          <w:rFonts w:ascii="宋体" w:hAnsi="宋体" w:eastAsia="宋体"/>
          <w:sz w:val="24"/>
        </w:rPr>
        <w:t>$$\gamma = \frac{P' - P}{P} \times 100\%$$</w:t>
      </w:r>
    </w:p>
    <w:p/>
    <w:p>
      <w:pPr>
        <w:spacing w:line="360" w:lineRule="auto"/>
        <w:ind w:firstLine="432"/>
      </w:pPr>
      <w:r>
        <w:rPr>
          <w:rFonts w:ascii="宋体" w:hAnsi="宋体" w:eastAsia="宋体"/>
          <w:sz w:val="24"/>
        </w:rPr>
        <w:t>图2-3 计量芯片漂移故障数学模型示意图</w:t>
      </w:r>
    </w:p>
    <w:p>
      <w:pPr>
        <w:shd w:fill="F2F2F2"/>
        <w:spacing w:line="240" w:lineRule="auto"/>
        <w:ind w:left="720" w:right="720"/>
      </w:pPr>
      <w:r>
        <w:rPr>
          <w:rFonts w:ascii="Consolas" w:hAnsi="Consolas" w:eastAsia="Consolas"/>
          <w:sz w:val="20"/>
        </w:rPr>
        <w:t>正常计量：u(t) → [H_u(s)] → ADC → u[n] ─┐</w:t>
        <w:br/>
        <w:t xml:space="preserve">                                         ├─ 相乘 → 积分 → 电能E</w:t>
        <w:br/>
        <w:t xml:space="preserve">          i(t) → [H_i(s)] → ADC → i[n] ─┘</w:t>
        <w:br/>
        <w:br/>
        <w:t>故障计量：u(t) → [H_u(s)] → [增益+偏移] → ADC → u'[n] ─┐</w:t>
        <w:br/>
        <w:t xml:space="preserve">                                                        ├─ 相乘 → 积分 → 电能E'</w:t>
        <w:br/>
        <w:t xml:space="preserve">          i(t) → [H_i(s)] → [增益+偏移] → ADC → i'[n] ─┘</w:t>
        <w:br/>
        <w:br/>
        <w:t>误差：ΔE = E' - E</w:t>
      </w:r>
    </w:p>
    <w:p/>
    <w:p>
      <w:pPr>
        <w:spacing w:line="360" w:lineRule="auto"/>
        <w:ind w:left="432"/>
      </w:pPr>
      <w:r>
        <w:rPr>
          <w:rFonts w:ascii="宋体" w:hAnsi="宋体" w:eastAsia="宋体"/>
          <w:sz w:val="24"/>
        </w:rPr>
        <w:t xml:space="preserve">    **案例2：电源模块电容劣化故障的数学模型**</w:t>
      </w:r>
    </w:p>
    <w:p/>
    <w:p>
      <w:pPr>
        <w:spacing w:line="360" w:lineRule="auto"/>
        <w:ind w:firstLine="432"/>
      </w:pPr>
      <w:r>
        <w:rPr>
          <w:rFonts w:ascii="宋体" w:hAnsi="宋体" w:eastAsia="宋体"/>
          <w:sz w:val="24"/>
        </w:rPr>
        <w:t>电源模块中的电解电容是容易老化的元件。电解电容劣化的主要表现是电容值减小、等效串联电阻（ESR）增大。</w:t>
      </w:r>
    </w:p>
    <w:p/>
    <w:p>
      <w:pPr>
        <w:spacing w:line="360" w:lineRule="auto"/>
        <w:ind w:firstLine="432"/>
      </w:pPr>
      <w:r>
        <w:rPr>
          <w:rFonts w:ascii="宋体" w:hAnsi="宋体" w:eastAsia="宋体"/>
          <w:sz w:val="24"/>
        </w:rPr>
        <w:t>建立电容劣化模型：</w:t>
      </w:r>
    </w:p>
    <w:p/>
    <w:p>
      <w:pPr>
        <w:spacing w:line="360" w:lineRule="auto"/>
        <w:ind w:firstLine="432"/>
      </w:pPr>
      <w:r>
        <w:rPr>
          <w:rFonts w:ascii="宋体" w:hAnsi="宋体" w:eastAsia="宋体"/>
          <w:sz w:val="24"/>
        </w:rPr>
        <w:t>$$C(t) = C_0 \cdot (1 - \alpha \cdot t)$$</w:t>
      </w:r>
    </w:p>
    <w:p>
      <w:pPr>
        <w:spacing w:line="360" w:lineRule="auto"/>
        <w:ind w:firstLine="432"/>
      </w:pPr>
      <w:r>
        <w:rPr>
          <w:rFonts w:ascii="宋体" w:hAnsi="宋体" w:eastAsia="宋体"/>
          <w:sz w:val="24"/>
        </w:rPr>
        <w:t>$$R_{ESR}(t) = R_{ESR0} \cdot (1 + \beta \cdot t)$$</w:t>
      </w:r>
    </w:p>
    <w:p/>
    <w:p>
      <w:pPr>
        <w:spacing w:line="360" w:lineRule="auto"/>
        <w:ind w:firstLine="432"/>
      </w:pPr>
      <w:r>
        <w:rPr>
          <w:rFonts w:ascii="宋体" w:hAnsi="宋体" w:eastAsia="宋体"/>
          <w:sz w:val="24"/>
        </w:rPr>
        <w:t>其中，$C_0$ 为初始电容值，$R_{ESR0}$ 为初始等效串联电阻，$\alpha$、$\beta$ 为劣化系数，$t$ 为运行时间。</w:t>
      </w:r>
    </w:p>
    <w:p/>
    <w:p>
      <w:pPr>
        <w:spacing w:line="360" w:lineRule="auto"/>
        <w:ind w:firstLine="432"/>
      </w:pPr>
      <w:r>
        <w:rPr>
          <w:rFonts w:ascii="宋体" w:hAnsi="宋体" w:eastAsia="宋体"/>
          <w:sz w:val="24"/>
        </w:rPr>
        <w:t>电容劣化会导致电源输出纹波增大：</w:t>
      </w:r>
    </w:p>
    <w:p/>
    <w:p>
      <w:pPr>
        <w:spacing w:line="360" w:lineRule="auto"/>
        <w:ind w:firstLine="432"/>
      </w:pPr>
      <w:r>
        <w:rPr>
          <w:rFonts w:ascii="宋体" w:hAnsi="宋体" w:eastAsia="宋体"/>
          <w:sz w:val="24"/>
        </w:rPr>
        <w:t>$$V_{ripple}(t) = \frac{I_{load}}{f \cdot C(t)} + I_{load} \cdot R_{ESR}(t)$$</w:t>
      </w:r>
    </w:p>
    <w:p/>
    <w:p>
      <w:pPr>
        <w:spacing w:line="360" w:lineRule="auto"/>
        <w:ind w:firstLine="432"/>
      </w:pPr>
      <w:r>
        <w:rPr>
          <w:rFonts w:ascii="宋体" w:hAnsi="宋体" w:eastAsia="宋体"/>
          <w:sz w:val="24"/>
        </w:rPr>
        <w:t>其中，$I_{load}$ 为负载电流，$f$ 为开关频率。</w:t>
      </w:r>
    </w:p>
    <w:p/>
    <w:p>
      <w:pPr>
        <w:spacing w:line="360" w:lineRule="auto"/>
        <w:ind w:left="432"/>
      </w:pPr>
      <w:r>
        <w:rPr>
          <w:rFonts w:ascii="宋体" w:hAnsi="宋体" w:eastAsia="宋体"/>
          <w:sz w:val="24"/>
        </w:rPr>
        <w:t xml:space="preserve">    **案例3：通信模块信号衰减故障的数学模型**</w:t>
      </w:r>
    </w:p>
    <w:p/>
    <w:p>
      <w:pPr>
        <w:spacing w:line="360" w:lineRule="auto"/>
        <w:ind w:firstLine="432"/>
      </w:pPr>
      <w:r>
        <w:rPr>
          <w:rFonts w:ascii="宋体" w:hAnsi="宋体" w:eastAsia="宋体"/>
          <w:sz w:val="24"/>
        </w:rPr>
        <w:t>通信模块信号衰减主要由天线老化、接口接触不良、环境干扰等因素引起。</w:t>
      </w:r>
    </w:p>
    <w:p/>
    <w:p>
      <w:pPr>
        <w:spacing w:line="360" w:lineRule="auto"/>
        <w:ind w:firstLine="432"/>
      </w:pPr>
      <w:r>
        <w:rPr>
          <w:rFonts w:ascii="宋体" w:hAnsi="宋体" w:eastAsia="宋体"/>
          <w:sz w:val="24"/>
        </w:rPr>
        <w:t>建立通信信号衰减模型：</w:t>
      </w:r>
    </w:p>
    <w:p/>
    <w:p>
      <w:pPr>
        <w:spacing w:line="360" w:lineRule="auto"/>
        <w:ind w:firstLine="432"/>
      </w:pPr>
      <w:r>
        <w:rPr>
          <w:rFonts w:ascii="宋体" w:hAnsi="宋体" w:eastAsia="宋体"/>
          <w:sz w:val="24"/>
        </w:rPr>
        <w:t>$$P_{r}(d) = P_{t} + G_{t} + G_{r} - L_{path}(d) - L_{fading} - L_{other}$$</w:t>
      </w:r>
    </w:p>
    <w:p/>
    <w:p>
      <w:pPr>
        <w:spacing w:line="360" w:lineRule="auto"/>
        <w:ind w:firstLine="432"/>
      </w:pPr>
      <w:r>
        <w:rPr>
          <w:rFonts w:ascii="宋体" w:hAnsi="宋体" w:eastAsia="宋体"/>
          <w:sz w:val="24"/>
        </w:rPr>
        <w:t>其中，$P_{r}$ 为接收功率，$P_{t}$ 为发射功率，$G_{t}$、$G_{r}$ 分别为发射天线和接收天线增益，$L_{path}$ 为路径损耗，$L_{fading}$ 为衰落损耗，$L_{other}$ 为其他损耗。</w:t>
      </w:r>
    </w:p>
    <w:p/>
    <w:p>
      <w:pPr>
        <w:spacing w:line="360" w:lineRule="auto"/>
        <w:ind w:firstLine="432"/>
      </w:pPr>
      <w:r>
        <w:rPr>
          <w:rFonts w:ascii="宋体" w:hAnsi="宋体" w:eastAsia="宋体"/>
          <w:sz w:val="24"/>
        </w:rPr>
        <w:t>路径损耗随距离增加：</w:t>
      </w:r>
    </w:p>
    <w:p/>
    <w:p>
      <w:pPr>
        <w:spacing w:line="360" w:lineRule="auto"/>
        <w:ind w:firstLine="432"/>
      </w:pPr>
      <w:r>
        <w:rPr>
          <w:rFonts w:ascii="宋体" w:hAnsi="宋体" w:eastAsia="宋体"/>
          <w:sz w:val="24"/>
        </w:rPr>
        <w:t>$$L_{path}(d) = L_{path}(d_0) + 10 n \log_{10}\left(\frac{d}{d_0}\right)$$</w:t>
      </w:r>
    </w:p>
    <w:p/>
    <w:p>
      <w:pPr>
        <w:spacing w:line="360" w:lineRule="auto"/>
        <w:ind w:firstLine="432"/>
      </w:pPr>
      <w:r>
        <w:rPr>
          <w:rFonts w:ascii="宋体" w:hAnsi="宋体" w:eastAsia="宋体"/>
          <w:sz w:val="24"/>
        </w:rPr>
        <w:t>其中，$d_0$ 为参考距离，$n$ 为路径损耗指数。</w:t>
      </w:r>
    </w:p>
    <w:p/>
    <w:p>
      <w:pPr>
        <w:pStyle w:val="Heading3"/>
      </w:pPr>
      <w:r>
        <w:rPr>
          <w:rFonts w:ascii="黑体" w:hAnsi="黑体" w:eastAsia="黑体"/>
          <w:b/>
          <w:sz w:val="28"/>
        </w:rPr>
        <w:t>2.2.3 故障萌生与演化规律的数学推演</w:t>
      </w:r>
    </w:p>
    <w:p/>
    <w:p>
      <w:pPr>
        <w:spacing w:line="360" w:lineRule="auto"/>
        <w:ind w:firstLine="432"/>
      </w:pPr>
      <w:r>
        <w:rPr>
          <w:rFonts w:ascii="宋体" w:hAnsi="宋体" w:eastAsia="宋体"/>
          <w:sz w:val="24"/>
        </w:rPr>
        <w:t>基于上述故障模型，我们推演故障萌生与演化规律。</w:t>
      </w:r>
    </w:p>
    <w:p/>
    <w:p>
      <w:pPr>
        <w:spacing w:line="360" w:lineRule="auto"/>
        <w:ind w:left="432"/>
      </w:pPr>
      <w:r>
        <w:rPr>
          <w:rFonts w:ascii="宋体" w:hAnsi="宋体" w:eastAsia="宋体"/>
          <w:sz w:val="24"/>
        </w:rPr>
        <w:t xml:space="preserve">    **故障萌生阶段：** 故障从潜在缺陷开始萌生。由于元件参数在公差范围内，此时设备仍能正常工作，但性能开始出现微小退化。</w:t>
      </w:r>
    </w:p>
    <w:p/>
    <w:p>
      <w:pPr>
        <w:spacing w:line="360" w:lineRule="auto"/>
        <w:ind w:left="432"/>
      </w:pPr>
      <w:r>
        <w:rPr>
          <w:rFonts w:ascii="宋体" w:hAnsi="宋体" w:eastAsia="宋体"/>
          <w:sz w:val="24"/>
        </w:rPr>
        <w:t xml:space="preserve">    **性能退化阶段：** 随着运行时间增加，缺陷逐渐发展，元件参数漂移超出正常范围，设备性能开始下降，但仍能维持基本功能。</w:t>
      </w:r>
    </w:p>
    <w:p/>
    <w:p>
      <w:pPr>
        <w:spacing w:line="360" w:lineRule="auto"/>
        <w:ind w:left="432"/>
      </w:pPr>
      <w:r>
        <w:rPr>
          <w:rFonts w:ascii="宋体" w:hAnsi="宋体" w:eastAsia="宋体"/>
          <w:sz w:val="24"/>
        </w:rPr>
        <w:t xml:space="preserve">    **功能失效阶段：** 缺陷进一步发展，元件参数漂移超出允许范围，设备功能失效或严重降级。</w:t>
      </w:r>
    </w:p>
    <w:p/>
    <w:p>
      <w:pPr>
        <w:spacing w:line="360" w:lineRule="auto"/>
        <w:ind w:firstLine="432"/>
      </w:pPr>
      <w:r>
        <w:rPr>
          <w:rFonts w:ascii="宋体" w:hAnsi="宋体" w:eastAsia="宋体"/>
          <w:sz w:val="24"/>
        </w:rPr>
        <w:t>用数学方程描述故障演化过程：</w:t>
      </w:r>
    </w:p>
    <w:p/>
    <w:p>
      <w:pPr>
        <w:spacing w:line="360" w:lineRule="auto"/>
        <w:ind w:firstLine="432"/>
      </w:pPr>
      <w:r>
        <w:rPr>
          <w:rFonts w:ascii="宋体" w:hAnsi="宋体" w:eastAsia="宋体"/>
          <w:sz w:val="24"/>
        </w:rPr>
        <w:t>设设备状态由状态向量 $\mathbf{x}(t) = [x_1(t), x_2(t), \dots, x_n(t)]$ 表示，其中 $x_i(t)$ 为第 $i$ 个元件的参数值。</w:t>
      </w:r>
    </w:p>
    <w:p/>
    <w:p>
      <w:pPr>
        <w:spacing w:line="360" w:lineRule="auto"/>
        <w:ind w:firstLine="432"/>
      </w:pPr>
      <w:r>
        <w:rPr>
          <w:rFonts w:ascii="宋体" w:hAnsi="宋体" w:eastAsia="宋体"/>
          <w:sz w:val="24"/>
        </w:rPr>
        <w:t>故障演化方程：</w:t>
      </w:r>
    </w:p>
    <w:p/>
    <w:p>
      <w:pPr>
        <w:spacing w:line="360" w:lineRule="auto"/>
        <w:ind w:firstLine="432"/>
      </w:pPr>
      <w:r>
        <w:rPr>
          <w:rFonts w:ascii="宋体" w:hAnsi="宋体" w:eastAsia="宋体"/>
          <w:sz w:val="24"/>
        </w:rPr>
        <w:t>$$\frac{d\mathbf{x}(t)}{dt} = \mathbf{f}(\mathbf{x}(t), \mathbf{s}(t), t)$$</w:t>
      </w:r>
    </w:p>
    <w:p/>
    <w:p>
      <w:pPr>
        <w:spacing w:line="360" w:lineRule="auto"/>
        <w:ind w:firstLine="432"/>
      </w:pPr>
      <w:r>
        <w:rPr>
          <w:rFonts w:ascii="宋体" w:hAnsi="宋体" w:eastAsia="宋体"/>
          <w:sz w:val="24"/>
        </w:rPr>
        <w:t>其中，$\mathbf{s}(t)$ 为环境应力向量（温度、湿度、电压等），$\mathbf{f}$ 为演化函数。</w:t>
      </w:r>
    </w:p>
    <w:p/>
    <w:p>
      <w:pPr>
        <w:spacing w:line="360" w:lineRule="auto"/>
        <w:ind w:firstLine="432"/>
      </w:pPr>
      <w:r>
        <w:rPr>
          <w:rFonts w:ascii="宋体" w:hAnsi="宋体" w:eastAsia="宋体"/>
          <w:sz w:val="24"/>
        </w:rPr>
        <w:t>设备健康指标：</w:t>
      </w:r>
    </w:p>
    <w:p/>
    <w:p>
      <w:pPr>
        <w:spacing w:line="360" w:lineRule="auto"/>
        <w:ind w:firstLine="432"/>
      </w:pPr>
      <w:r>
        <w:rPr>
          <w:rFonts w:ascii="宋体" w:hAnsi="宋体" w:eastAsia="宋体"/>
          <w:sz w:val="24"/>
        </w:rPr>
        <w:t>$$H(t) = g(\mathbf{x}(t))$$</w:t>
      </w:r>
    </w:p>
    <w:p/>
    <w:p>
      <w:pPr>
        <w:spacing w:line="360" w:lineRule="auto"/>
        <w:ind w:firstLine="432"/>
      </w:pPr>
      <w:r>
        <w:rPr>
          <w:rFonts w:ascii="宋体" w:hAnsi="宋体" w:eastAsia="宋体"/>
          <w:sz w:val="24"/>
        </w:rPr>
        <w:t>当 $H(t)$ 低于阈值 $H_{th}$ 时，判定为故障。</w:t>
      </w:r>
    </w:p>
    <w:p/>
    <w:p>
      <w:pPr>
        <w:pStyle w:val="Heading2"/>
      </w:pPr>
      <w:r>
        <w:rPr>
          <w:rFonts w:ascii="黑体" w:hAnsi="黑体" w:eastAsia="黑体"/>
          <w:b/>
          <w:sz w:val="32"/>
        </w:rPr>
        <w:t>2.3 故障失效机理与演化映射关系研究</w:t>
      </w:r>
    </w:p>
    <w:p/>
    <w:p>
      <w:pPr>
        <w:pStyle w:val="Heading3"/>
      </w:pPr>
      <w:r>
        <w:rPr>
          <w:rFonts w:ascii="黑体" w:hAnsi="黑体" w:eastAsia="黑体"/>
          <w:b/>
          <w:sz w:val="28"/>
        </w:rPr>
        <w:t>2.3.1 典型故障的失效物理机理分析</w:t>
      </w:r>
    </w:p>
    <w:p/>
    <w:p>
      <w:pPr>
        <w:spacing w:line="360" w:lineRule="auto"/>
        <w:ind w:firstLine="432"/>
      </w:pPr>
      <w:r>
        <w:rPr>
          <w:rFonts w:ascii="宋体" w:hAnsi="宋体" w:eastAsia="宋体"/>
          <w:sz w:val="24"/>
        </w:rPr>
        <w:t>基于失效物理学理论，分析典型故障的失效机理。</w:t>
      </w:r>
    </w:p>
    <w:p/>
    <w:p>
      <w:pPr>
        <w:spacing w:line="360" w:lineRule="auto"/>
        <w:ind w:left="432"/>
      </w:pPr>
      <w:r>
        <w:rPr>
          <w:rFonts w:ascii="宋体" w:hAnsi="宋体" w:eastAsia="宋体"/>
          <w:sz w:val="24"/>
        </w:rPr>
        <w:t xml:space="preserve">    **时钟异常故障：** 时钟是电能表的重要部件，时钟异常会导致分时计费错误、事件记录时间不准确等问题。时钟异常的主要失效机理包括：</w:t>
      </w:r>
    </w:p>
    <w:p>
      <w:pPr>
        <w:spacing w:line="360" w:lineRule="auto"/>
        <w:ind w:left="432"/>
      </w:pPr>
      <w:r>
        <w:rPr>
          <w:rFonts w:ascii="宋体" w:hAnsi="宋体" w:eastAsia="宋体"/>
          <w:sz w:val="24"/>
        </w:rPr>
        <w:t>1. **时钟晶体老化：** 晶体的振荡频率随时间缓慢变化，导致时钟走时不准。</w:t>
      </w:r>
    </w:p>
    <w:p>
      <w:pPr>
        <w:spacing w:line="360" w:lineRule="auto"/>
        <w:ind w:left="432"/>
      </w:pPr>
      <w:r>
        <w:rPr>
          <w:rFonts w:ascii="宋体" w:hAnsi="宋体" w:eastAsia="宋体"/>
          <w:sz w:val="24"/>
        </w:rPr>
        <w:t>2. **时钟电池欠压：** 时钟电池电压不足会导致时钟精度下降，甚至时钟停止。</w:t>
      </w:r>
    </w:p>
    <w:p>
      <w:pPr>
        <w:spacing w:line="360" w:lineRule="auto"/>
        <w:ind w:left="432"/>
      </w:pPr>
      <w:r>
        <w:rPr>
          <w:rFonts w:ascii="宋体" w:hAnsi="宋体" w:eastAsia="宋体"/>
          <w:sz w:val="24"/>
        </w:rPr>
        <w:t>3. **温度影响：** 时钟晶体的振荡频率随温度变化，高温或低温环境会导致时钟误差增大。</w:t>
      </w:r>
    </w:p>
    <w:p/>
    <w:p>
      <w:pPr>
        <w:spacing w:line="360" w:lineRule="auto"/>
        <w:ind w:left="432"/>
      </w:pPr>
      <w:r>
        <w:rPr>
          <w:rFonts w:ascii="宋体" w:hAnsi="宋体" w:eastAsia="宋体"/>
          <w:sz w:val="24"/>
        </w:rPr>
        <w:t xml:space="preserve">    **电池欠压故障：** 时钟电池欠压是常见故障。电池欠压的主要失效机理包括：</w:t>
      </w:r>
    </w:p>
    <w:p>
      <w:pPr>
        <w:spacing w:line="360" w:lineRule="auto"/>
        <w:ind w:left="432"/>
      </w:pPr>
      <w:r>
        <w:rPr>
          <w:rFonts w:ascii="宋体" w:hAnsi="宋体" w:eastAsia="宋体"/>
          <w:sz w:val="24"/>
        </w:rPr>
        <w:t>1. **自放电：** 电池在存放和使用过程中会发生自放电，导致容量下降。</w:t>
      </w:r>
    </w:p>
    <w:p>
      <w:pPr>
        <w:spacing w:line="360" w:lineRule="auto"/>
        <w:ind w:left="432"/>
      </w:pPr>
      <w:r>
        <w:rPr>
          <w:rFonts w:ascii="宋体" w:hAnsi="宋体" w:eastAsia="宋体"/>
          <w:sz w:val="24"/>
        </w:rPr>
        <w:t>2. **电解液损耗：** 电解液在高温下会蒸发，导致电池内阻增大，容量下降。</w:t>
      </w:r>
    </w:p>
    <w:p>
      <w:pPr>
        <w:spacing w:line="360" w:lineRule="auto"/>
        <w:ind w:left="432"/>
      </w:pPr>
      <w:r>
        <w:rPr>
          <w:rFonts w:ascii="宋体" w:hAnsi="宋体" w:eastAsia="宋体"/>
          <w:sz w:val="24"/>
        </w:rPr>
        <w:t>3. **化学反应：** 电池内部发生化学反应，导致活性物质消耗。</w:t>
      </w:r>
    </w:p>
    <w:p/>
    <w:p>
      <w:pPr>
        <w:spacing w:line="360" w:lineRule="auto"/>
        <w:ind w:left="432"/>
      </w:pPr>
      <w:r>
        <w:rPr>
          <w:rFonts w:ascii="宋体" w:hAnsi="宋体" w:eastAsia="宋体"/>
          <w:sz w:val="24"/>
        </w:rPr>
        <w:t xml:space="preserve">    **计量超差故障：** 计量超差是最严重的故障之一，直接影响电费结算。计量超差的主要失效机理包括：</w:t>
      </w:r>
    </w:p>
    <w:p>
      <w:pPr>
        <w:spacing w:line="360" w:lineRule="auto"/>
        <w:ind w:left="432"/>
      </w:pPr>
      <w:r>
        <w:rPr>
          <w:rFonts w:ascii="宋体" w:hAnsi="宋体" w:eastAsia="宋体"/>
          <w:sz w:val="24"/>
        </w:rPr>
        <w:t>1. **计量芯片漂移：** 计量芯片的增益和偏移随时间和温度变化。</w:t>
      </w:r>
    </w:p>
    <w:p>
      <w:pPr>
        <w:spacing w:line="360" w:lineRule="auto"/>
        <w:ind w:left="432"/>
      </w:pPr>
      <w:r>
        <w:rPr>
          <w:rFonts w:ascii="宋体" w:hAnsi="宋体" w:eastAsia="宋体"/>
          <w:sz w:val="24"/>
        </w:rPr>
        <w:t>2. **互感器老化：** 互感器的铁芯磁导率变化，导致变比误差和相位误差增大。</w:t>
      </w:r>
    </w:p>
    <w:p>
      <w:pPr>
        <w:spacing w:line="360" w:lineRule="auto"/>
        <w:ind w:left="432"/>
      </w:pPr>
      <w:r>
        <w:rPr>
          <w:rFonts w:ascii="宋体" w:hAnsi="宋体" w:eastAsia="宋体"/>
          <w:sz w:val="24"/>
        </w:rPr>
        <w:t>3. **分流器电阻变化：** 分流器受温度影响，电阻值变化。</w:t>
      </w:r>
    </w:p>
    <w:p>
      <w:pPr>
        <w:spacing w:line="360" w:lineRule="auto"/>
        <w:ind w:left="432"/>
      </w:pPr>
      <w:r>
        <w:rPr>
          <w:rFonts w:ascii="宋体" w:hAnsi="宋体" w:eastAsia="宋体"/>
          <w:sz w:val="24"/>
        </w:rPr>
        <w:t>4. **焊接不良：** 焊接点接触电阻增大，导致信号衰减。</w:t>
      </w:r>
    </w:p>
    <w:p/>
    <w:p>
      <w:pPr>
        <w:pStyle w:val="Heading3"/>
      </w:pPr>
      <w:r>
        <w:rPr>
          <w:rFonts w:ascii="黑体" w:hAnsi="黑体" w:eastAsia="黑体"/>
          <w:b/>
          <w:sz w:val="28"/>
        </w:rPr>
        <w:t>2.3.2 故障多阶段演化过程解析</w:t>
      </w:r>
    </w:p>
    <w:p/>
    <w:p>
      <w:pPr>
        <w:spacing w:line="360" w:lineRule="auto"/>
        <w:ind w:firstLine="432"/>
      </w:pPr>
      <w:r>
        <w:rPr>
          <w:rFonts w:ascii="宋体" w:hAnsi="宋体" w:eastAsia="宋体"/>
          <w:sz w:val="24"/>
        </w:rPr>
        <w:t>将故障演化过程分为三个阶段：</w:t>
      </w:r>
    </w:p>
    <w:p/>
    <w:p>
      <w:pPr>
        <w:spacing w:line="360" w:lineRule="auto"/>
        <w:ind w:left="432"/>
      </w:pPr>
      <w:r>
        <w:rPr>
          <w:rFonts w:ascii="宋体" w:hAnsi="宋体" w:eastAsia="宋体"/>
          <w:sz w:val="24"/>
        </w:rPr>
        <w:t xml:space="preserve">    **阶段一：早期缺陷期（潜伏期）**</w:t>
      </w:r>
    </w:p>
    <w:p>
      <w:pPr>
        <w:spacing w:line="360" w:lineRule="auto"/>
        <w:ind w:left="432"/>
      </w:pPr>
      <w:r>
        <w:rPr>
          <w:rFonts w:ascii="宋体" w:hAnsi="宋体" w:eastAsia="宋体"/>
          <w:sz w:val="24"/>
        </w:rPr>
        <w:t xml:space="preserve">    - 特征：元件存在微小缺陷，但参数仍在公差范围内</w:t>
      </w:r>
    </w:p>
    <w:p>
      <w:pPr>
        <w:spacing w:line="360" w:lineRule="auto"/>
        <w:ind w:left="432"/>
      </w:pPr>
      <w:r>
        <w:rPr>
          <w:rFonts w:ascii="宋体" w:hAnsi="宋体" w:eastAsia="宋体"/>
          <w:sz w:val="24"/>
        </w:rPr>
        <w:t xml:space="preserve">    - 表现：设备能正常工作，无明显症状</w:t>
      </w:r>
    </w:p>
    <w:p>
      <w:pPr>
        <w:spacing w:line="360" w:lineRule="auto"/>
        <w:ind w:left="432"/>
      </w:pPr>
      <w:r>
        <w:rPr>
          <w:rFonts w:ascii="宋体" w:hAnsi="宋体" w:eastAsia="宋体"/>
          <w:sz w:val="24"/>
        </w:rPr>
        <w:t xml:space="preserve">    - 持续时间：数月至数年</w:t>
      </w:r>
    </w:p>
    <w:p>
      <w:pPr>
        <w:spacing w:line="360" w:lineRule="auto"/>
        <w:ind w:left="432"/>
      </w:pPr>
      <w:r>
        <w:rPr>
          <w:rFonts w:ascii="宋体" w:hAnsi="宋体" w:eastAsia="宋体"/>
          <w:sz w:val="24"/>
        </w:rPr>
        <w:t xml:space="preserve">    - 可检测性：难以检测</w:t>
      </w:r>
    </w:p>
    <w:p/>
    <w:p>
      <w:pPr>
        <w:spacing w:line="360" w:lineRule="auto"/>
        <w:ind w:left="432"/>
      </w:pPr>
      <w:r>
        <w:rPr>
          <w:rFonts w:ascii="宋体" w:hAnsi="宋体" w:eastAsia="宋体"/>
          <w:sz w:val="24"/>
        </w:rPr>
        <w:t xml:space="preserve">    **阶段二：性能退化期（发展期）**</w:t>
      </w:r>
    </w:p>
    <w:p>
      <w:pPr>
        <w:spacing w:line="360" w:lineRule="auto"/>
        <w:ind w:left="432"/>
      </w:pPr>
      <w:r>
        <w:rPr>
          <w:rFonts w:ascii="宋体" w:hAnsi="宋体" w:eastAsia="宋体"/>
          <w:sz w:val="24"/>
        </w:rPr>
        <w:t xml:space="preserve">    - 特征：缺陷逐渐发展，参数漂移超出公差范围</w:t>
      </w:r>
    </w:p>
    <w:p>
      <w:pPr>
        <w:spacing w:line="360" w:lineRule="auto"/>
        <w:ind w:left="432"/>
      </w:pPr>
      <w:r>
        <w:rPr>
          <w:rFonts w:ascii="宋体" w:hAnsi="宋体" w:eastAsia="宋体"/>
          <w:sz w:val="24"/>
        </w:rPr>
        <w:t xml:space="preserve">    - 表现：性能下降，出现间歇性故障</w:t>
      </w:r>
    </w:p>
    <w:p>
      <w:pPr>
        <w:spacing w:line="360" w:lineRule="auto"/>
        <w:ind w:left="432"/>
      </w:pPr>
      <w:r>
        <w:rPr>
          <w:rFonts w:ascii="宋体" w:hAnsi="宋体" w:eastAsia="宋体"/>
          <w:sz w:val="24"/>
        </w:rPr>
        <w:t xml:space="preserve">    - 持续时间：数周至数月</w:t>
      </w:r>
    </w:p>
    <w:p>
      <w:pPr>
        <w:spacing w:line="360" w:lineRule="auto"/>
        <w:ind w:left="432"/>
      </w:pPr>
      <w:r>
        <w:rPr>
          <w:rFonts w:ascii="宋体" w:hAnsi="宋体" w:eastAsia="宋体"/>
          <w:sz w:val="24"/>
        </w:rPr>
        <w:t xml:space="preserve">    - 可检测性：可通过特征分析检测</w:t>
      </w:r>
    </w:p>
    <w:p/>
    <w:p>
      <w:pPr>
        <w:spacing w:line="360" w:lineRule="auto"/>
        <w:ind w:left="432"/>
      </w:pPr>
      <w:r>
        <w:rPr>
          <w:rFonts w:ascii="宋体" w:hAnsi="宋体" w:eastAsia="宋体"/>
          <w:sz w:val="24"/>
        </w:rPr>
        <w:t xml:space="preserve">    **阶段三：功能失效期（爆发期）**</w:t>
      </w:r>
    </w:p>
    <w:p>
      <w:pPr>
        <w:spacing w:line="360" w:lineRule="auto"/>
        <w:ind w:left="432"/>
      </w:pPr>
      <w:r>
        <w:rPr>
          <w:rFonts w:ascii="宋体" w:hAnsi="宋体" w:eastAsia="宋体"/>
          <w:sz w:val="24"/>
        </w:rPr>
        <w:t xml:space="preserve">    - 特征：缺陷严重发展，功能失效</w:t>
      </w:r>
    </w:p>
    <w:p>
      <w:pPr>
        <w:spacing w:line="360" w:lineRule="auto"/>
        <w:ind w:left="432"/>
      </w:pPr>
      <w:r>
        <w:rPr>
          <w:rFonts w:ascii="宋体" w:hAnsi="宋体" w:eastAsia="宋体"/>
          <w:sz w:val="24"/>
        </w:rPr>
        <w:t xml:space="preserve">    - 表现：设备无法正常工作</w:t>
      </w:r>
    </w:p>
    <w:p>
      <w:pPr>
        <w:spacing w:line="360" w:lineRule="auto"/>
        <w:ind w:left="432"/>
      </w:pPr>
      <w:r>
        <w:rPr>
          <w:rFonts w:ascii="宋体" w:hAnsi="宋体" w:eastAsia="宋体"/>
          <w:sz w:val="24"/>
        </w:rPr>
        <w:t xml:space="preserve">    - 持续时间：故障立即显现</w:t>
      </w:r>
    </w:p>
    <w:p>
      <w:pPr>
        <w:spacing w:line="360" w:lineRule="auto"/>
        <w:ind w:left="432"/>
      </w:pPr>
      <w:r>
        <w:rPr>
          <w:rFonts w:ascii="宋体" w:hAnsi="宋体" w:eastAsia="宋体"/>
          <w:sz w:val="24"/>
        </w:rPr>
        <w:t xml:space="preserve">    - 可检测性：容易检测</w:t>
      </w:r>
    </w:p>
    <w:p/>
    <w:p>
      <w:pPr>
        <w:spacing w:line="360" w:lineRule="auto"/>
        <w:ind w:firstLine="432"/>
      </w:pPr>
      <w:r>
        <w:rPr>
          <w:rFonts w:ascii="宋体" w:hAnsi="宋体" w:eastAsia="宋体"/>
          <w:sz w:val="24"/>
        </w:rPr>
        <w:t>图2-4 故障演化阶段与状态转移图</w:t>
      </w:r>
    </w:p>
    <w:p>
      <w:pPr>
        <w:shd w:fill="F2F2F2"/>
        <w:spacing w:line="240" w:lineRule="auto"/>
        <w:ind w:left="720" w:right="720"/>
      </w:pPr>
      <w:r>
        <w:rPr>
          <w:rFonts w:ascii="Consolas" w:hAnsi="Consolas" w:eastAsia="Consolas"/>
          <w:sz w:val="20"/>
        </w:rPr>
        <w:t>┌─────────────┐    缺陷发展    ┌─────────────┐    缺陷加剧    ┌─────────────┐</w:t>
        <w:br/>
        <w:t>│  早期缺陷期  │ ────────────→ │  性能退化期  │ ────────────→ │  功能失效期  │</w:t>
        <w:br/>
        <w:t>│  (潜伏期)    │                │  (发展期)    │                │  (爆发期)    │</w:t>
        <w:br/>
        <w:t>└─────────────┘                └─────────────┘                └─────────────┘</w:t>
        <w:br/>
        <w:t xml:space="preserve">       │                              │                              │</w:t>
        <w:br/>
        <w:t xml:space="preserve">       │ 健康状态：良好               │ 健康状态：注意/异常          │ 健康状态：严重</w:t>
        <w:br/>
        <w:t xml:space="preserve">       │ 可检测性：低                 │ 可检测性：中/高              │ 可检测性：高</w:t>
        <w:br/>
        <w:t xml:space="preserve">       │                              │                              │</w:t>
        <w:br/>
        <w:t xml:space="preserve">       └──────────────────────────────────────────────────────────────┘</w:t>
        <w:br/>
        <w:t xml:space="preserve">                              干预措施</w:t>
      </w:r>
    </w:p>
    <w:p/>
    <w:p>
      <w:pPr>
        <w:pStyle w:val="Heading3"/>
      </w:pPr>
      <w:r>
        <w:rPr>
          <w:rFonts w:ascii="黑体" w:hAnsi="黑体" w:eastAsia="黑体"/>
          <w:b/>
          <w:sz w:val="28"/>
        </w:rPr>
        <w:t>2.3.3 不同演化阶段故障之间的关联映射模型</w:t>
      </w:r>
    </w:p>
    <w:p/>
    <w:p>
      <w:pPr>
        <w:spacing w:line="360" w:lineRule="auto"/>
        <w:ind w:firstLine="432"/>
      </w:pPr>
      <w:r>
        <w:rPr>
          <w:rFonts w:ascii="宋体" w:hAnsi="宋体" w:eastAsia="宋体"/>
          <w:sz w:val="24"/>
        </w:rPr>
        <w:t>不同故障之间可能存在关联关系，一个故障可能引发其他故障。建立故障关联映射模型：</w:t>
      </w:r>
    </w:p>
    <w:p/>
    <w:p>
      <w:pPr>
        <w:spacing w:line="360" w:lineRule="auto"/>
        <w:ind w:firstLine="432"/>
      </w:pPr>
      <w:r>
        <w:rPr>
          <w:rFonts w:ascii="宋体" w:hAnsi="宋体" w:eastAsia="宋体"/>
          <w:sz w:val="24"/>
        </w:rPr>
        <w:t>设故障集合为 $F = \{f_1, f_2, \dots, f_m\}$，定义故障关联矩阵 $\mathbf{A} = [a_{ij}]$，其中：</w:t>
      </w:r>
    </w:p>
    <w:p/>
    <w:p>
      <w:pPr>
        <w:spacing w:line="360" w:lineRule="auto"/>
        <w:ind w:firstLine="432"/>
      </w:pPr>
      <w:r>
        <w:rPr>
          <w:rFonts w:ascii="宋体" w:hAnsi="宋体" w:eastAsia="宋体"/>
          <w:sz w:val="24"/>
        </w:rPr>
        <w:t>$$a_{ij} =</w:t>
      </w:r>
    </w:p>
    <w:p>
      <w:pPr>
        <w:spacing w:line="360" w:lineRule="auto"/>
        <w:ind w:firstLine="432"/>
      </w:pPr>
      <w:r>
        <w:rPr>
          <w:rFonts w:ascii="宋体" w:hAnsi="宋体" w:eastAsia="宋体"/>
          <w:sz w:val="24"/>
        </w:rPr>
        <w:t>\begin{cases}</w:t>
      </w:r>
    </w:p>
    <w:p>
      <w:pPr>
        <w:spacing w:line="360" w:lineRule="auto"/>
        <w:ind w:firstLine="432"/>
      </w:pPr>
      <w:r>
        <w:rPr>
          <w:rFonts w:ascii="宋体" w:hAnsi="宋体" w:eastAsia="宋体"/>
          <w:sz w:val="24"/>
        </w:rPr>
        <w:t>1, &amp; \text{若故障 } f_i \text{ 可能引发故障 } f_j \\</w:t>
      </w:r>
    </w:p>
    <w:p>
      <w:pPr>
        <w:spacing w:line="360" w:lineRule="auto"/>
        <w:ind w:firstLine="432"/>
      </w:pPr>
      <w:r>
        <w:rPr>
          <w:rFonts w:ascii="宋体" w:hAnsi="宋体" w:eastAsia="宋体"/>
          <w:sz w:val="24"/>
        </w:rPr>
        <w:t>0, &amp; \text{否则}</w:t>
      </w:r>
    </w:p>
    <w:p>
      <w:pPr>
        <w:spacing w:line="360" w:lineRule="auto"/>
        <w:ind w:firstLine="432"/>
      </w:pPr>
      <w:r>
        <w:rPr>
          <w:rFonts w:ascii="宋体" w:hAnsi="宋体" w:eastAsia="宋体"/>
          <w:sz w:val="24"/>
        </w:rPr>
        <w:t>\end{cases}$$</w:t>
      </w:r>
    </w:p>
    <w:p/>
    <w:p>
      <w:pPr>
        <w:spacing w:line="360" w:lineRule="auto"/>
        <w:ind w:firstLine="432"/>
      </w:pPr>
      <w:r>
        <w:rPr>
          <w:rFonts w:ascii="宋体" w:hAnsi="宋体" w:eastAsia="宋体"/>
          <w:sz w:val="24"/>
        </w:rPr>
        <w:t>典型的故障关联关系包括：</w:t>
      </w:r>
    </w:p>
    <w:p>
      <w:pPr>
        <w:spacing w:line="360" w:lineRule="auto"/>
        <w:ind w:left="432"/>
      </w:pPr>
      <w:r>
        <w:rPr>
          <w:rFonts w:ascii="宋体" w:hAnsi="宋体" w:eastAsia="宋体"/>
          <w:sz w:val="24"/>
        </w:rPr>
        <w:t xml:space="preserve">    - 电源纹波过大 → 计量芯片漂移</w:t>
      </w:r>
    </w:p>
    <w:p>
      <w:pPr>
        <w:spacing w:line="360" w:lineRule="auto"/>
        <w:ind w:left="432"/>
      </w:pPr>
      <w:r>
        <w:rPr>
          <w:rFonts w:ascii="宋体" w:hAnsi="宋体" w:eastAsia="宋体"/>
          <w:sz w:val="24"/>
        </w:rPr>
        <w:t xml:space="preserve">    - 时钟电池欠压 → 时钟异常</w:t>
      </w:r>
    </w:p>
    <w:p>
      <w:pPr>
        <w:spacing w:line="360" w:lineRule="auto"/>
        <w:ind w:left="432"/>
      </w:pPr>
      <w:r>
        <w:rPr>
          <w:rFonts w:ascii="宋体" w:hAnsi="宋体" w:eastAsia="宋体"/>
          <w:sz w:val="24"/>
        </w:rPr>
        <w:t xml:space="preserve">    - 温度过高 → 电容老化加速 → 电源故障</w:t>
      </w:r>
    </w:p>
    <w:p>
      <w:pPr>
        <w:spacing w:line="360" w:lineRule="auto"/>
        <w:ind w:left="432"/>
      </w:pPr>
      <w:r>
        <w:rPr>
          <w:rFonts w:ascii="宋体" w:hAnsi="宋体" w:eastAsia="宋体"/>
          <w:sz w:val="24"/>
        </w:rPr>
        <w:t xml:space="preserve">    - 通信不稳定 → 数据采集不完整 → 管理模块异常</w:t>
      </w:r>
    </w:p>
    <w:p/>
    <w:p>
      <w:pPr>
        <w:pStyle w:val="Heading2"/>
      </w:pPr>
      <w:r>
        <w:rPr>
          <w:rFonts w:ascii="黑体" w:hAnsi="黑体" w:eastAsia="黑体"/>
          <w:b/>
          <w:sz w:val="32"/>
        </w:rPr>
        <w:t>2.4 多应力下性能退化规律的仿真研究</w:t>
      </w:r>
    </w:p>
    <w:p/>
    <w:p>
      <w:pPr>
        <w:pStyle w:val="Heading3"/>
      </w:pPr>
      <w:r>
        <w:rPr>
          <w:rFonts w:ascii="黑体" w:hAnsi="黑体" w:eastAsia="黑体"/>
          <w:b/>
          <w:sz w:val="28"/>
        </w:rPr>
        <w:t>2.4.1 数字仿真平台与环境搭建</w:t>
      </w:r>
    </w:p>
    <w:p/>
    <w:p>
      <w:pPr>
        <w:spacing w:line="360" w:lineRule="auto"/>
        <w:ind w:firstLine="432"/>
      </w:pPr>
      <w:r>
        <w:rPr>
          <w:rFonts w:ascii="宋体" w:hAnsi="宋体" w:eastAsia="宋体"/>
          <w:sz w:val="24"/>
        </w:rPr>
        <w:t>为研究多应力下的性能退化规律，搭建数字仿真平台。仿真平台基于MATLAB/Simulink，包括以下部分：</w:t>
      </w:r>
    </w:p>
    <w:p/>
    <w:p>
      <w:pPr>
        <w:spacing w:line="360" w:lineRule="auto"/>
        <w:ind w:left="432"/>
      </w:pPr>
      <w:r>
        <w:rPr>
          <w:rFonts w:ascii="宋体" w:hAnsi="宋体" w:eastAsia="宋体"/>
          <w:sz w:val="24"/>
        </w:rPr>
        <w:t>1. **设备模型库：** 包含终端和表计各功能模块的详细模型</w:t>
      </w:r>
    </w:p>
    <w:p>
      <w:pPr>
        <w:spacing w:line="360" w:lineRule="auto"/>
        <w:ind w:left="432"/>
      </w:pPr>
      <w:r>
        <w:rPr>
          <w:rFonts w:ascii="宋体" w:hAnsi="宋体" w:eastAsia="宋体"/>
          <w:sz w:val="24"/>
        </w:rPr>
        <w:t>2. **应力注入模块：** 可注入温度、湿度、电压、负载等应力</w:t>
      </w:r>
    </w:p>
    <w:p>
      <w:pPr>
        <w:spacing w:line="360" w:lineRule="auto"/>
        <w:ind w:left="432"/>
      </w:pPr>
      <w:r>
        <w:rPr>
          <w:rFonts w:ascii="宋体" w:hAnsi="宋体" w:eastAsia="宋体"/>
          <w:sz w:val="24"/>
        </w:rPr>
        <w:t>3. **性能监测模块：** 监测关键性能指标</w:t>
      </w:r>
    </w:p>
    <w:p>
      <w:pPr>
        <w:spacing w:line="360" w:lineRule="auto"/>
        <w:ind w:left="432"/>
      </w:pPr>
      <w:r>
        <w:rPr>
          <w:rFonts w:ascii="宋体" w:hAnsi="宋体" w:eastAsia="宋体"/>
          <w:sz w:val="24"/>
        </w:rPr>
        <w:t>4. **数据记录模块：** 记录仿真数据</w:t>
      </w:r>
    </w:p>
    <w:p/>
    <w:p>
      <w:pPr>
        <w:spacing w:line="360" w:lineRule="auto"/>
        <w:ind w:firstLine="432"/>
      </w:pPr>
      <w:r>
        <w:rPr>
          <w:rFonts w:ascii="宋体" w:hAnsi="宋体" w:eastAsia="宋体"/>
          <w:sz w:val="24"/>
        </w:rPr>
        <w:t>仿真环境设置：</w:t>
      </w:r>
    </w:p>
    <w:p>
      <w:pPr>
        <w:spacing w:line="360" w:lineRule="auto"/>
        <w:ind w:left="432"/>
      </w:pPr>
      <w:r>
        <w:rPr>
          <w:rFonts w:ascii="宋体" w:hAnsi="宋体" w:eastAsia="宋体"/>
          <w:sz w:val="24"/>
        </w:rPr>
        <w:t xml:space="preserve">    - 温度范围：-40°C ~ +85°C</w:t>
      </w:r>
    </w:p>
    <w:p>
      <w:pPr>
        <w:spacing w:line="360" w:lineRule="auto"/>
        <w:ind w:left="432"/>
      </w:pPr>
      <w:r>
        <w:rPr>
          <w:rFonts w:ascii="宋体" w:hAnsi="宋体" w:eastAsia="宋体"/>
          <w:sz w:val="24"/>
        </w:rPr>
        <w:t xml:space="preserve">    - 相对湿度：10% ~ 95%</w:t>
      </w:r>
    </w:p>
    <w:p>
      <w:pPr>
        <w:spacing w:line="360" w:lineRule="auto"/>
        <w:ind w:left="432"/>
      </w:pPr>
      <w:r>
        <w:rPr>
          <w:rFonts w:ascii="宋体" w:hAnsi="宋体" w:eastAsia="宋体"/>
          <w:sz w:val="24"/>
        </w:rPr>
        <w:t xml:space="preserve">    - 电压范围：0.8Un ~ 1.2Un</w:t>
      </w:r>
    </w:p>
    <w:p>
      <w:pPr>
        <w:spacing w:line="360" w:lineRule="auto"/>
        <w:ind w:left="432"/>
      </w:pPr>
      <w:r>
        <w:rPr>
          <w:rFonts w:ascii="宋体" w:hAnsi="宋体" w:eastAsia="宋体"/>
          <w:sz w:val="24"/>
        </w:rPr>
        <w:t xml:space="preserve">    - 负载范围：0 ~ Imax</w:t>
      </w:r>
    </w:p>
    <w:p/>
    <w:p>
      <w:pPr>
        <w:pStyle w:val="Heading3"/>
      </w:pPr>
      <w:r>
        <w:rPr>
          <w:rFonts w:ascii="黑体" w:hAnsi="黑体" w:eastAsia="黑体"/>
          <w:b/>
          <w:sz w:val="28"/>
        </w:rPr>
        <w:t>2.4.2 环境因素影响规律研究</w:t>
      </w:r>
    </w:p>
    <w:p/>
    <w:p>
      <w:pPr>
        <w:spacing w:line="360" w:lineRule="auto"/>
        <w:ind w:left="432"/>
      </w:pPr>
      <w:r>
        <w:rPr>
          <w:rFonts w:ascii="宋体" w:hAnsi="宋体" w:eastAsia="宋体"/>
          <w:sz w:val="24"/>
        </w:rPr>
        <w:t xml:space="preserve">    **温度影响：** 温度是影响设备性能的重要环境因素。研究温度对电源模块输出纹波的影响。</w:t>
      </w:r>
    </w:p>
    <w:p/>
    <w:p>
      <w:pPr>
        <w:spacing w:line="360" w:lineRule="auto"/>
        <w:ind w:firstLine="432"/>
      </w:pPr>
      <w:r>
        <w:rPr>
          <w:rFonts w:ascii="宋体" w:hAnsi="宋体" w:eastAsia="宋体"/>
          <w:sz w:val="24"/>
        </w:rPr>
        <w:t>仿真条件：</w:t>
      </w:r>
    </w:p>
    <w:p>
      <w:pPr>
        <w:spacing w:line="360" w:lineRule="auto"/>
        <w:ind w:left="432"/>
      </w:pPr>
      <w:r>
        <w:rPr>
          <w:rFonts w:ascii="宋体" w:hAnsi="宋体" w:eastAsia="宋体"/>
          <w:sz w:val="24"/>
        </w:rPr>
        <w:t xml:space="preserve">    - 温度：25°C、45°C、65°C、85°C</w:t>
      </w:r>
    </w:p>
    <w:p>
      <w:pPr>
        <w:spacing w:line="360" w:lineRule="auto"/>
        <w:ind w:left="432"/>
      </w:pPr>
      <w:r>
        <w:rPr>
          <w:rFonts w:ascii="宋体" w:hAnsi="宋体" w:eastAsia="宋体"/>
          <w:sz w:val="24"/>
        </w:rPr>
        <w:t xml:space="preserve">    - 负载电流：额定负载</w:t>
      </w:r>
    </w:p>
    <w:p>
      <w:pPr>
        <w:spacing w:line="360" w:lineRule="auto"/>
        <w:ind w:left="432"/>
      </w:pPr>
      <w:r>
        <w:rPr>
          <w:rFonts w:ascii="宋体" w:hAnsi="宋体" w:eastAsia="宋体"/>
          <w:sz w:val="24"/>
        </w:rPr>
        <w:t xml:space="preserve">    - 运行时间：1000小时</w:t>
      </w:r>
    </w:p>
    <w:p/>
    <w:p>
      <w:pPr>
        <w:spacing w:line="360" w:lineRule="auto"/>
        <w:ind w:firstLine="432"/>
      </w:pPr>
      <w:r>
        <w:rPr>
          <w:rFonts w:ascii="宋体" w:hAnsi="宋体" w:eastAsia="宋体"/>
          <w:sz w:val="24"/>
        </w:rPr>
        <w:t>仿真结果：</w:t>
      </w:r>
    </w:p>
    <w:p/>
    <w:p>
      <w:pPr>
        <w:spacing w:line="360" w:lineRule="auto"/>
        <w:ind w:firstLine="432"/>
      </w:pPr>
      <w:r>
        <w:rPr>
          <w:rFonts w:ascii="宋体" w:hAnsi="宋体" w:eastAsia="宋体"/>
          <w:sz w:val="24"/>
        </w:rPr>
        <w:t>图2-5 高温高湿环境下电源模块输出纹波变化曲线</w:t>
      </w:r>
    </w:p>
    <w:p>
      <w:pPr>
        <w:shd w:fill="F2F2F2"/>
        <w:spacing w:line="240" w:lineRule="auto"/>
        <w:ind w:left="720" w:right="720"/>
      </w:pPr>
      <w:r>
        <w:rPr>
          <w:rFonts w:ascii="Consolas" w:hAnsi="Consolas" w:eastAsia="Consolas"/>
          <w:sz w:val="20"/>
        </w:rPr>
        <w:t>输出纹波(mV)</w:t>
        <w:br/>
        <w:t xml:space="preserve">  100 +-------------------------------------------------------+</w:t>
        <w:br/>
        <w:t xml:space="preserve">      |                                                       |</w:t>
        <w:br/>
        <w:t xml:space="preserve">      |                   *  85°C                            |</w:t>
        <w:br/>
        <w:t xml:space="preserve">   80 +              *                                        |</w:t>
        <w:br/>
        <w:t xml:space="preserve">      |           *                                           |</w:t>
        <w:br/>
        <w:t xml:space="preserve">   60 +        *                                              |</w:t>
        <w:br/>
        <w:t xml:space="preserve">      |     *            *  65°C                              |</w:t>
        <w:br/>
        <w:t xml:space="preserve">   40 +  *               *                                    |</w:t>
        <w:br/>
        <w:t xml:space="preserve">      |                  *     *  45°C                        |</w:t>
        <w:br/>
        <w:t xml:space="preserve">   20 +                       *                               |</w:t>
        <w:br/>
        <w:t xml:space="preserve">      |                       *   *  25°C                      |</w:t>
        <w:br/>
        <w:t xml:space="preserve">    0 +--+---+---+---+---+---+---+---+---+---+---+---+---+---+--</w:t>
        <w:br/>
        <w:t xml:space="preserve">      0  100  200  300  400  500  600  700  800  900 1000</w:t>
        <w:br/>
        <w:t xml:space="preserve">                              运行时间(小时)</w:t>
      </w:r>
    </w:p>
    <w:p/>
    <w:p>
      <w:pPr>
        <w:spacing w:line="360" w:lineRule="auto"/>
        <w:ind w:firstLine="432"/>
      </w:pPr>
      <w:r>
        <w:rPr>
          <w:rFonts w:ascii="宋体" w:hAnsi="宋体" w:eastAsia="宋体"/>
          <w:sz w:val="24"/>
        </w:rPr>
        <w:t>从仿真结果可以看出：</w:t>
      </w:r>
    </w:p>
    <w:p>
      <w:pPr>
        <w:spacing w:line="360" w:lineRule="auto"/>
        <w:ind w:left="432"/>
      </w:pPr>
      <w:r>
        <w:rPr>
          <w:rFonts w:ascii="宋体" w:hAnsi="宋体" w:eastAsia="宋体"/>
          <w:sz w:val="24"/>
        </w:rPr>
        <w:t>1. 输出纹波随运行时间增加而增大，呈现劣化趋势</w:t>
      </w:r>
    </w:p>
    <w:p>
      <w:pPr>
        <w:spacing w:line="360" w:lineRule="auto"/>
        <w:ind w:left="432"/>
      </w:pPr>
      <w:r>
        <w:rPr>
          <w:rFonts w:ascii="宋体" w:hAnsi="宋体" w:eastAsia="宋体"/>
          <w:sz w:val="24"/>
        </w:rPr>
        <w:t>2. 温度越高，劣化速度越快</w:t>
      </w:r>
    </w:p>
    <w:p>
      <w:pPr>
        <w:spacing w:line="360" w:lineRule="auto"/>
        <w:ind w:left="432"/>
      </w:pPr>
      <w:r>
        <w:rPr>
          <w:rFonts w:ascii="宋体" w:hAnsi="宋体" w:eastAsia="宋体"/>
          <w:sz w:val="24"/>
        </w:rPr>
        <w:t>3. 85°C时纹波增大速度是25°C时的3倍以上</w:t>
      </w:r>
    </w:p>
    <w:p/>
    <w:p>
      <w:pPr>
        <w:pStyle w:val="Heading3"/>
      </w:pPr>
      <w:r>
        <w:rPr>
          <w:rFonts w:ascii="黑体" w:hAnsi="黑体" w:eastAsia="黑体"/>
          <w:b/>
          <w:sz w:val="28"/>
        </w:rPr>
        <w:t>2.4.3 负载条件影响规律研究</w:t>
      </w:r>
    </w:p>
    <w:p/>
    <w:p>
      <w:pPr>
        <w:spacing w:line="360" w:lineRule="auto"/>
        <w:ind w:firstLine="432"/>
      </w:pPr>
      <w:r>
        <w:rPr>
          <w:rFonts w:ascii="宋体" w:hAnsi="宋体" w:eastAsia="宋体"/>
          <w:sz w:val="24"/>
        </w:rPr>
        <w:t>研究负载率对计量误差的影响。</w:t>
      </w:r>
    </w:p>
    <w:p/>
    <w:p>
      <w:pPr>
        <w:spacing w:line="360" w:lineRule="auto"/>
        <w:ind w:firstLine="432"/>
      </w:pPr>
      <w:r>
        <w:rPr>
          <w:rFonts w:ascii="宋体" w:hAnsi="宋体" w:eastAsia="宋体"/>
          <w:sz w:val="24"/>
        </w:rPr>
        <w:t>仿真条件：</w:t>
      </w:r>
    </w:p>
    <w:p>
      <w:pPr>
        <w:spacing w:line="360" w:lineRule="auto"/>
        <w:ind w:left="432"/>
      </w:pPr>
      <w:r>
        <w:rPr>
          <w:rFonts w:ascii="宋体" w:hAnsi="宋体" w:eastAsia="宋体"/>
          <w:sz w:val="24"/>
        </w:rPr>
        <w:t xml:space="preserve">    - 负载率：10%、25%、50%、75%、100%</w:t>
      </w:r>
    </w:p>
    <w:p>
      <w:pPr>
        <w:spacing w:line="360" w:lineRule="auto"/>
        <w:ind w:left="432"/>
      </w:pPr>
      <w:r>
        <w:rPr>
          <w:rFonts w:ascii="宋体" w:hAnsi="宋体" w:eastAsia="宋体"/>
          <w:sz w:val="24"/>
        </w:rPr>
        <w:t xml:space="preserve">    - 功率因数：0.5L、0.8L、1.0</w:t>
      </w:r>
    </w:p>
    <w:p>
      <w:pPr>
        <w:spacing w:line="360" w:lineRule="auto"/>
        <w:ind w:left="432"/>
      </w:pPr>
      <w:r>
        <w:rPr>
          <w:rFonts w:ascii="宋体" w:hAnsi="宋体" w:eastAsia="宋体"/>
          <w:sz w:val="24"/>
        </w:rPr>
        <w:t xml:space="preserve">    - 温度：25°C</w:t>
      </w:r>
    </w:p>
    <w:p/>
    <w:p>
      <w:pPr>
        <w:spacing w:line="360" w:lineRule="auto"/>
        <w:ind w:firstLine="432"/>
      </w:pPr>
      <w:r>
        <w:rPr>
          <w:rFonts w:ascii="宋体" w:hAnsi="宋体" w:eastAsia="宋体"/>
          <w:sz w:val="24"/>
        </w:rPr>
        <w:t>仿真结果：</w:t>
      </w:r>
    </w:p>
    <w:p/>
    <w:p>
      <w:pPr>
        <w:spacing w:line="360" w:lineRule="auto"/>
        <w:ind w:firstLine="432"/>
      </w:pPr>
      <w:r>
        <w:rPr>
          <w:rFonts w:ascii="宋体" w:hAnsi="宋体" w:eastAsia="宋体"/>
          <w:sz w:val="24"/>
        </w:rPr>
        <w:t>图2-6 不同负载率下计量误差的变化趋势图</w:t>
      </w:r>
    </w:p>
    <w:p>
      <w:pPr>
        <w:shd w:fill="F2F2F2"/>
        <w:spacing w:line="240" w:lineRule="auto"/>
        <w:ind w:left="720" w:right="720"/>
      </w:pPr>
      <w:r>
        <w:rPr>
          <w:rFonts w:ascii="Consolas" w:hAnsi="Consolas" w:eastAsia="Consolas"/>
          <w:sz w:val="20"/>
        </w:rPr>
        <w:t>计量误差(%)</w:t>
        <w:br/>
        <w:t xml:space="preserve">  0.6 +-------------------------------------------------------+</w:t>
        <w:br/>
        <w:t xml:space="preserve">      |                                                       |</w:t>
        <w:br/>
        <w:t xml:space="preserve">      |              *       cosφ=0.5L                       |</w:t>
        <w:br/>
        <w:t xml:space="preserve">  0.4 +           *                                           |</w:t>
        <w:br/>
        <w:t xml:space="preserve">      |        *         *                                    |</w:t>
        <w:br/>
        <w:t xml:space="preserve">  0.2 +     *                 *  cosφ=0.8L                   |</w:t>
        <w:br/>
        <w:t xml:space="preserve">      |  *                                                     |</w:t>
        <w:br/>
        <w:t xml:space="preserve">  0.0 +-------------------------------------------------------+</w:t>
        <w:br/>
        <w:t xml:space="preserve">      |  *                                                     |</w:t>
        <w:br/>
        <w:t xml:space="preserve"> -0.2 +     *              *                                   |</w:t>
        <w:br/>
        <w:t xml:space="preserve">      |        *         *  cosφ=1.0                          |</w:t>
        <w:br/>
        <w:t xml:space="preserve"> -0.4 +           *                                           |</w:t>
        <w:br/>
        <w:t xml:space="preserve">      |              *                                       |</w:t>
        <w:br/>
        <w:t xml:space="preserve"> -0.6 +-------------------------------------------------------+</w:t>
        <w:br/>
        <w:t xml:space="preserve">      |  10% |  25% |  50% |  75% | 100%                        |</w:t>
        <w:br/>
        <w:t xml:space="preserve">                      负载率</w:t>
      </w:r>
    </w:p>
    <w:p/>
    <w:p>
      <w:pPr>
        <w:spacing w:line="360" w:lineRule="auto"/>
        <w:ind w:firstLine="432"/>
      </w:pPr>
      <w:r>
        <w:rPr>
          <w:rFonts w:ascii="宋体" w:hAnsi="宋体" w:eastAsia="宋体"/>
          <w:sz w:val="24"/>
        </w:rPr>
        <w:t>从仿真结果可以看出：</w:t>
      </w:r>
    </w:p>
    <w:p>
      <w:pPr>
        <w:spacing w:line="360" w:lineRule="auto"/>
        <w:ind w:left="432"/>
      </w:pPr>
      <w:r>
        <w:rPr>
          <w:rFonts w:ascii="宋体" w:hAnsi="宋体" w:eastAsia="宋体"/>
          <w:sz w:val="24"/>
        </w:rPr>
        <w:t>1. 轻载时（10%负载）计量误差较大</w:t>
      </w:r>
    </w:p>
    <w:p>
      <w:pPr>
        <w:spacing w:line="360" w:lineRule="auto"/>
        <w:ind w:left="432"/>
      </w:pPr>
      <w:r>
        <w:rPr>
          <w:rFonts w:ascii="宋体" w:hAnsi="宋体" w:eastAsia="宋体"/>
          <w:sz w:val="24"/>
        </w:rPr>
        <w:t>2. 功率因数越低，计量误差越大</w:t>
      </w:r>
    </w:p>
    <w:p>
      <w:pPr>
        <w:spacing w:line="360" w:lineRule="auto"/>
        <w:ind w:left="432"/>
      </w:pPr>
      <w:r>
        <w:rPr>
          <w:rFonts w:ascii="宋体" w:hAnsi="宋体" w:eastAsia="宋体"/>
          <w:sz w:val="24"/>
        </w:rPr>
        <w:t>3. 额定负载附近计量误差最小</w:t>
      </w:r>
    </w:p>
    <w:p/>
    <w:p>
      <w:pPr>
        <w:pStyle w:val="Heading3"/>
      </w:pPr>
      <w:r>
        <w:rPr>
          <w:rFonts w:ascii="黑体" w:hAnsi="黑体" w:eastAsia="黑体"/>
          <w:b/>
          <w:sz w:val="28"/>
        </w:rPr>
        <w:t>2.4.4 复合应力下性能退化加速因子分析</w:t>
      </w:r>
    </w:p>
    <w:p/>
    <w:p>
      <w:pPr>
        <w:spacing w:line="360" w:lineRule="auto"/>
        <w:ind w:firstLine="432"/>
      </w:pPr>
      <w:r>
        <w:rPr>
          <w:rFonts w:ascii="宋体" w:hAnsi="宋体" w:eastAsia="宋体"/>
          <w:sz w:val="24"/>
        </w:rPr>
        <w:t>在实际运行中，设备往往同时受到多种应力的作用。研究温度、湿度、电压复合应力下的性能退化规律。</w:t>
      </w:r>
    </w:p>
    <w:p/>
    <w:p>
      <w:pPr>
        <w:spacing w:line="360" w:lineRule="auto"/>
        <w:ind w:firstLine="432"/>
      </w:pPr>
      <w:r>
        <w:rPr>
          <w:rFonts w:ascii="宋体" w:hAnsi="宋体" w:eastAsia="宋体"/>
          <w:sz w:val="24"/>
        </w:rPr>
        <w:t>基于Arrhenius模型和Peck模型，建立复合应力下的加速退化模型：</w:t>
      </w:r>
    </w:p>
    <w:p/>
    <w:p>
      <w:pPr>
        <w:spacing w:line="360" w:lineRule="auto"/>
        <w:ind w:firstLine="432"/>
      </w:pPr>
      <w:r>
        <w:rPr>
          <w:rFonts w:ascii="宋体" w:hAnsi="宋体" w:eastAsia="宋体"/>
          <w:sz w:val="24"/>
        </w:rPr>
        <w:t>$$A_F = \exp\left[\frac{E_a}{k}\left(\frac{1}{T_{use}} - \frac{1}{T_{stress}}\right)\right] \cdot \left(\frac{RH_{stress}}{RH_{use}}\right)^n \cdot \left(\frac{V_{stress}}{V_{use}}\right)^m$$</w:t>
      </w:r>
    </w:p>
    <w:p/>
    <w:p>
      <w:pPr>
        <w:spacing w:line="360" w:lineRule="auto"/>
        <w:ind w:firstLine="432"/>
      </w:pPr>
      <w:r>
        <w:rPr>
          <w:rFonts w:ascii="宋体" w:hAnsi="宋体" w:eastAsia="宋体"/>
          <w:sz w:val="24"/>
        </w:rPr>
        <w:t>其中：</w:t>
      </w:r>
    </w:p>
    <w:p>
      <w:pPr>
        <w:spacing w:line="360" w:lineRule="auto"/>
        <w:ind w:left="432"/>
      </w:pPr>
      <w:r>
        <w:rPr>
          <w:rFonts w:ascii="宋体" w:hAnsi="宋体" w:eastAsia="宋体"/>
          <w:sz w:val="24"/>
        </w:rPr>
        <w:t xml:space="preserve">    - $A_F$ 为加速因子</w:t>
      </w:r>
    </w:p>
    <w:p>
      <w:pPr>
        <w:spacing w:line="360" w:lineRule="auto"/>
        <w:ind w:left="432"/>
      </w:pPr>
      <w:r>
        <w:rPr>
          <w:rFonts w:ascii="宋体" w:hAnsi="宋体" w:eastAsia="宋体"/>
          <w:sz w:val="24"/>
        </w:rPr>
        <w:t xml:space="preserve">    - $E_a$ 为激活能</w:t>
      </w:r>
    </w:p>
    <w:p>
      <w:pPr>
        <w:spacing w:line="360" w:lineRule="auto"/>
        <w:ind w:left="432"/>
      </w:pPr>
      <w:r>
        <w:rPr>
          <w:rFonts w:ascii="宋体" w:hAnsi="宋体" w:eastAsia="宋体"/>
          <w:sz w:val="24"/>
        </w:rPr>
        <w:t xml:space="preserve">    - $k$ 为玻尔兹曼常数</w:t>
      </w:r>
    </w:p>
    <w:p>
      <w:pPr>
        <w:spacing w:line="360" w:lineRule="auto"/>
        <w:ind w:left="432"/>
      </w:pPr>
      <w:r>
        <w:rPr>
          <w:rFonts w:ascii="宋体" w:hAnsi="宋体" w:eastAsia="宋体"/>
          <w:sz w:val="24"/>
        </w:rPr>
        <w:t xml:space="preserve">    - $T$ 为绝对温度</w:t>
      </w:r>
    </w:p>
    <w:p>
      <w:pPr>
        <w:spacing w:line="360" w:lineRule="auto"/>
        <w:ind w:left="432"/>
      </w:pPr>
      <w:r>
        <w:rPr>
          <w:rFonts w:ascii="宋体" w:hAnsi="宋体" w:eastAsia="宋体"/>
          <w:sz w:val="24"/>
        </w:rPr>
        <w:t xml:space="preserve">    - $RH$ 为相对湿度</w:t>
      </w:r>
    </w:p>
    <w:p>
      <w:pPr>
        <w:spacing w:line="360" w:lineRule="auto"/>
        <w:ind w:left="432"/>
      </w:pPr>
      <w:r>
        <w:rPr>
          <w:rFonts w:ascii="宋体" w:hAnsi="宋体" w:eastAsia="宋体"/>
          <w:sz w:val="24"/>
        </w:rPr>
        <w:t xml:space="preserve">    - $V$ 为电压</w:t>
      </w:r>
    </w:p>
    <w:p>
      <w:pPr>
        <w:spacing w:line="360" w:lineRule="auto"/>
        <w:ind w:left="432"/>
      </w:pPr>
      <w:r>
        <w:rPr>
          <w:rFonts w:ascii="宋体" w:hAnsi="宋体" w:eastAsia="宋体"/>
          <w:sz w:val="24"/>
        </w:rPr>
        <w:t xml:space="preserve">    - $n$、$m$ 为模型参数</w:t>
      </w:r>
    </w:p>
    <w:p>
      <w:pPr>
        <w:spacing w:line="360" w:lineRule="auto"/>
        <w:ind w:left="432"/>
      </w:pPr>
      <w:r>
        <w:rPr>
          <w:rFonts w:ascii="宋体" w:hAnsi="宋体" w:eastAsia="宋体"/>
          <w:sz w:val="24"/>
        </w:rPr>
        <w:t xml:space="preserve">    - 下标 $use$ 表示使用条件，$stress$ 表示应力条件</w:t>
      </w:r>
    </w:p>
    <w:p/>
    <w:p>
      <w:pPr>
        <w:spacing w:line="360" w:lineRule="auto"/>
        <w:ind w:firstLine="432"/>
      </w:pPr>
      <w:r>
        <w:rPr>
          <w:rFonts w:ascii="宋体" w:hAnsi="宋体" w:eastAsia="宋体"/>
          <w:sz w:val="24"/>
        </w:rPr>
        <w:t>表2-2 多应力下性能退化加速因子表</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2"/>
              </w:rPr>
              <w:t>温度(°C)</w:t>
            </w:r>
          </w:p>
        </w:tc>
        <w:tc>
          <w:tcPr>
            <w:tcW w:type="dxa" w:w="1728"/>
          </w:tcPr>
          <w:p>
            <w:pPr>
              <w:jc w:val="center"/>
            </w:pPr>
            <w:r>
              <w:rPr>
                <w:b/>
                <w:sz w:val="22"/>
              </w:rPr>
              <w:t>湿度(%)</w:t>
            </w:r>
          </w:p>
        </w:tc>
        <w:tc>
          <w:tcPr>
            <w:tcW w:type="dxa" w:w="1728"/>
          </w:tcPr>
          <w:p>
            <w:pPr>
              <w:jc w:val="center"/>
            </w:pPr>
            <w:r>
              <w:rPr>
                <w:b/>
                <w:sz w:val="22"/>
              </w:rPr>
              <w:t>电压(pu)</w:t>
            </w:r>
          </w:p>
        </w:tc>
        <w:tc>
          <w:tcPr>
            <w:tcW w:type="dxa" w:w="1728"/>
          </w:tcPr>
          <w:p>
            <w:pPr>
              <w:jc w:val="center"/>
            </w:pPr>
            <w:r>
              <w:rPr>
                <w:b/>
                <w:sz w:val="22"/>
              </w:rPr>
              <w:t>加速因子</w:t>
            </w:r>
          </w:p>
        </w:tc>
        <w:tc>
          <w:tcPr>
            <w:tcW w:type="dxa" w:w="1728"/>
          </w:tcPr>
          <w:p>
            <w:pPr>
              <w:jc w:val="center"/>
            </w:pPr>
            <w:r>
              <w:rPr>
                <w:b/>
                <w:sz w:val="22"/>
              </w:rPr>
              <w:t>预计寿命(年)</w:t>
            </w:r>
          </w:p>
        </w:tc>
      </w:tr>
      <w:tr>
        <w:tc>
          <w:tcPr>
            <w:tcW w:type="dxa" w:w="1728"/>
          </w:tcPr>
          <w:p>
            <w:pPr>
              <w:jc w:val="center"/>
            </w:pPr>
            <w:r>
              <w:rPr>
                <w:sz w:val="20"/>
              </w:rPr>
              <w:t>25</w:t>
            </w:r>
          </w:p>
        </w:tc>
        <w:tc>
          <w:tcPr>
            <w:tcW w:type="dxa" w:w="1728"/>
          </w:tcPr>
          <w:p>
            <w:pPr>
              <w:jc w:val="center"/>
            </w:pPr>
            <w:r>
              <w:rPr>
                <w:sz w:val="20"/>
              </w:rPr>
              <w:t>50</w:t>
            </w:r>
          </w:p>
        </w:tc>
        <w:tc>
          <w:tcPr>
            <w:tcW w:type="dxa" w:w="1728"/>
          </w:tcPr>
          <w:p>
            <w:pPr>
              <w:jc w:val="center"/>
            </w:pPr>
            <w:r>
              <w:rPr>
                <w:sz w:val="20"/>
              </w:rPr>
              <w:t>1.0</w:t>
            </w:r>
          </w:p>
        </w:tc>
        <w:tc>
          <w:tcPr>
            <w:tcW w:type="dxa" w:w="1728"/>
          </w:tcPr>
          <w:p>
            <w:pPr>
              <w:jc w:val="center"/>
            </w:pPr>
            <w:r>
              <w:rPr>
                <w:sz w:val="20"/>
              </w:rPr>
              <w:t>1</w:t>
            </w:r>
          </w:p>
        </w:tc>
        <w:tc>
          <w:tcPr>
            <w:tcW w:type="dxa" w:w="1728"/>
          </w:tcPr>
          <w:p>
            <w:pPr>
              <w:jc w:val="center"/>
            </w:pPr>
            <w:r>
              <w:rPr>
                <w:sz w:val="20"/>
              </w:rPr>
              <w:t>10</w:t>
            </w:r>
          </w:p>
        </w:tc>
      </w:tr>
      <w:tr>
        <w:tc>
          <w:tcPr>
            <w:tcW w:type="dxa" w:w="1728"/>
          </w:tcPr>
          <w:p>
            <w:pPr>
              <w:jc w:val="center"/>
            </w:pPr>
            <w:r>
              <w:rPr>
                <w:sz w:val="20"/>
              </w:rPr>
              <w:t>45</w:t>
            </w:r>
          </w:p>
        </w:tc>
        <w:tc>
          <w:tcPr>
            <w:tcW w:type="dxa" w:w="1728"/>
          </w:tcPr>
          <w:p>
            <w:pPr>
              <w:jc w:val="center"/>
            </w:pPr>
            <w:r>
              <w:rPr>
                <w:sz w:val="20"/>
              </w:rPr>
              <w:t>70</w:t>
            </w:r>
          </w:p>
        </w:tc>
        <w:tc>
          <w:tcPr>
            <w:tcW w:type="dxa" w:w="1728"/>
          </w:tcPr>
          <w:p>
            <w:pPr>
              <w:jc w:val="center"/>
            </w:pPr>
            <w:r>
              <w:rPr>
                <w:sz w:val="20"/>
              </w:rPr>
              <w:t>1.0</w:t>
            </w:r>
          </w:p>
        </w:tc>
        <w:tc>
          <w:tcPr>
            <w:tcW w:type="dxa" w:w="1728"/>
          </w:tcPr>
          <w:p>
            <w:pPr>
              <w:jc w:val="center"/>
            </w:pPr>
            <w:r>
              <w:rPr>
                <w:sz w:val="20"/>
              </w:rPr>
              <w:t>5</w:t>
            </w:r>
          </w:p>
        </w:tc>
        <w:tc>
          <w:tcPr>
            <w:tcW w:type="dxa" w:w="1728"/>
          </w:tcPr>
          <w:p>
            <w:pPr>
              <w:jc w:val="center"/>
            </w:pPr>
            <w:r>
              <w:rPr>
                <w:sz w:val="20"/>
              </w:rPr>
              <w:t>2</w:t>
            </w:r>
          </w:p>
        </w:tc>
      </w:tr>
      <w:tr>
        <w:tc>
          <w:tcPr>
            <w:tcW w:type="dxa" w:w="1728"/>
          </w:tcPr>
          <w:p>
            <w:pPr>
              <w:jc w:val="center"/>
            </w:pPr>
            <w:r>
              <w:rPr>
                <w:sz w:val="20"/>
              </w:rPr>
              <w:t>65</w:t>
            </w:r>
          </w:p>
        </w:tc>
        <w:tc>
          <w:tcPr>
            <w:tcW w:type="dxa" w:w="1728"/>
          </w:tcPr>
          <w:p>
            <w:pPr>
              <w:jc w:val="center"/>
            </w:pPr>
            <w:r>
              <w:rPr>
                <w:sz w:val="20"/>
              </w:rPr>
              <w:t>85</w:t>
            </w:r>
          </w:p>
        </w:tc>
        <w:tc>
          <w:tcPr>
            <w:tcW w:type="dxa" w:w="1728"/>
          </w:tcPr>
          <w:p>
            <w:pPr>
              <w:jc w:val="center"/>
            </w:pPr>
            <w:r>
              <w:rPr>
                <w:sz w:val="20"/>
              </w:rPr>
              <w:t>1.1</w:t>
            </w:r>
          </w:p>
        </w:tc>
        <w:tc>
          <w:tcPr>
            <w:tcW w:type="dxa" w:w="1728"/>
          </w:tcPr>
          <w:p>
            <w:pPr>
              <w:jc w:val="center"/>
            </w:pPr>
            <w:r>
              <w:rPr>
                <w:sz w:val="20"/>
              </w:rPr>
              <w:t>25</w:t>
            </w:r>
          </w:p>
        </w:tc>
        <w:tc>
          <w:tcPr>
            <w:tcW w:type="dxa" w:w="1728"/>
          </w:tcPr>
          <w:p>
            <w:pPr>
              <w:jc w:val="center"/>
            </w:pPr>
            <w:r>
              <w:rPr>
                <w:sz w:val="20"/>
              </w:rPr>
              <w:t>0.4</w:t>
            </w:r>
          </w:p>
        </w:tc>
      </w:tr>
      <w:tr>
        <w:tc>
          <w:tcPr>
            <w:tcW w:type="dxa" w:w="1728"/>
          </w:tcPr>
          <w:p>
            <w:pPr>
              <w:jc w:val="center"/>
            </w:pPr>
            <w:r>
              <w:rPr>
                <w:sz w:val="20"/>
              </w:rPr>
              <w:t>85</w:t>
            </w:r>
          </w:p>
        </w:tc>
        <w:tc>
          <w:tcPr>
            <w:tcW w:type="dxa" w:w="1728"/>
          </w:tcPr>
          <w:p>
            <w:pPr>
              <w:jc w:val="center"/>
            </w:pPr>
            <w:r>
              <w:rPr>
                <w:sz w:val="20"/>
              </w:rPr>
              <w:t>95</w:t>
            </w:r>
          </w:p>
        </w:tc>
        <w:tc>
          <w:tcPr>
            <w:tcW w:type="dxa" w:w="1728"/>
          </w:tcPr>
          <w:p>
            <w:pPr>
              <w:jc w:val="center"/>
            </w:pPr>
            <w:r>
              <w:rPr>
                <w:sz w:val="20"/>
              </w:rPr>
              <w:t>1.2</w:t>
            </w:r>
          </w:p>
        </w:tc>
        <w:tc>
          <w:tcPr>
            <w:tcW w:type="dxa" w:w="1728"/>
          </w:tcPr>
          <w:p>
            <w:pPr>
              <w:jc w:val="center"/>
            </w:pPr>
            <w:r>
              <w:rPr>
                <w:sz w:val="20"/>
              </w:rPr>
              <w:t>100</w:t>
            </w:r>
          </w:p>
        </w:tc>
        <w:tc>
          <w:tcPr>
            <w:tcW w:type="dxa" w:w="1728"/>
          </w:tcPr>
          <w:p>
            <w:pPr>
              <w:jc w:val="center"/>
            </w:pPr>
            <w:r>
              <w:rPr>
                <w:sz w:val="20"/>
              </w:rPr>
              <w:t>0.1</w:t>
            </w:r>
          </w:p>
        </w:tc>
      </w:tr>
    </w:tbl>
    <w:p/>
    <w:p/>
    <w:p>
      <w:pPr>
        <w:pStyle w:val="Heading3"/>
      </w:pPr>
      <w:r>
        <w:rPr>
          <w:rFonts w:ascii="黑体" w:hAnsi="黑体" w:eastAsia="黑体"/>
          <w:b/>
          <w:sz w:val="28"/>
        </w:rPr>
        <w:t>2.4.5 性能退化规律总结与机理模型验证</w:t>
      </w:r>
    </w:p>
    <w:p/>
    <w:p>
      <w:pPr>
        <w:spacing w:line="360" w:lineRule="auto"/>
        <w:ind w:firstLine="432"/>
      </w:pPr>
      <w:r>
        <w:rPr>
          <w:rFonts w:ascii="宋体" w:hAnsi="宋体" w:eastAsia="宋体"/>
          <w:sz w:val="24"/>
        </w:rPr>
        <w:t>通过仿真研究，总结性能退化规律：</w:t>
      </w:r>
    </w:p>
    <w:p/>
    <w:p>
      <w:pPr>
        <w:spacing w:line="360" w:lineRule="auto"/>
        <w:ind w:left="432"/>
      </w:pPr>
      <w:r>
        <w:rPr>
          <w:rFonts w:ascii="宋体" w:hAnsi="宋体" w:eastAsia="宋体"/>
          <w:sz w:val="24"/>
        </w:rPr>
        <w:t>1. **时间相关性：** 性能退化随时间单调发展，劣化速度逐渐加快</w:t>
      </w:r>
    </w:p>
    <w:p>
      <w:pPr>
        <w:spacing w:line="360" w:lineRule="auto"/>
        <w:ind w:left="432"/>
      </w:pPr>
      <w:r>
        <w:rPr>
          <w:rFonts w:ascii="宋体" w:hAnsi="宋体" w:eastAsia="宋体"/>
          <w:sz w:val="24"/>
        </w:rPr>
        <w:t>2. **温度相关性：** 温度升高显著加速劣化，符合Arrhenius定律</w:t>
      </w:r>
    </w:p>
    <w:p>
      <w:pPr>
        <w:spacing w:line="360" w:lineRule="auto"/>
        <w:ind w:left="432"/>
      </w:pPr>
      <w:r>
        <w:rPr>
          <w:rFonts w:ascii="宋体" w:hAnsi="宋体" w:eastAsia="宋体"/>
          <w:sz w:val="24"/>
        </w:rPr>
        <w:t>3. **负载相关性：** 负载增大加速劣化，特别是过载情况</w:t>
      </w:r>
    </w:p>
    <w:p>
      <w:pPr>
        <w:spacing w:line="360" w:lineRule="auto"/>
        <w:ind w:left="432"/>
      </w:pPr>
      <w:r>
        <w:rPr>
          <w:rFonts w:ascii="宋体" w:hAnsi="宋体" w:eastAsia="宋体"/>
          <w:sz w:val="24"/>
        </w:rPr>
        <w:t>4. **多应力耦合：** 多种应力同时作用时，劣化加速效应叠加</w:t>
      </w:r>
    </w:p>
    <w:p/>
    <w:p>
      <w:pPr>
        <w:spacing w:line="360" w:lineRule="auto"/>
        <w:ind w:firstLine="432"/>
      </w:pPr>
      <w:r>
        <w:rPr>
          <w:rFonts w:ascii="宋体" w:hAnsi="宋体" w:eastAsia="宋体"/>
          <w:sz w:val="24"/>
        </w:rPr>
        <w:t>基于仿真结果验证机理模型，修正模型参数，提高模型准确性。</w:t>
      </w:r>
    </w:p>
    <w:p/>
    <w:p>
      <w:pPr>
        <w:pStyle w:val="Heading2"/>
      </w:pPr>
      <w:r>
        <w:rPr>
          <w:rFonts w:ascii="黑体" w:hAnsi="黑体" w:eastAsia="黑体"/>
          <w:b/>
          <w:sz w:val="32"/>
        </w:rPr>
        <w:t>2.5 本章小结</w:t>
      </w:r>
    </w:p>
    <w:p/>
    <w:p>
      <w:pPr>
        <w:spacing w:line="360" w:lineRule="auto"/>
        <w:ind w:firstLine="432"/>
      </w:pPr>
      <w:r>
        <w:rPr>
          <w:rFonts w:ascii="宋体" w:hAnsi="宋体" w:eastAsia="宋体"/>
          <w:sz w:val="24"/>
        </w:rPr>
        <w:t>本章系统开展了终端和表计故障机理与性能退化规律研究，主要工作和成果包括：</w:t>
      </w:r>
    </w:p>
    <w:p/>
    <w:p>
      <w:pPr>
        <w:spacing w:line="360" w:lineRule="auto"/>
        <w:ind w:left="432"/>
      </w:pPr>
      <w:r>
        <w:rPr>
          <w:rFonts w:ascii="宋体" w:hAnsi="宋体" w:eastAsia="宋体"/>
          <w:sz w:val="24"/>
        </w:rPr>
        <w:t>1. **梳理了终端和表计的功能模块** 分解为电源模块、计量模块、通信模块等8个功能模块，建立了清晰的功能架构。</w:t>
      </w:r>
    </w:p>
    <w:p/>
    <w:p>
      <w:pPr>
        <w:spacing w:line="360" w:lineRule="auto"/>
        <w:ind w:left="432"/>
      </w:pPr>
      <w:r>
        <w:rPr>
          <w:rFonts w:ascii="宋体" w:hAnsi="宋体" w:eastAsia="宋体"/>
          <w:sz w:val="24"/>
        </w:rPr>
        <w:t>2. **建立了系统化的故障分类体系** 按功能模块和失效模式两种方式分类，识别出8大类、20余种典型故障模式，建立了故障分类树状图。</w:t>
      </w:r>
    </w:p>
    <w:p/>
    <w:p>
      <w:pPr>
        <w:spacing w:line="360" w:lineRule="auto"/>
        <w:ind w:left="432"/>
      </w:pPr>
      <w:r>
        <w:rPr>
          <w:rFonts w:ascii="宋体" w:hAnsi="宋体" w:eastAsia="宋体"/>
          <w:sz w:val="24"/>
        </w:rPr>
        <w:t>3. **构建了典型故障模式的数学模型** 基于电力学原理，建立了计量芯片漂移、电源模块电容劣化、通信模块信号衰减等典型故障的数学模型，为故障分析提供了理论工具。</w:t>
      </w:r>
    </w:p>
    <w:p/>
    <w:p>
      <w:pPr>
        <w:spacing w:line="360" w:lineRule="auto"/>
        <w:ind w:left="432"/>
      </w:pPr>
      <w:r>
        <w:rPr>
          <w:rFonts w:ascii="宋体" w:hAnsi="宋体" w:eastAsia="宋体"/>
          <w:sz w:val="24"/>
        </w:rPr>
        <w:t>4. **揭示了故障演化规律** 将故障演化分为早期缺陷期、性能退化期、功能失效期三个阶段，分析了各阶段的特征和可检测性，建立了故障关联映射模型。</w:t>
      </w:r>
    </w:p>
    <w:p/>
    <w:p>
      <w:pPr>
        <w:spacing w:line="360" w:lineRule="auto"/>
        <w:ind w:left="432"/>
      </w:pPr>
      <w:r>
        <w:rPr>
          <w:rFonts w:ascii="宋体" w:hAnsi="宋体" w:eastAsia="宋体"/>
          <w:sz w:val="24"/>
        </w:rPr>
        <w:t>5. **开展了多应力下性能退化仿真研究** 搭建了数字仿真平台，研究了温度、湿度、负载等因素对设备性能的影响，建立了复合应力下的加速退化模型，总结了性能退化规律。</w:t>
      </w:r>
    </w:p>
    <w:p/>
    <w:p>
      <w:pPr>
        <w:spacing w:line="360" w:lineRule="auto"/>
        <w:ind w:firstLine="432"/>
      </w:pPr>
      <w:r>
        <w:rPr>
          <w:rFonts w:ascii="宋体" w:hAnsi="宋体" w:eastAsia="宋体"/>
          <w:sz w:val="24"/>
        </w:rPr>
        <w:t>本章研究为后续的特征提取和规则库设计提供了理论基础，具有重要的支撑作用。</w:t>
      </w:r>
    </w:p>
    <w:p/>
    <w:p>
      <w:r>
        <w:br w:type="page"/>
      </w:r>
    </w:p>
    <w:p/>
    <w:p>
      <w:pPr>
        <w:pStyle w:val="Heading1"/>
        <w:jc w:val="left"/>
      </w:pPr>
      <w:r>
        <w:rPr>
          <w:rFonts w:ascii="黑体" w:hAnsi="黑体" w:eastAsia="黑体"/>
          <w:b/>
          <w:sz w:val="36"/>
        </w:rPr>
        <w:t>第三章 终端和表计故障类型与特征关联技术研究</w:t>
      </w:r>
    </w:p>
    <w:p/>
    <w:p>
      <w:pPr>
        <w:pStyle w:val="Heading2"/>
      </w:pPr>
      <w:r>
        <w:rPr>
          <w:rFonts w:ascii="黑体" w:hAnsi="黑体" w:eastAsia="黑体"/>
          <w:b/>
          <w:sz w:val="32"/>
        </w:rPr>
        <w:t>3.1 多源状态信息高维特征矩阵构建</w:t>
      </w:r>
    </w:p>
    <w:p/>
    <w:p>
      <w:pPr>
        <w:pStyle w:val="Heading3"/>
      </w:pPr>
      <w:r>
        <w:rPr>
          <w:rFonts w:ascii="黑体" w:hAnsi="黑体" w:eastAsia="黑体"/>
          <w:b/>
          <w:sz w:val="28"/>
        </w:rPr>
        <w:t>3.1.1 多源数据梳理与整合</w:t>
      </w:r>
    </w:p>
    <w:p/>
    <w:p>
      <w:pPr>
        <w:spacing w:line="360" w:lineRule="auto"/>
        <w:ind w:firstLine="432"/>
      </w:pPr>
      <w:r>
        <w:rPr>
          <w:rFonts w:ascii="宋体" w:hAnsi="宋体" w:eastAsia="宋体"/>
          <w:sz w:val="24"/>
        </w:rPr>
        <w:t>终端和表计的运行数据来源广泛，类型多样。梳理整合多源数据，为特征提取奠定基础。</w:t>
      </w:r>
    </w:p>
    <w:p/>
    <w:p>
      <w:pPr>
        <w:spacing w:line="360" w:lineRule="auto"/>
        <w:ind w:left="432"/>
      </w:pPr>
      <w:r>
        <w:rPr>
          <w:rFonts w:ascii="宋体" w:hAnsi="宋体" w:eastAsia="宋体"/>
          <w:sz w:val="24"/>
        </w:rPr>
        <w:t xml:space="preserve">    **数据来源分类：**</w:t>
      </w:r>
    </w:p>
    <w:p/>
    <w:p>
      <w:pPr>
        <w:spacing w:line="360" w:lineRule="auto"/>
        <w:ind w:left="432"/>
      </w:pPr>
      <w:r>
        <w:rPr>
          <w:rFonts w:ascii="宋体" w:hAnsi="宋体" w:eastAsia="宋体"/>
          <w:sz w:val="24"/>
        </w:rPr>
        <w:t>1. **电气量数据：** 电压、电流、有功功率、无功功率、功率因数、频率、谐波等</w:t>
      </w:r>
    </w:p>
    <w:p>
      <w:pPr>
        <w:spacing w:line="360" w:lineRule="auto"/>
        <w:ind w:left="432"/>
      </w:pPr>
      <w:r>
        <w:rPr>
          <w:rFonts w:ascii="宋体" w:hAnsi="宋体" w:eastAsia="宋体"/>
          <w:sz w:val="24"/>
        </w:rPr>
        <w:t>2. **计量数据：** 正向有功电能、反向有功电能、无功电能、需量等</w:t>
      </w:r>
    </w:p>
    <w:p>
      <w:pPr>
        <w:spacing w:line="360" w:lineRule="auto"/>
        <w:ind w:left="432"/>
      </w:pPr>
      <w:r>
        <w:rPr>
          <w:rFonts w:ascii="宋体" w:hAnsi="宋体" w:eastAsia="宋体"/>
          <w:sz w:val="24"/>
        </w:rPr>
        <w:t>3. **环境数据：** 温度、湿度、大气压等</w:t>
      </w:r>
    </w:p>
    <w:p>
      <w:pPr>
        <w:spacing w:line="360" w:lineRule="auto"/>
        <w:ind w:left="432"/>
      </w:pPr>
      <w:r>
        <w:rPr>
          <w:rFonts w:ascii="宋体" w:hAnsi="宋体" w:eastAsia="宋体"/>
          <w:sz w:val="24"/>
        </w:rPr>
        <w:t>4. **事件记录：** 上电、掉电、编程、拉闸、合闸、故障告警等</w:t>
      </w:r>
    </w:p>
    <w:p>
      <w:pPr>
        <w:spacing w:line="360" w:lineRule="auto"/>
        <w:ind w:left="432"/>
      </w:pPr>
      <w:r>
        <w:rPr>
          <w:rFonts w:ascii="宋体" w:hAnsi="宋体" w:eastAsia="宋体"/>
          <w:sz w:val="24"/>
        </w:rPr>
        <w:t>5. **通信数据：** 通信成功率、通信时延、通信速率、信号强度等</w:t>
      </w:r>
    </w:p>
    <w:p>
      <w:pPr>
        <w:spacing w:line="360" w:lineRule="auto"/>
        <w:ind w:left="432"/>
      </w:pPr>
      <w:r>
        <w:rPr>
          <w:rFonts w:ascii="宋体" w:hAnsi="宋体" w:eastAsia="宋体"/>
          <w:sz w:val="24"/>
        </w:rPr>
        <w:t>6. **状态数据：** 设备状态、电池电压、时钟偏差、在线状态等</w:t>
      </w:r>
    </w:p>
    <w:p>
      <w:pPr>
        <w:spacing w:line="360" w:lineRule="auto"/>
        <w:ind w:left="432"/>
      </w:pPr>
      <w:r>
        <w:rPr>
          <w:rFonts w:ascii="宋体" w:hAnsi="宋体" w:eastAsia="宋体"/>
          <w:sz w:val="24"/>
        </w:rPr>
        <w:t>7. **档案数据：** 设备型号、出厂日期、安装日期、运维记录等</w:t>
      </w:r>
    </w:p>
    <w:p/>
    <w:p>
      <w:pPr>
        <w:spacing w:line="360" w:lineRule="auto"/>
        <w:ind w:left="432"/>
      </w:pPr>
      <w:r>
        <w:rPr>
          <w:rFonts w:ascii="宋体" w:hAnsi="宋体" w:eastAsia="宋体"/>
          <w:sz w:val="24"/>
        </w:rPr>
        <w:t xml:space="preserve">    **数据整合方案：**</w:t>
      </w:r>
    </w:p>
    <w:p/>
    <w:p>
      <w:pPr>
        <w:spacing w:line="360" w:lineRule="auto"/>
        <w:ind w:firstLine="432"/>
      </w:pPr>
      <w:r>
        <w:rPr>
          <w:rFonts w:ascii="宋体" w:hAnsi="宋体" w:eastAsia="宋体"/>
          <w:sz w:val="24"/>
        </w:rPr>
        <w:t>建立统一的数据模型，实现多源数据的整合。采用时序数据库存储电气量、计量数据等时序数据，采用关系数据库存储事件记录、档案数据等结构化数据。</w:t>
      </w:r>
    </w:p>
    <w:p/>
    <w:p>
      <w:pPr>
        <w:pStyle w:val="Heading3"/>
      </w:pPr>
      <w:r>
        <w:rPr>
          <w:rFonts w:ascii="黑体" w:hAnsi="黑体" w:eastAsia="黑体"/>
          <w:b/>
          <w:sz w:val="28"/>
        </w:rPr>
        <w:t>3.1.2 数据预处理技术</w:t>
      </w:r>
    </w:p>
    <w:p/>
    <w:p>
      <w:pPr>
        <w:spacing w:line="360" w:lineRule="auto"/>
        <w:ind w:firstLine="432"/>
      </w:pPr>
      <w:r>
        <w:rPr>
          <w:rFonts w:ascii="宋体" w:hAnsi="宋体" w:eastAsia="宋体"/>
          <w:sz w:val="24"/>
        </w:rPr>
        <w:t>原始数据存在噪声、缺失、异常等问题，需要进行预处理。</w:t>
      </w:r>
    </w:p>
    <w:p/>
    <w:p>
      <w:pPr>
        <w:spacing w:line="360" w:lineRule="auto"/>
        <w:ind w:left="432"/>
      </w:pPr>
      <w:r>
        <w:rPr>
          <w:rFonts w:ascii="宋体" w:hAnsi="宋体" w:eastAsia="宋体"/>
          <w:sz w:val="24"/>
        </w:rPr>
        <w:t xml:space="preserve">    **数据清洗：**</w:t>
      </w:r>
    </w:p>
    <w:p>
      <w:pPr>
        <w:spacing w:line="360" w:lineRule="auto"/>
        <w:ind w:left="432"/>
      </w:pPr>
      <w:r>
        <w:rPr>
          <w:rFonts w:ascii="宋体" w:hAnsi="宋体" w:eastAsia="宋体"/>
          <w:sz w:val="24"/>
        </w:rPr>
        <w:t xml:space="preserve">    - 去除明显的异常值（基于3σ原则或箱线图）</w:t>
      </w:r>
    </w:p>
    <w:p>
      <w:pPr>
        <w:spacing w:line="360" w:lineRule="auto"/>
        <w:ind w:left="432"/>
      </w:pPr>
      <w:r>
        <w:rPr>
          <w:rFonts w:ascii="宋体" w:hAnsi="宋体" w:eastAsia="宋体"/>
          <w:sz w:val="24"/>
        </w:rPr>
        <w:t xml:space="preserve">    - 处理重复数据</w:t>
      </w:r>
    </w:p>
    <w:p>
      <w:pPr>
        <w:spacing w:line="360" w:lineRule="auto"/>
        <w:ind w:left="432"/>
      </w:pPr>
      <w:r>
        <w:rPr>
          <w:rFonts w:ascii="宋体" w:hAnsi="宋体" w:eastAsia="宋体"/>
          <w:sz w:val="24"/>
        </w:rPr>
        <w:t xml:space="preserve">    - 纠正格式错误</w:t>
      </w:r>
    </w:p>
    <w:p/>
    <w:p>
      <w:pPr>
        <w:spacing w:line="360" w:lineRule="auto"/>
        <w:ind w:left="432"/>
      </w:pPr>
      <w:r>
        <w:rPr>
          <w:rFonts w:ascii="宋体" w:hAnsi="宋体" w:eastAsia="宋体"/>
          <w:sz w:val="24"/>
        </w:rPr>
        <w:t xml:space="preserve">    **数据插值：**</w:t>
      </w:r>
    </w:p>
    <w:p>
      <w:pPr>
        <w:spacing w:line="360" w:lineRule="auto"/>
        <w:ind w:left="432"/>
      </w:pPr>
      <w:r>
        <w:rPr>
          <w:rFonts w:ascii="宋体" w:hAnsi="宋体" w:eastAsia="宋体"/>
          <w:sz w:val="24"/>
        </w:rPr>
        <w:t xml:space="preserve">    - 线性插值：适用于变化平缓的数据</w:t>
      </w:r>
    </w:p>
    <w:p>
      <w:pPr>
        <w:spacing w:line="360" w:lineRule="auto"/>
        <w:ind w:left="432"/>
      </w:pPr>
      <w:r>
        <w:rPr>
          <w:rFonts w:ascii="宋体" w:hAnsi="宋体" w:eastAsia="宋体"/>
          <w:sz w:val="24"/>
        </w:rPr>
        <w:t xml:space="preserve">    - 样条插值：适用于变化较复杂的数据</w:t>
      </w:r>
    </w:p>
    <w:p>
      <w:pPr>
        <w:spacing w:line="360" w:lineRule="auto"/>
        <w:ind w:left="432"/>
      </w:pPr>
      <w:r>
        <w:rPr>
          <w:rFonts w:ascii="宋体" w:hAnsi="宋体" w:eastAsia="宋体"/>
          <w:sz w:val="24"/>
        </w:rPr>
        <w:t xml:space="preserve">    - 前后向填充：适用于事件记录等离散数据</w:t>
      </w:r>
    </w:p>
    <w:p/>
    <w:p>
      <w:pPr>
        <w:spacing w:line="360" w:lineRule="auto"/>
        <w:ind w:left="432"/>
      </w:pPr>
      <w:r>
        <w:rPr>
          <w:rFonts w:ascii="宋体" w:hAnsi="宋体" w:eastAsia="宋体"/>
          <w:sz w:val="24"/>
        </w:rPr>
        <w:t xml:space="preserve">    **数据标准化：**</w:t>
      </w:r>
    </w:p>
    <w:p>
      <w:pPr>
        <w:spacing w:line="360" w:lineRule="auto"/>
        <w:ind w:left="432"/>
      </w:pPr>
      <w:r>
        <w:rPr>
          <w:rFonts w:ascii="宋体" w:hAnsi="宋体" w:eastAsia="宋体"/>
          <w:sz w:val="24"/>
        </w:rPr>
        <w:t xml:space="preserve">    - Z-score标准化：$x' = \frac{x - \mu}{\sigma}$</w:t>
      </w:r>
    </w:p>
    <w:p>
      <w:pPr>
        <w:spacing w:line="360" w:lineRule="auto"/>
        <w:ind w:left="432"/>
      </w:pPr>
      <w:r>
        <w:rPr>
          <w:rFonts w:ascii="宋体" w:hAnsi="宋体" w:eastAsia="宋体"/>
          <w:sz w:val="24"/>
        </w:rPr>
        <w:t xml:space="preserve">    - Min-Max标准化：$x' = \frac{x - x_{min}}{x_{max} - x_{min}}$</w:t>
      </w:r>
    </w:p>
    <w:p/>
    <w:p>
      <w:pPr>
        <w:pStyle w:val="Heading3"/>
      </w:pPr>
      <w:r>
        <w:rPr>
          <w:rFonts w:ascii="黑体" w:hAnsi="黑体" w:eastAsia="黑体"/>
          <w:b/>
          <w:sz w:val="28"/>
        </w:rPr>
        <w:t>3.1.3 时域、频域、时频域等多维度候选特征提取</w:t>
      </w:r>
    </w:p>
    <w:p/>
    <w:p>
      <w:pPr>
        <w:spacing w:line="360" w:lineRule="auto"/>
        <w:ind w:firstLine="432"/>
      </w:pPr>
      <w:r>
        <w:rPr>
          <w:rFonts w:ascii="宋体" w:hAnsi="宋体" w:eastAsia="宋体"/>
          <w:sz w:val="24"/>
        </w:rPr>
        <w:t>从多源数据中提取多维度候选特征。</w:t>
      </w:r>
    </w:p>
    <w:p/>
    <w:p>
      <w:pPr>
        <w:spacing w:line="360" w:lineRule="auto"/>
        <w:ind w:left="432"/>
      </w:pPr>
      <w:r>
        <w:rPr>
          <w:rFonts w:ascii="宋体" w:hAnsi="宋体" w:eastAsia="宋体"/>
          <w:sz w:val="24"/>
        </w:rPr>
        <w:t xml:space="preserve">    **时域特征：**</w:t>
      </w:r>
    </w:p>
    <w:p>
      <w:pPr>
        <w:spacing w:line="360" w:lineRule="auto"/>
        <w:ind w:left="432"/>
      </w:pPr>
      <w:r>
        <w:rPr>
          <w:rFonts w:ascii="宋体" w:hAnsi="宋体" w:eastAsia="宋体"/>
          <w:sz w:val="24"/>
        </w:rPr>
        <w:t xml:space="preserve">    - 统计特征：均值、标准差、方差、最大值、最小值、中位数、四分位数</w:t>
      </w:r>
    </w:p>
    <w:p>
      <w:pPr>
        <w:spacing w:line="360" w:lineRule="auto"/>
        <w:ind w:left="432"/>
      </w:pPr>
      <w:r>
        <w:rPr>
          <w:rFonts w:ascii="宋体" w:hAnsi="宋体" w:eastAsia="宋体"/>
          <w:sz w:val="24"/>
        </w:rPr>
        <w:t xml:space="preserve">    - 变化特征：一阶差分、二阶差分、变化率、趋势项</w:t>
      </w:r>
    </w:p>
    <w:p>
      <w:pPr>
        <w:spacing w:line="360" w:lineRule="auto"/>
        <w:ind w:left="432"/>
      </w:pPr>
      <w:r>
        <w:rPr>
          <w:rFonts w:ascii="宋体" w:hAnsi="宋体" w:eastAsia="宋体"/>
          <w:sz w:val="24"/>
        </w:rPr>
        <w:t xml:space="preserve">    - 分布特征：偏度、峰度、直方图特征</w:t>
      </w:r>
    </w:p>
    <w:p/>
    <w:p>
      <w:pPr>
        <w:spacing w:line="360" w:lineRule="auto"/>
        <w:ind w:left="432"/>
      </w:pPr>
      <w:r>
        <w:rPr>
          <w:rFonts w:ascii="宋体" w:hAnsi="宋体" w:eastAsia="宋体"/>
          <w:sz w:val="24"/>
        </w:rPr>
        <w:t xml:space="preserve">    **频域特征：**</w:t>
      </w:r>
    </w:p>
    <w:p>
      <w:pPr>
        <w:spacing w:line="360" w:lineRule="auto"/>
        <w:ind w:left="432"/>
      </w:pPr>
      <w:r>
        <w:rPr>
          <w:rFonts w:ascii="宋体" w:hAnsi="宋体" w:eastAsia="宋体"/>
          <w:sz w:val="24"/>
        </w:rPr>
        <w:t xml:space="preserve">    - 频谱特征：各次谐波含量、总谐波失真（THD）</w:t>
      </w:r>
    </w:p>
    <w:p>
      <w:pPr>
        <w:spacing w:line="360" w:lineRule="auto"/>
        <w:ind w:left="432"/>
      </w:pPr>
      <w:r>
        <w:rPr>
          <w:rFonts w:ascii="宋体" w:hAnsi="宋体" w:eastAsia="宋体"/>
          <w:sz w:val="24"/>
        </w:rPr>
        <w:t xml:space="preserve">    - 功率谱特征：功率谱密度、谱峰值、谱质心</w:t>
      </w:r>
    </w:p>
    <w:p/>
    <w:p>
      <w:pPr>
        <w:spacing w:line="360" w:lineRule="auto"/>
        <w:ind w:left="432"/>
      </w:pPr>
      <w:r>
        <w:rPr>
          <w:rFonts w:ascii="宋体" w:hAnsi="宋体" w:eastAsia="宋体"/>
          <w:sz w:val="24"/>
        </w:rPr>
        <w:t xml:space="preserve">    **时频域特征：**</w:t>
      </w:r>
    </w:p>
    <w:p>
      <w:pPr>
        <w:spacing w:line="360" w:lineRule="auto"/>
        <w:ind w:left="432"/>
      </w:pPr>
      <w:r>
        <w:rPr>
          <w:rFonts w:ascii="宋体" w:hAnsi="宋体" w:eastAsia="宋体"/>
          <w:sz w:val="24"/>
        </w:rPr>
        <w:t xml:space="preserve">    - 小波分解系数</w:t>
      </w:r>
    </w:p>
    <w:p>
      <w:pPr>
        <w:spacing w:line="360" w:lineRule="auto"/>
        <w:ind w:left="432"/>
      </w:pPr>
      <w:r>
        <w:rPr>
          <w:rFonts w:ascii="宋体" w:hAnsi="宋体" w:eastAsia="宋体"/>
          <w:sz w:val="24"/>
        </w:rPr>
        <w:t xml:space="preserve">    - 经验模态分解（EMD）分量</w:t>
      </w:r>
    </w:p>
    <w:p/>
    <w:p>
      <w:pPr>
        <w:spacing w:line="360" w:lineRule="auto"/>
        <w:ind w:firstLine="432"/>
      </w:pPr>
      <w:r>
        <w:rPr>
          <w:rFonts w:ascii="宋体" w:hAnsi="宋体" w:eastAsia="宋体"/>
          <w:sz w:val="24"/>
        </w:rPr>
        <w:t>表3-1 候选特征清单（特征名称、物理含义、数据来源）</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2"/>
              </w:rPr>
              <w:t>特征类别</w:t>
            </w:r>
          </w:p>
        </w:tc>
        <w:tc>
          <w:tcPr>
            <w:tcW w:type="dxa" w:w="2160"/>
          </w:tcPr>
          <w:p>
            <w:pPr>
              <w:jc w:val="center"/>
            </w:pPr>
            <w:r>
              <w:rPr>
                <w:b/>
                <w:sz w:val="22"/>
              </w:rPr>
              <w:t>特征名称</w:t>
            </w:r>
          </w:p>
        </w:tc>
        <w:tc>
          <w:tcPr>
            <w:tcW w:type="dxa" w:w="2160"/>
          </w:tcPr>
          <w:p>
            <w:pPr>
              <w:jc w:val="center"/>
            </w:pPr>
            <w:r>
              <w:rPr>
                <w:b/>
                <w:sz w:val="22"/>
              </w:rPr>
              <w:t>物理含义</w:t>
            </w:r>
          </w:p>
        </w:tc>
        <w:tc>
          <w:tcPr>
            <w:tcW w:type="dxa" w:w="2160"/>
          </w:tcPr>
          <w:p>
            <w:pPr>
              <w:jc w:val="center"/>
            </w:pPr>
            <w:r>
              <w:rPr>
                <w:b/>
                <w:sz w:val="22"/>
              </w:rPr>
              <w:t>数据来源</w:t>
            </w:r>
          </w:p>
        </w:tc>
      </w:tr>
      <w:tr>
        <w:tc>
          <w:tcPr>
            <w:tcW w:type="dxa" w:w="2160"/>
          </w:tcPr>
          <w:p>
            <w:pPr>
              <w:jc w:val="center"/>
            </w:pPr>
            <w:r>
              <w:rPr>
                <w:sz w:val="20"/>
              </w:rPr>
              <w:t>时域特征</w:t>
            </w:r>
          </w:p>
        </w:tc>
        <w:tc>
          <w:tcPr>
            <w:tcW w:type="dxa" w:w="2160"/>
          </w:tcPr>
          <w:p>
            <w:pPr>
              <w:jc w:val="center"/>
            </w:pPr>
            <w:r>
              <w:rPr>
                <w:sz w:val="20"/>
              </w:rPr>
              <w:t>电压均值</w:t>
            </w:r>
          </w:p>
        </w:tc>
        <w:tc>
          <w:tcPr>
            <w:tcW w:type="dxa" w:w="2160"/>
          </w:tcPr>
          <w:p>
            <w:pPr>
              <w:jc w:val="center"/>
            </w:pPr>
            <w:r>
              <w:rPr>
                <w:sz w:val="20"/>
              </w:rPr>
              <w:t>电压平均值</w:t>
            </w:r>
          </w:p>
        </w:tc>
        <w:tc>
          <w:tcPr>
            <w:tcW w:type="dxa" w:w="2160"/>
          </w:tcPr>
          <w:p>
            <w:pPr>
              <w:jc w:val="center"/>
            </w:pPr>
            <w:r>
              <w:rPr>
                <w:sz w:val="20"/>
              </w:rPr>
              <w:t>电压采样数据</w:t>
            </w:r>
          </w:p>
        </w:tc>
      </w:tr>
      <w:tr>
        <w:tc>
          <w:tcPr>
            <w:tcW w:type="dxa" w:w="2160"/>
          </w:tcPr>
          <w:p>
            <w:pPr>
              <w:jc w:val="center"/>
            </w:pPr>
            <w:r>
              <w:rPr>
                <w:sz w:val="20"/>
              </w:rPr>
              <w:t>时域特征</w:t>
            </w:r>
          </w:p>
        </w:tc>
        <w:tc>
          <w:tcPr>
            <w:tcW w:type="dxa" w:w="2160"/>
          </w:tcPr>
          <w:p>
            <w:pPr>
              <w:jc w:val="center"/>
            </w:pPr>
            <w:r>
              <w:rPr>
                <w:sz w:val="20"/>
              </w:rPr>
              <w:t>电压标准差</w:t>
            </w:r>
          </w:p>
        </w:tc>
        <w:tc>
          <w:tcPr>
            <w:tcW w:type="dxa" w:w="2160"/>
          </w:tcPr>
          <w:p>
            <w:pPr>
              <w:jc w:val="center"/>
            </w:pPr>
            <w:r>
              <w:rPr>
                <w:sz w:val="20"/>
              </w:rPr>
              <w:t>电压波动程度</w:t>
            </w:r>
          </w:p>
        </w:tc>
        <w:tc>
          <w:tcPr>
            <w:tcW w:type="dxa" w:w="2160"/>
          </w:tcPr>
          <w:p>
            <w:pPr>
              <w:jc w:val="center"/>
            </w:pPr>
            <w:r>
              <w:rPr>
                <w:sz w:val="20"/>
              </w:rPr>
              <w:t>电压采样数据</w:t>
            </w:r>
          </w:p>
        </w:tc>
      </w:tr>
      <w:tr>
        <w:tc>
          <w:tcPr>
            <w:tcW w:type="dxa" w:w="2160"/>
          </w:tcPr>
          <w:p>
            <w:pPr>
              <w:jc w:val="center"/>
            </w:pPr>
            <w:r>
              <w:rPr>
                <w:sz w:val="20"/>
              </w:rPr>
              <w:t>时域特征</w:t>
            </w:r>
          </w:p>
        </w:tc>
        <w:tc>
          <w:tcPr>
            <w:tcW w:type="dxa" w:w="2160"/>
          </w:tcPr>
          <w:p>
            <w:pPr>
              <w:jc w:val="center"/>
            </w:pPr>
            <w:r>
              <w:rPr>
                <w:sz w:val="20"/>
              </w:rPr>
              <w:t>电压偏差</w:t>
            </w:r>
          </w:p>
        </w:tc>
        <w:tc>
          <w:tcPr>
            <w:tcW w:type="dxa" w:w="2160"/>
          </w:tcPr>
          <w:p>
            <w:pPr>
              <w:jc w:val="center"/>
            </w:pPr>
            <w:r>
              <w:rPr>
                <w:sz w:val="20"/>
              </w:rPr>
              <w:t>电压与额定值偏差</w:t>
            </w:r>
          </w:p>
        </w:tc>
        <w:tc>
          <w:tcPr>
            <w:tcW w:type="dxa" w:w="2160"/>
          </w:tcPr>
          <w:p>
            <w:pPr>
              <w:jc w:val="center"/>
            </w:pPr>
            <w:r>
              <w:rPr>
                <w:sz w:val="20"/>
              </w:rPr>
              <w:t>电压采样数据</w:t>
            </w:r>
          </w:p>
        </w:tc>
      </w:tr>
      <w:tr>
        <w:tc>
          <w:tcPr>
            <w:tcW w:type="dxa" w:w="2160"/>
          </w:tcPr>
          <w:p>
            <w:pPr>
              <w:jc w:val="center"/>
            </w:pPr>
            <w:r>
              <w:rPr>
                <w:sz w:val="20"/>
              </w:rPr>
              <w:t>时域特征</w:t>
            </w:r>
          </w:p>
        </w:tc>
        <w:tc>
          <w:tcPr>
            <w:tcW w:type="dxa" w:w="2160"/>
          </w:tcPr>
          <w:p>
            <w:pPr>
              <w:jc w:val="center"/>
            </w:pPr>
            <w:r>
              <w:rPr>
                <w:sz w:val="20"/>
              </w:rPr>
              <w:t>电流均值</w:t>
            </w:r>
          </w:p>
        </w:tc>
        <w:tc>
          <w:tcPr>
            <w:tcW w:type="dxa" w:w="2160"/>
          </w:tcPr>
          <w:p>
            <w:pPr>
              <w:jc w:val="center"/>
            </w:pPr>
            <w:r>
              <w:rPr>
                <w:sz w:val="20"/>
              </w:rPr>
              <w:t>电流平均值</w:t>
            </w:r>
          </w:p>
        </w:tc>
        <w:tc>
          <w:tcPr>
            <w:tcW w:type="dxa" w:w="2160"/>
          </w:tcPr>
          <w:p>
            <w:pPr>
              <w:jc w:val="center"/>
            </w:pPr>
            <w:r>
              <w:rPr>
                <w:sz w:val="20"/>
              </w:rPr>
              <w:t>电流采样数据</w:t>
            </w:r>
          </w:p>
        </w:tc>
      </w:tr>
      <w:tr>
        <w:tc>
          <w:tcPr>
            <w:tcW w:type="dxa" w:w="2160"/>
          </w:tcPr>
          <w:p>
            <w:pPr>
              <w:jc w:val="center"/>
            </w:pPr>
            <w:r>
              <w:rPr>
                <w:sz w:val="20"/>
              </w:rPr>
              <w:t>时域特征</w:t>
            </w:r>
          </w:p>
        </w:tc>
        <w:tc>
          <w:tcPr>
            <w:tcW w:type="dxa" w:w="2160"/>
          </w:tcPr>
          <w:p>
            <w:pPr>
              <w:jc w:val="center"/>
            </w:pPr>
            <w:r>
              <w:rPr>
                <w:sz w:val="20"/>
              </w:rPr>
              <w:t>有功功率均值</w:t>
            </w:r>
          </w:p>
        </w:tc>
        <w:tc>
          <w:tcPr>
            <w:tcW w:type="dxa" w:w="2160"/>
          </w:tcPr>
          <w:p>
            <w:pPr>
              <w:jc w:val="center"/>
            </w:pPr>
            <w:r>
              <w:rPr>
                <w:sz w:val="20"/>
              </w:rPr>
              <w:t>有功功率平均值</w:t>
            </w:r>
          </w:p>
        </w:tc>
        <w:tc>
          <w:tcPr>
            <w:tcW w:type="dxa" w:w="2160"/>
          </w:tcPr>
          <w:p>
            <w:pPr>
              <w:jc w:val="center"/>
            </w:pPr>
            <w:r>
              <w:rPr>
                <w:sz w:val="20"/>
              </w:rPr>
              <w:t>功率数据</w:t>
            </w:r>
          </w:p>
        </w:tc>
      </w:tr>
      <w:tr>
        <w:tc>
          <w:tcPr>
            <w:tcW w:type="dxa" w:w="2160"/>
          </w:tcPr>
          <w:p>
            <w:pPr>
              <w:jc w:val="center"/>
            </w:pPr>
            <w:r>
              <w:rPr>
                <w:sz w:val="20"/>
              </w:rPr>
              <w:t>时域特征</w:t>
            </w:r>
          </w:p>
        </w:tc>
        <w:tc>
          <w:tcPr>
            <w:tcW w:type="dxa" w:w="2160"/>
          </w:tcPr>
          <w:p>
            <w:pPr>
              <w:jc w:val="center"/>
            </w:pPr>
            <w:r>
              <w:rPr>
                <w:sz w:val="20"/>
              </w:rPr>
              <w:t>功率因数均值</w:t>
            </w:r>
          </w:p>
        </w:tc>
        <w:tc>
          <w:tcPr>
            <w:tcW w:type="dxa" w:w="2160"/>
          </w:tcPr>
          <w:p>
            <w:pPr>
              <w:jc w:val="center"/>
            </w:pPr>
            <w:r>
              <w:rPr>
                <w:sz w:val="20"/>
              </w:rPr>
              <w:t>功率因数平均值</w:t>
            </w:r>
          </w:p>
        </w:tc>
        <w:tc>
          <w:tcPr>
            <w:tcW w:type="dxa" w:w="2160"/>
          </w:tcPr>
          <w:p>
            <w:pPr>
              <w:jc w:val="center"/>
            </w:pPr>
            <w:r>
              <w:rPr>
                <w:sz w:val="20"/>
              </w:rPr>
              <w:t>功率因数数据</w:t>
            </w:r>
          </w:p>
        </w:tc>
      </w:tr>
      <w:tr>
        <w:tc>
          <w:tcPr>
            <w:tcW w:type="dxa" w:w="2160"/>
          </w:tcPr>
          <w:p>
            <w:pPr>
              <w:jc w:val="center"/>
            </w:pPr>
            <w:r>
              <w:rPr>
                <w:sz w:val="20"/>
              </w:rPr>
              <w:t>时域特征</w:t>
            </w:r>
          </w:p>
        </w:tc>
        <w:tc>
          <w:tcPr>
            <w:tcW w:type="dxa" w:w="2160"/>
          </w:tcPr>
          <w:p>
            <w:pPr>
              <w:jc w:val="center"/>
            </w:pPr>
            <w:r>
              <w:rPr>
                <w:sz w:val="20"/>
              </w:rPr>
              <w:t>电池电压</w:t>
            </w:r>
          </w:p>
        </w:tc>
        <w:tc>
          <w:tcPr>
            <w:tcW w:type="dxa" w:w="2160"/>
          </w:tcPr>
          <w:p>
            <w:pPr>
              <w:jc w:val="center"/>
            </w:pPr>
            <w:r>
              <w:rPr>
                <w:sz w:val="20"/>
              </w:rPr>
              <w:t>时钟电池电压</w:t>
            </w:r>
          </w:p>
        </w:tc>
        <w:tc>
          <w:tcPr>
            <w:tcW w:type="dxa" w:w="2160"/>
          </w:tcPr>
          <w:p>
            <w:pPr>
              <w:jc w:val="center"/>
            </w:pPr>
            <w:r>
              <w:rPr>
                <w:sz w:val="20"/>
              </w:rPr>
              <w:t>状态数据</w:t>
            </w:r>
          </w:p>
        </w:tc>
      </w:tr>
      <w:tr>
        <w:tc>
          <w:tcPr>
            <w:tcW w:type="dxa" w:w="2160"/>
          </w:tcPr>
          <w:p>
            <w:pPr>
              <w:jc w:val="center"/>
            </w:pPr>
            <w:r>
              <w:rPr>
                <w:sz w:val="20"/>
              </w:rPr>
              <w:t>时域特征</w:t>
            </w:r>
          </w:p>
        </w:tc>
        <w:tc>
          <w:tcPr>
            <w:tcW w:type="dxa" w:w="2160"/>
          </w:tcPr>
          <w:p>
            <w:pPr>
              <w:jc w:val="center"/>
            </w:pPr>
            <w:r>
              <w:rPr>
                <w:sz w:val="20"/>
              </w:rPr>
              <w:t>时钟偏差</w:t>
            </w:r>
          </w:p>
        </w:tc>
        <w:tc>
          <w:tcPr>
            <w:tcW w:type="dxa" w:w="2160"/>
          </w:tcPr>
          <w:p>
            <w:pPr>
              <w:jc w:val="center"/>
            </w:pPr>
            <w:r>
              <w:rPr>
                <w:sz w:val="20"/>
              </w:rPr>
              <w:t>时钟与标准时间偏差</w:t>
            </w:r>
          </w:p>
        </w:tc>
        <w:tc>
          <w:tcPr>
            <w:tcW w:type="dxa" w:w="2160"/>
          </w:tcPr>
          <w:p>
            <w:pPr>
              <w:jc w:val="center"/>
            </w:pPr>
            <w:r>
              <w:rPr>
                <w:sz w:val="20"/>
              </w:rPr>
              <w:t>状态数据</w:t>
            </w:r>
          </w:p>
        </w:tc>
      </w:tr>
      <w:tr>
        <w:tc>
          <w:tcPr>
            <w:tcW w:type="dxa" w:w="2160"/>
          </w:tcPr>
          <w:p>
            <w:pPr>
              <w:jc w:val="center"/>
            </w:pPr>
            <w:r>
              <w:rPr>
                <w:sz w:val="20"/>
              </w:rPr>
              <w:t>时域特征</w:t>
            </w:r>
          </w:p>
        </w:tc>
        <w:tc>
          <w:tcPr>
            <w:tcW w:type="dxa" w:w="2160"/>
          </w:tcPr>
          <w:p>
            <w:pPr>
              <w:jc w:val="center"/>
            </w:pPr>
            <w:r>
              <w:rPr>
                <w:sz w:val="20"/>
              </w:rPr>
              <w:t>通信成功率</w:t>
            </w:r>
          </w:p>
        </w:tc>
        <w:tc>
          <w:tcPr>
            <w:tcW w:type="dxa" w:w="2160"/>
          </w:tcPr>
          <w:p>
            <w:pPr>
              <w:jc w:val="center"/>
            </w:pPr>
            <w:r>
              <w:rPr>
                <w:sz w:val="20"/>
              </w:rPr>
              <w:t>通信成功次数/总次数</w:t>
            </w:r>
          </w:p>
        </w:tc>
        <w:tc>
          <w:tcPr>
            <w:tcW w:type="dxa" w:w="2160"/>
          </w:tcPr>
          <w:p>
            <w:pPr>
              <w:jc w:val="center"/>
            </w:pPr>
            <w:r>
              <w:rPr>
                <w:sz w:val="20"/>
              </w:rPr>
              <w:t>通信数据</w:t>
            </w:r>
          </w:p>
        </w:tc>
      </w:tr>
      <w:tr>
        <w:tc>
          <w:tcPr>
            <w:tcW w:type="dxa" w:w="2160"/>
          </w:tcPr>
          <w:p>
            <w:pPr>
              <w:jc w:val="center"/>
            </w:pPr>
            <w:r>
              <w:rPr>
                <w:sz w:val="20"/>
              </w:rPr>
              <w:t>频域特征</w:t>
            </w:r>
          </w:p>
        </w:tc>
        <w:tc>
          <w:tcPr>
            <w:tcW w:type="dxa" w:w="2160"/>
          </w:tcPr>
          <w:p>
            <w:pPr>
              <w:jc w:val="center"/>
            </w:pPr>
            <w:r>
              <w:rPr>
                <w:sz w:val="20"/>
              </w:rPr>
              <w:t>电压THD</w:t>
            </w:r>
          </w:p>
        </w:tc>
        <w:tc>
          <w:tcPr>
            <w:tcW w:type="dxa" w:w="2160"/>
          </w:tcPr>
          <w:p>
            <w:pPr>
              <w:jc w:val="center"/>
            </w:pPr>
            <w:r>
              <w:rPr>
                <w:sz w:val="20"/>
              </w:rPr>
              <w:t>电压总谐波失真</w:t>
            </w:r>
          </w:p>
        </w:tc>
        <w:tc>
          <w:tcPr>
            <w:tcW w:type="dxa" w:w="2160"/>
          </w:tcPr>
          <w:p>
            <w:pPr>
              <w:jc w:val="center"/>
            </w:pPr>
            <w:r>
              <w:rPr>
                <w:sz w:val="20"/>
              </w:rPr>
              <w:t>谐波数据</w:t>
            </w:r>
          </w:p>
        </w:tc>
      </w:tr>
      <w:tr>
        <w:tc>
          <w:tcPr>
            <w:tcW w:type="dxa" w:w="2160"/>
          </w:tcPr>
          <w:p>
            <w:pPr>
              <w:jc w:val="center"/>
            </w:pPr>
            <w:r>
              <w:rPr>
                <w:sz w:val="20"/>
              </w:rPr>
              <w:t>频域特征</w:t>
            </w:r>
          </w:p>
        </w:tc>
        <w:tc>
          <w:tcPr>
            <w:tcW w:type="dxa" w:w="2160"/>
          </w:tcPr>
          <w:p>
            <w:pPr>
              <w:jc w:val="center"/>
            </w:pPr>
            <w:r>
              <w:rPr>
                <w:sz w:val="20"/>
              </w:rPr>
              <w:t>3次谐波含量</w:t>
            </w:r>
          </w:p>
        </w:tc>
        <w:tc>
          <w:tcPr>
            <w:tcW w:type="dxa" w:w="2160"/>
          </w:tcPr>
          <w:p>
            <w:pPr>
              <w:jc w:val="center"/>
            </w:pPr>
            <w:r>
              <w:rPr>
                <w:sz w:val="20"/>
              </w:rPr>
              <w:t>3次谐波占比</w:t>
            </w:r>
          </w:p>
        </w:tc>
        <w:tc>
          <w:tcPr>
            <w:tcW w:type="dxa" w:w="2160"/>
          </w:tcPr>
          <w:p>
            <w:pPr>
              <w:jc w:val="center"/>
            </w:pPr>
            <w:r>
              <w:rPr>
                <w:sz w:val="20"/>
              </w:rPr>
              <w:t>谐波数据</w:t>
            </w:r>
          </w:p>
        </w:tc>
      </w:tr>
      <w:tr>
        <w:tc>
          <w:tcPr>
            <w:tcW w:type="dxa" w:w="2160"/>
          </w:tcPr>
          <w:p>
            <w:pPr>
              <w:jc w:val="center"/>
            </w:pPr>
            <w:r>
              <w:rPr>
                <w:sz w:val="20"/>
              </w:rPr>
              <w:t>频域特征</w:t>
            </w:r>
          </w:p>
        </w:tc>
        <w:tc>
          <w:tcPr>
            <w:tcW w:type="dxa" w:w="2160"/>
          </w:tcPr>
          <w:p>
            <w:pPr>
              <w:jc w:val="center"/>
            </w:pPr>
            <w:r>
              <w:rPr>
                <w:sz w:val="20"/>
              </w:rPr>
              <w:t>5次谐波含量</w:t>
            </w:r>
          </w:p>
        </w:tc>
        <w:tc>
          <w:tcPr>
            <w:tcW w:type="dxa" w:w="2160"/>
          </w:tcPr>
          <w:p>
            <w:pPr>
              <w:jc w:val="center"/>
            </w:pPr>
            <w:r>
              <w:rPr>
                <w:sz w:val="20"/>
              </w:rPr>
              <w:t>5次谐波占比</w:t>
            </w:r>
          </w:p>
        </w:tc>
        <w:tc>
          <w:tcPr>
            <w:tcW w:type="dxa" w:w="2160"/>
          </w:tcPr>
          <w:p>
            <w:pPr>
              <w:jc w:val="center"/>
            </w:pPr>
            <w:r>
              <w:rPr>
                <w:sz w:val="20"/>
              </w:rPr>
              <w:t>谐波数据</w:t>
            </w:r>
          </w:p>
        </w:tc>
      </w:tr>
      <w:tr>
        <w:tc>
          <w:tcPr>
            <w:tcW w:type="dxa" w:w="2160"/>
          </w:tcPr>
          <w:p>
            <w:pPr>
              <w:jc w:val="center"/>
            </w:pPr>
            <w:r>
              <w:rPr>
                <w:sz w:val="20"/>
              </w:rPr>
              <w:t>时频域特征</w:t>
            </w:r>
          </w:p>
        </w:tc>
        <w:tc>
          <w:tcPr>
            <w:tcW w:type="dxa" w:w="2160"/>
          </w:tcPr>
          <w:p>
            <w:pPr>
              <w:jc w:val="center"/>
            </w:pPr>
            <w:r>
              <w:rPr>
                <w:sz w:val="20"/>
              </w:rPr>
              <w:t>小波细节系数</w:t>
            </w:r>
          </w:p>
        </w:tc>
        <w:tc>
          <w:tcPr>
            <w:tcW w:type="dxa" w:w="2160"/>
          </w:tcPr>
          <w:p>
            <w:pPr>
              <w:jc w:val="center"/>
            </w:pPr>
            <w:r>
              <w:rPr>
                <w:sz w:val="20"/>
              </w:rPr>
              <w:t>高频分量特征</w:t>
            </w:r>
          </w:p>
        </w:tc>
        <w:tc>
          <w:tcPr>
            <w:tcW w:type="dxa" w:w="2160"/>
          </w:tcPr>
          <w:p>
            <w:pPr>
              <w:jc w:val="center"/>
            </w:pPr>
            <w:r>
              <w:rPr>
                <w:sz w:val="20"/>
              </w:rPr>
              <w:t>电压/电流采样数据</w:t>
            </w:r>
          </w:p>
        </w:tc>
      </w:tr>
      <w:tr>
        <w:tc>
          <w:tcPr>
            <w:tcW w:type="dxa" w:w="2160"/>
          </w:tcPr>
          <w:p>
            <w:pPr>
              <w:jc w:val="center"/>
            </w:pPr>
            <w:r>
              <w:rPr>
                <w:sz w:val="20"/>
              </w:rPr>
              <w:t>统计特征</w:t>
            </w:r>
          </w:p>
        </w:tc>
        <w:tc>
          <w:tcPr>
            <w:tcW w:type="dxa" w:w="2160"/>
          </w:tcPr>
          <w:p>
            <w:pPr>
              <w:jc w:val="center"/>
            </w:pPr>
            <w:r>
              <w:rPr>
                <w:sz w:val="20"/>
              </w:rPr>
              <w:t>偏度</w:t>
            </w:r>
          </w:p>
        </w:tc>
        <w:tc>
          <w:tcPr>
            <w:tcW w:type="dxa" w:w="2160"/>
          </w:tcPr>
          <w:p>
            <w:pPr>
              <w:jc w:val="center"/>
            </w:pPr>
            <w:r>
              <w:rPr>
                <w:sz w:val="20"/>
              </w:rPr>
              <w:t>数据分布偏斜程度</w:t>
            </w:r>
          </w:p>
        </w:tc>
        <w:tc>
          <w:tcPr>
            <w:tcW w:type="dxa" w:w="2160"/>
          </w:tcPr>
          <w:p>
            <w:pPr>
              <w:jc w:val="center"/>
            </w:pPr>
            <w:r>
              <w:rPr>
                <w:sz w:val="20"/>
              </w:rPr>
              <w:t>多源数据</w:t>
            </w:r>
          </w:p>
        </w:tc>
      </w:tr>
      <w:tr>
        <w:tc>
          <w:tcPr>
            <w:tcW w:type="dxa" w:w="2160"/>
          </w:tcPr>
          <w:p>
            <w:pPr>
              <w:jc w:val="center"/>
            </w:pPr>
            <w:r>
              <w:rPr>
                <w:sz w:val="20"/>
              </w:rPr>
              <w:t>统计特征</w:t>
            </w:r>
          </w:p>
        </w:tc>
        <w:tc>
          <w:tcPr>
            <w:tcW w:type="dxa" w:w="2160"/>
          </w:tcPr>
          <w:p>
            <w:pPr>
              <w:jc w:val="center"/>
            </w:pPr>
            <w:r>
              <w:rPr>
                <w:sz w:val="20"/>
              </w:rPr>
              <w:t>峰度</w:t>
            </w:r>
          </w:p>
        </w:tc>
        <w:tc>
          <w:tcPr>
            <w:tcW w:type="dxa" w:w="2160"/>
          </w:tcPr>
          <w:p>
            <w:pPr>
              <w:jc w:val="center"/>
            </w:pPr>
            <w:r>
              <w:rPr>
                <w:sz w:val="20"/>
              </w:rPr>
              <w:t>数据分布尖锐程度</w:t>
            </w:r>
          </w:p>
        </w:tc>
        <w:tc>
          <w:tcPr>
            <w:tcW w:type="dxa" w:w="2160"/>
          </w:tcPr>
          <w:p>
            <w:pPr>
              <w:jc w:val="center"/>
            </w:pPr>
            <w:r>
              <w:rPr>
                <w:sz w:val="20"/>
              </w:rPr>
              <w:t>多源数据</w:t>
            </w:r>
          </w:p>
        </w:tc>
      </w:tr>
    </w:tbl>
    <w:p/>
    <w:p/>
    <w:p>
      <w:pPr>
        <w:pStyle w:val="Heading3"/>
      </w:pPr>
      <w:r>
        <w:rPr>
          <w:rFonts w:ascii="黑体" w:hAnsi="黑体" w:eastAsia="黑体"/>
          <w:b/>
          <w:sz w:val="28"/>
        </w:rPr>
        <w:t>3.1.4 高维特征矩阵的数学表示与构建流程</w:t>
      </w:r>
    </w:p>
    <w:p/>
    <w:p>
      <w:pPr>
        <w:spacing w:line="360" w:lineRule="auto"/>
        <w:ind w:firstLine="432"/>
      </w:pPr>
      <w:r>
        <w:rPr>
          <w:rFonts w:ascii="宋体" w:hAnsi="宋体" w:eastAsia="宋体"/>
          <w:sz w:val="24"/>
        </w:rPr>
        <w:t>设样本数为 $N$，特征数为 $d$，则高维特征矩阵表示为：</w:t>
      </w:r>
    </w:p>
    <w:p/>
    <w:p>
      <w:pPr>
        <w:spacing w:line="360" w:lineRule="auto"/>
        <w:ind w:firstLine="432"/>
      </w:pPr>
      <w:r>
        <w:rPr>
          <w:rFonts w:ascii="宋体" w:hAnsi="宋体" w:eastAsia="宋体"/>
          <w:sz w:val="24"/>
        </w:rPr>
        <w:t>$$\mathbf{X} = \begin{bmatrix}</w:t>
      </w:r>
    </w:p>
    <w:p>
      <w:pPr>
        <w:spacing w:line="360" w:lineRule="auto"/>
        <w:ind w:firstLine="432"/>
      </w:pPr>
      <w:r>
        <w:rPr>
          <w:rFonts w:ascii="宋体" w:hAnsi="宋体" w:eastAsia="宋体"/>
          <w:sz w:val="24"/>
        </w:rPr>
        <w:t>x_{11} &amp; x_{12} &amp; \dots &amp; x_{1d} \\</w:t>
      </w:r>
    </w:p>
    <w:p>
      <w:pPr>
        <w:spacing w:line="360" w:lineRule="auto"/>
        <w:ind w:firstLine="432"/>
      </w:pPr>
      <w:r>
        <w:rPr>
          <w:rFonts w:ascii="宋体" w:hAnsi="宋体" w:eastAsia="宋体"/>
          <w:sz w:val="24"/>
        </w:rPr>
        <w:t>x_{21} &amp; x_{22} &amp; \dots &amp; x_{2d} \\</w:t>
      </w:r>
    </w:p>
    <w:p>
      <w:pPr>
        <w:spacing w:line="360" w:lineRule="auto"/>
        <w:ind w:firstLine="432"/>
      </w:pPr>
      <w:r>
        <w:rPr>
          <w:rFonts w:ascii="宋体" w:hAnsi="宋体" w:eastAsia="宋体"/>
          <w:sz w:val="24"/>
        </w:rPr>
        <w:t>\vdots &amp; \vdots &amp; \ddots &amp; \vdots \\</w:t>
      </w:r>
    </w:p>
    <w:p>
      <w:pPr>
        <w:spacing w:line="360" w:lineRule="auto"/>
        <w:ind w:firstLine="432"/>
      </w:pPr>
      <w:r>
        <w:rPr>
          <w:rFonts w:ascii="宋体" w:hAnsi="宋体" w:eastAsia="宋体"/>
          <w:sz w:val="24"/>
        </w:rPr>
        <w:t>x_{N1} &amp; x_{N2} &amp; \dots &amp; x_{Nd}</w:t>
      </w:r>
    </w:p>
    <w:p>
      <w:pPr>
        <w:spacing w:line="360" w:lineRule="auto"/>
        <w:ind w:firstLine="432"/>
      </w:pPr>
      <w:r>
        <w:rPr>
          <w:rFonts w:ascii="宋体" w:hAnsi="宋体" w:eastAsia="宋体"/>
          <w:sz w:val="24"/>
        </w:rPr>
        <w:t>\end{bmatrix}$$</w:t>
      </w:r>
    </w:p>
    <w:p/>
    <w:p>
      <w:pPr>
        <w:spacing w:line="360" w:lineRule="auto"/>
        <w:ind w:firstLine="432"/>
      </w:pPr>
      <w:r>
        <w:rPr>
          <w:rFonts w:ascii="宋体" w:hAnsi="宋体" w:eastAsia="宋体"/>
          <w:sz w:val="24"/>
        </w:rPr>
        <w:t>其中，$x_{ij}$ 为第 $i$ 个样本的第 $j$ 个特征值。</w:t>
      </w:r>
    </w:p>
    <w:p/>
    <w:p>
      <w:pPr>
        <w:spacing w:line="360" w:lineRule="auto"/>
        <w:ind w:firstLine="432"/>
      </w:pPr>
      <w:r>
        <w:rPr>
          <w:rFonts w:ascii="宋体" w:hAnsi="宋体" w:eastAsia="宋体"/>
          <w:sz w:val="24"/>
        </w:rPr>
        <w:t>图3-1 高维特征矩阵构建示意图</w:t>
      </w:r>
    </w:p>
    <w:p>
      <w:pPr>
        <w:shd w:fill="F2F2F2"/>
        <w:spacing w:line="240" w:lineRule="auto"/>
        <w:ind w:left="720" w:right="720"/>
      </w:pPr>
      <w:r>
        <w:rPr>
          <w:rFonts w:ascii="Consolas" w:hAnsi="Consolas" w:eastAsia="Consolas"/>
          <w:sz w:val="20"/>
        </w:rPr>
        <w:t>原始多源数据</w:t>
        <w:br/>
        <w:t>├─ 电气量数据</w:t>
        <w:br/>
        <w:t>├─ 计量数据</w:t>
        <w:br/>
        <w:t>├─ 环境数据</w:t>
        <w:br/>
        <w:t>├─ 事件记录</w:t>
        <w:br/>
        <w:t>├─ 通信数据</w:t>
        <w:br/>
        <w:t>└─ 状态数据</w:t>
        <w:br/>
        <w:t xml:space="preserve">    │</w:t>
        <w:br/>
        <w:t xml:space="preserve">    ▼</w:t>
        <w:br/>
        <w:t>数据预处理</w:t>
        <w:br/>
        <w:t>├─ 数据清洗</w:t>
        <w:br/>
        <w:t>├─ 数据插值</w:t>
        <w:br/>
        <w:t>└─ 数据标准化</w:t>
        <w:br/>
        <w:t xml:space="preserve">    │</w:t>
        <w:br/>
        <w:t xml:space="preserve">    ▼</w:t>
        <w:br/>
        <w:t>多维度特征提取</w:t>
        <w:br/>
        <w:t>├─ 时域特征提取</w:t>
        <w:br/>
        <w:t>├─ 频域特征提取</w:t>
        <w:br/>
        <w:t>├─ 时频域特征提取</w:t>
        <w:br/>
        <w:t>└─ 统计特征提取</w:t>
        <w:br/>
        <w:t xml:space="preserve">    │</w:t>
        <w:br/>
        <w:t xml:space="preserve">    ▼</w:t>
        <w:br/>
        <w:t>高维特征矩阵</w:t>
        <w:br/>
        <w:t xml:space="preserve">  ┌─────────────────────────────────┐</w:t>
        <w:br/>
        <w:t xml:space="preserve">  │ 样本1: f1, f2, f3, ..., fd      │</w:t>
        <w:br/>
        <w:t xml:space="preserve">  │ 样本2: f1, f2, f3, ..., fd      │</w:t>
        <w:br/>
        <w:t xml:space="preserve">  │ ...                             │</w:t>
        <w:br/>
        <w:t xml:space="preserve">  │ 样本N: f1, f2, f3, ..., fd      │</w:t>
        <w:br/>
        <w:t xml:space="preserve">  └─────────────────────────────────┘</w:t>
      </w:r>
    </w:p>
    <w:p/>
    <w:p>
      <w:pPr>
        <w:spacing w:line="360" w:lineRule="auto"/>
        <w:ind w:firstLine="432"/>
      </w:pPr>
      <w:r>
        <w:rPr>
          <w:rFonts w:ascii="宋体" w:hAnsi="宋体" w:eastAsia="宋体"/>
          <w:sz w:val="24"/>
        </w:rPr>
        <w:t>特征构建流程：</w:t>
      </w:r>
    </w:p>
    <w:p>
      <w:pPr>
        <w:spacing w:line="360" w:lineRule="auto"/>
        <w:ind w:left="432"/>
      </w:pPr>
      <w:r>
        <w:rPr>
          <w:rFonts w:ascii="宋体" w:hAnsi="宋体" w:eastAsia="宋体"/>
          <w:sz w:val="24"/>
        </w:rPr>
        <w:t>1. 从多源数据中提取原始时间序列</w:t>
      </w:r>
    </w:p>
    <w:p>
      <w:pPr>
        <w:spacing w:line="360" w:lineRule="auto"/>
        <w:ind w:left="432"/>
      </w:pPr>
      <w:r>
        <w:rPr>
          <w:rFonts w:ascii="宋体" w:hAnsi="宋体" w:eastAsia="宋体"/>
          <w:sz w:val="24"/>
        </w:rPr>
        <w:t>2. 对每个时间序列提取时域、频域、时频域特征</w:t>
      </w:r>
    </w:p>
    <w:p>
      <w:pPr>
        <w:spacing w:line="360" w:lineRule="auto"/>
        <w:ind w:left="432"/>
      </w:pPr>
      <w:r>
        <w:rPr>
          <w:rFonts w:ascii="宋体" w:hAnsi="宋体" w:eastAsia="宋体"/>
          <w:sz w:val="24"/>
        </w:rPr>
        <w:t>3. 组合所有特征形成高维特征向量</w:t>
      </w:r>
    </w:p>
    <w:p>
      <w:pPr>
        <w:spacing w:line="360" w:lineRule="auto"/>
        <w:ind w:left="432"/>
      </w:pPr>
      <w:r>
        <w:rPr>
          <w:rFonts w:ascii="宋体" w:hAnsi="宋体" w:eastAsia="宋体"/>
          <w:sz w:val="24"/>
        </w:rPr>
        <w:t>4. 归一化所有特征到相同尺度</w:t>
      </w:r>
    </w:p>
    <w:p>
      <w:pPr>
        <w:spacing w:line="360" w:lineRule="auto"/>
        <w:ind w:left="432"/>
      </w:pPr>
      <w:r>
        <w:rPr>
          <w:rFonts w:ascii="宋体" w:hAnsi="宋体" w:eastAsia="宋体"/>
          <w:sz w:val="24"/>
        </w:rPr>
        <w:t>5. 构建高维特征矩阵</w:t>
      </w:r>
    </w:p>
    <w:p/>
    <w:p>
      <w:pPr>
        <w:pStyle w:val="Heading2"/>
      </w:pPr>
      <w:r>
        <w:rPr>
          <w:rFonts w:ascii="黑体" w:hAnsi="黑体" w:eastAsia="黑体"/>
          <w:b/>
          <w:sz w:val="32"/>
        </w:rPr>
        <w:t>3.2 关键特征的低维流形提取与映射</w:t>
      </w:r>
    </w:p>
    <w:p/>
    <w:p>
      <w:pPr>
        <w:pStyle w:val="Heading3"/>
      </w:pPr>
      <w:r>
        <w:rPr>
          <w:rFonts w:ascii="黑体" w:hAnsi="黑体" w:eastAsia="黑体"/>
          <w:b/>
          <w:sz w:val="28"/>
        </w:rPr>
        <w:t>3.2.1 高维特征矩阵的冗余性与维数灾难问题</w:t>
      </w:r>
    </w:p>
    <w:p/>
    <w:p>
      <w:pPr>
        <w:spacing w:line="360" w:lineRule="auto"/>
        <w:ind w:firstLine="432"/>
      </w:pPr>
      <w:r>
        <w:rPr>
          <w:rFonts w:ascii="宋体" w:hAnsi="宋体" w:eastAsia="宋体"/>
          <w:sz w:val="24"/>
        </w:rPr>
        <w:t>高维特征矩阵存在两个主要问题：</w:t>
      </w:r>
    </w:p>
    <w:p/>
    <w:p>
      <w:pPr>
        <w:spacing w:line="360" w:lineRule="auto"/>
        <w:ind w:left="432"/>
      </w:pPr>
      <w:r>
        <w:rPr>
          <w:rFonts w:ascii="宋体" w:hAnsi="宋体" w:eastAsia="宋体"/>
          <w:sz w:val="24"/>
        </w:rPr>
        <w:t xml:space="preserve">    **冗余性问题：** 许多特征之间存在相关性，包含重复信息。例如，电压均值和电压有效值高度相关。</w:t>
      </w:r>
    </w:p>
    <w:p/>
    <w:p>
      <w:pPr>
        <w:spacing w:line="360" w:lineRule="auto"/>
        <w:ind w:left="432"/>
      </w:pPr>
      <w:r>
        <w:rPr>
          <w:rFonts w:ascii="宋体" w:hAnsi="宋体" w:eastAsia="宋体"/>
          <w:sz w:val="24"/>
        </w:rPr>
        <w:t xml:space="preserve">    **维数灾难问题：** 随着维度增加，数据变得稀疏，机器学习算法性能下降，计算复杂度指数增加。</w:t>
      </w:r>
    </w:p>
    <w:p/>
    <w:p>
      <w:pPr>
        <w:spacing w:line="360" w:lineRule="auto"/>
        <w:ind w:firstLine="432"/>
      </w:pPr>
      <w:r>
        <w:rPr>
          <w:rFonts w:ascii="宋体" w:hAnsi="宋体" w:eastAsia="宋体"/>
          <w:sz w:val="24"/>
        </w:rPr>
        <w:t>例如，在100维空间中，需要的样本数是10维空间的10^10倍。</w:t>
      </w:r>
    </w:p>
    <w:p/>
    <w:p>
      <w:pPr>
        <w:spacing w:line="360" w:lineRule="auto"/>
        <w:ind w:firstLine="432"/>
      </w:pPr>
      <w:r>
        <w:rPr>
          <w:rFonts w:ascii="宋体" w:hAnsi="宋体" w:eastAsia="宋体"/>
          <w:sz w:val="24"/>
        </w:rPr>
        <w:t>因此，需要进行降维，提取关键特征。</w:t>
      </w:r>
    </w:p>
    <w:p/>
    <w:p>
      <w:pPr>
        <w:pStyle w:val="Heading3"/>
      </w:pPr>
      <w:r>
        <w:rPr>
          <w:rFonts w:ascii="黑体" w:hAnsi="黑体" w:eastAsia="黑体"/>
          <w:b/>
          <w:sz w:val="28"/>
        </w:rPr>
        <w:t>3.2.2 主流降维与流形学习算法比选</w:t>
      </w:r>
    </w:p>
    <w:p/>
    <w:p>
      <w:pPr>
        <w:spacing w:line="360" w:lineRule="auto"/>
        <w:ind w:left="432"/>
      </w:pPr>
      <w:r>
        <w:rPr>
          <w:rFonts w:ascii="宋体" w:hAnsi="宋体" w:eastAsia="宋体"/>
          <w:sz w:val="24"/>
        </w:rPr>
        <w:t xml:space="preserve">    **主成分分析（PCA）：**</w:t>
      </w:r>
    </w:p>
    <w:p>
      <w:pPr>
        <w:spacing w:line="360" w:lineRule="auto"/>
        <w:ind w:left="432"/>
      </w:pPr>
      <w:r>
        <w:rPr>
          <w:rFonts w:ascii="宋体" w:hAnsi="宋体" w:eastAsia="宋体"/>
          <w:sz w:val="24"/>
        </w:rPr>
        <w:t xml:space="preserve">    - 原理：寻找方差最大的方向，将数据投影到低维空间</w:t>
      </w:r>
    </w:p>
    <w:p>
      <w:pPr>
        <w:spacing w:line="360" w:lineRule="auto"/>
        <w:ind w:left="432"/>
      </w:pPr>
      <w:r>
        <w:rPr>
          <w:rFonts w:ascii="宋体" w:hAnsi="宋体" w:eastAsia="宋体"/>
          <w:sz w:val="24"/>
        </w:rPr>
        <w:t xml:space="preserve">    - 优点：计算简单，可解释性强</w:t>
      </w:r>
    </w:p>
    <w:p>
      <w:pPr>
        <w:spacing w:line="360" w:lineRule="auto"/>
        <w:ind w:left="432"/>
      </w:pPr>
      <w:r>
        <w:rPr>
          <w:rFonts w:ascii="宋体" w:hAnsi="宋体" w:eastAsia="宋体"/>
          <w:sz w:val="24"/>
        </w:rPr>
        <w:t xml:space="preserve">    - 缺点：假设数据是线性的，对非线性数据效果差</w:t>
      </w:r>
    </w:p>
    <w:p/>
    <w:p>
      <w:pPr>
        <w:spacing w:line="360" w:lineRule="auto"/>
        <w:ind w:left="432"/>
      </w:pPr>
      <w:r>
        <w:rPr>
          <w:rFonts w:ascii="宋体" w:hAnsi="宋体" w:eastAsia="宋体"/>
          <w:sz w:val="24"/>
        </w:rPr>
        <w:t xml:space="preserve">    **t-分布随机邻域嵌入（t-SNE）：**</w:t>
      </w:r>
    </w:p>
    <w:p>
      <w:pPr>
        <w:spacing w:line="360" w:lineRule="auto"/>
        <w:ind w:left="432"/>
      </w:pPr>
      <w:r>
        <w:rPr>
          <w:rFonts w:ascii="宋体" w:hAnsi="宋体" w:eastAsia="宋体"/>
          <w:sz w:val="24"/>
        </w:rPr>
        <w:t xml:space="preserve">    - 原理：保持数据点之间的相似性，将高维数据映射到低维空间</w:t>
      </w:r>
    </w:p>
    <w:p>
      <w:pPr>
        <w:spacing w:line="360" w:lineRule="auto"/>
        <w:ind w:left="432"/>
      </w:pPr>
      <w:r>
        <w:rPr>
          <w:rFonts w:ascii="宋体" w:hAnsi="宋体" w:eastAsia="宋体"/>
          <w:sz w:val="24"/>
        </w:rPr>
        <w:t xml:space="preserve">    - 优点：能够保持数据的局部结构，可视化效果好</w:t>
      </w:r>
    </w:p>
    <w:p>
      <w:pPr>
        <w:spacing w:line="360" w:lineRule="auto"/>
        <w:ind w:left="432"/>
      </w:pPr>
      <w:r>
        <w:rPr>
          <w:rFonts w:ascii="宋体" w:hAnsi="宋体" w:eastAsia="宋体"/>
          <w:sz w:val="24"/>
        </w:rPr>
        <w:t xml:space="preserve">    - 缺点：计算复杂度高，不适合大规模数据</w:t>
      </w:r>
    </w:p>
    <w:p/>
    <w:p>
      <w:pPr>
        <w:spacing w:line="360" w:lineRule="auto"/>
        <w:ind w:left="432"/>
      </w:pPr>
      <w:r>
        <w:rPr>
          <w:rFonts w:ascii="宋体" w:hAnsi="宋体" w:eastAsia="宋体"/>
          <w:sz w:val="24"/>
        </w:rPr>
        <w:t xml:space="preserve">    **自编码器（Autoencoder）：**</w:t>
      </w:r>
    </w:p>
    <w:p>
      <w:pPr>
        <w:spacing w:line="360" w:lineRule="auto"/>
        <w:ind w:left="432"/>
      </w:pPr>
      <w:r>
        <w:rPr>
          <w:rFonts w:ascii="宋体" w:hAnsi="宋体" w:eastAsia="宋体"/>
          <w:sz w:val="24"/>
        </w:rPr>
        <w:t xml:space="preserve">    - 原理：通过神经网络学习压缩和解压缩函数</w:t>
      </w:r>
    </w:p>
    <w:p>
      <w:pPr>
        <w:spacing w:line="360" w:lineRule="auto"/>
        <w:ind w:left="432"/>
      </w:pPr>
      <w:r>
        <w:rPr>
          <w:rFonts w:ascii="宋体" w:hAnsi="宋体" w:eastAsia="宋体"/>
          <w:sz w:val="24"/>
        </w:rPr>
        <w:t xml:space="preserve">    - 优点：能够处理非线性数据，可以无监督学习</w:t>
      </w:r>
    </w:p>
    <w:p>
      <w:pPr>
        <w:spacing w:line="360" w:lineRule="auto"/>
        <w:ind w:left="432"/>
      </w:pPr>
      <w:r>
        <w:rPr>
          <w:rFonts w:ascii="宋体" w:hAnsi="宋体" w:eastAsia="宋体"/>
          <w:sz w:val="24"/>
        </w:rPr>
        <w:t xml:space="preserve">    - 缺点：需要调参较多，可解释性差</w:t>
      </w:r>
    </w:p>
    <w:p/>
    <w:p>
      <w:pPr>
        <w:spacing w:line="360" w:lineRule="auto"/>
        <w:ind w:firstLine="432"/>
      </w:pPr>
      <w:r>
        <w:rPr>
          <w:rFonts w:ascii="宋体" w:hAnsi="宋体" w:eastAsia="宋体"/>
          <w:sz w:val="24"/>
        </w:rPr>
        <w:t>算法比选：</w:t>
      </w:r>
    </w:p>
    <w:p>
      <w:pPr>
        <w:spacing w:line="360" w:lineRule="auto"/>
        <w:ind w:left="432"/>
      </w:pPr>
      <w:r>
        <w:rPr>
          <w:rFonts w:ascii="宋体" w:hAnsi="宋体" w:eastAsia="宋体"/>
          <w:sz w:val="24"/>
        </w:rPr>
        <w:t xml:space="preserve">    - 数据可视化：优先选择t-SNE</w:t>
      </w:r>
    </w:p>
    <w:p>
      <w:pPr>
        <w:spacing w:line="360" w:lineRule="auto"/>
        <w:ind w:left="432"/>
      </w:pPr>
      <w:r>
        <w:rPr>
          <w:rFonts w:ascii="宋体" w:hAnsi="宋体" w:eastAsia="宋体"/>
          <w:sz w:val="24"/>
        </w:rPr>
        <w:t xml:space="preserve">    - 计算效率：优先选择PCA</w:t>
      </w:r>
    </w:p>
    <w:p>
      <w:pPr>
        <w:spacing w:line="360" w:lineRule="auto"/>
        <w:ind w:left="432"/>
      </w:pPr>
      <w:r>
        <w:rPr>
          <w:rFonts w:ascii="宋体" w:hAnsi="宋体" w:eastAsia="宋体"/>
          <w:sz w:val="24"/>
        </w:rPr>
        <w:t xml:space="preserve">    - 非线性数据：优先选择自编码器</w:t>
      </w:r>
    </w:p>
    <w:p>
      <w:pPr>
        <w:spacing w:line="360" w:lineRule="auto"/>
        <w:ind w:left="432"/>
      </w:pPr>
      <w:r>
        <w:rPr>
          <w:rFonts w:ascii="宋体" w:hAnsi="宋体" w:eastAsia="宋体"/>
          <w:sz w:val="24"/>
        </w:rPr>
        <w:t xml:space="preserve">    - 本课题：采用PCA+t-SNE+自编码器的组合策略</w:t>
      </w:r>
    </w:p>
    <w:p/>
    <w:p>
      <w:pPr>
        <w:pStyle w:val="Heading3"/>
      </w:pPr>
      <w:r>
        <w:rPr>
          <w:rFonts w:ascii="黑体" w:hAnsi="黑体" w:eastAsia="黑体"/>
          <w:b/>
          <w:sz w:val="28"/>
        </w:rPr>
        <w:t>3.2.3 反映运行状态本质的低维流形提取算法设计</w:t>
      </w:r>
    </w:p>
    <w:p/>
    <w:p>
      <w:pPr>
        <w:spacing w:line="360" w:lineRule="auto"/>
        <w:ind w:firstLine="432"/>
      </w:pPr>
      <w:r>
        <w:rPr>
          <w:rFonts w:ascii="宋体" w:hAnsi="宋体" w:eastAsia="宋体"/>
          <w:sz w:val="24"/>
        </w:rPr>
        <w:t>设计两阶段流形提取算法：</w:t>
      </w:r>
    </w:p>
    <w:p/>
    <w:p>
      <w:pPr>
        <w:spacing w:line="360" w:lineRule="auto"/>
        <w:ind w:left="432"/>
      </w:pPr>
      <w:r>
        <w:rPr>
          <w:rFonts w:ascii="宋体" w:hAnsi="宋体" w:eastAsia="宋体"/>
          <w:sz w:val="24"/>
        </w:rPr>
        <w:t xml:space="preserve">    **阶段一：PCA降维**</w:t>
      </w:r>
    </w:p>
    <w:p>
      <w:pPr>
        <w:spacing w:line="360" w:lineRule="auto"/>
        <w:ind w:left="432"/>
      </w:pPr>
      <w:r>
        <w:rPr>
          <w:rFonts w:ascii="宋体" w:hAnsi="宋体" w:eastAsia="宋体"/>
          <w:sz w:val="24"/>
        </w:rPr>
        <w:t xml:space="preserve">    - 输入：高维特征矩阵 $\mathbf{X} \in \mathbb{R}^{N \times d}$</w:t>
      </w:r>
    </w:p>
    <w:p>
      <w:pPr>
        <w:spacing w:line="360" w:lineRule="auto"/>
        <w:ind w:left="432"/>
      </w:pPr>
      <w:r>
        <w:rPr>
          <w:rFonts w:ascii="宋体" w:hAnsi="宋体" w:eastAsia="宋体"/>
          <w:sz w:val="24"/>
        </w:rPr>
        <w:t xml:space="preserve">    - 步骤：</w:t>
      </w:r>
    </w:p>
    <w:p>
      <w:pPr>
        <w:spacing w:line="360" w:lineRule="auto"/>
        <w:ind w:left="432"/>
      </w:pPr>
      <w:r>
        <w:rPr>
          <w:rFonts w:ascii="宋体" w:hAnsi="宋体" w:eastAsia="宋体"/>
          <w:sz w:val="24"/>
        </w:rPr>
        <w:t>1. 中心化数据：$\mathbf{X}_c = \mathbf{X} - \mathbb{E}[\mathbf{X}]$</w:t>
      </w:r>
    </w:p>
    <w:p>
      <w:pPr>
        <w:spacing w:line="360" w:lineRule="auto"/>
        <w:ind w:left="432"/>
      </w:pPr>
      <w:r>
        <w:rPr>
          <w:rFonts w:ascii="宋体" w:hAnsi="宋体" w:eastAsia="宋体"/>
          <w:sz w:val="24"/>
        </w:rPr>
        <w:t>2. 计算协方差矩阵：$\mathbf{\Sigma} = \frac{1}{N} \mathbf{X}_c^T \mathbf{X}_c$</w:t>
      </w:r>
    </w:p>
    <w:p>
      <w:pPr>
        <w:spacing w:line="360" w:lineRule="auto"/>
        <w:ind w:left="432"/>
      </w:pPr>
      <w:r>
        <w:rPr>
          <w:rFonts w:ascii="宋体" w:hAnsi="宋体" w:eastAsia="宋体"/>
          <w:sz w:val="24"/>
        </w:rPr>
        <w:t>3. 特征值分解：$\mathbf{\Sigma} \mathbf{v}_i = \lambda_i \mathbf{v}_i$</w:t>
      </w:r>
    </w:p>
    <w:p>
      <w:pPr>
        <w:spacing w:line="360" w:lineRule="auto"/>
        <w:ind w:left="432"/>
      </w:pPr>
      <w:r>
        <w:rPr>
          <w:rFonts w:ascii="宋体" w:hAnsi="宋体" w:eastAsia="宋体"/>
          <w:sz w:val="24"/>
        </w:rPr>
        <w:t>4. 选择前 $k$ 个主成分：$\mathbf{X}_{pca} = \mathbf{X}_c \mathbf{V}_k$</w:t>
      </w:r>
    </w:p>
    <w:p>
      <w:pPr>
        <w:spacing w:line="360" w:lineRule="auto"/>
        <w:ind w:left="432"/>
      </w:pPr>
      <w:r>
        <w:rPr>
          <w:rFonts w:ascii="宋体" w:hAnsi="宋体" w:eastAsia="宋体"/>
          <w:sz w:val="24"/>
        </w:rPr>
        <w:t xml:space="preserve">    - 输出：PCA降维特征 $\mathbf{X}_{pca} \in \mathbb{R}^{N \times k}$</w:t>
      </w:r>
    </w:p>
    <w:p/>
    <w:p>
      <w:pPr>
        <w:spacing w:line="360" w:lineRule="auto"/>
        <w:ind w:left="432"/>
      </w:pPr>
      <w:r>
        <w:rPr>
          <w:rFonts w:ascii="宋体" w:hAnsi="宋体" w:eastAsia="宋体"/>
          <w:sz w:val="24"/>
        </w:rPr>
        <w:t xml:space="preserve">    **阶段二：t-SNE嵌入**</w:t>
      </w:r>
    </w:p>
    <w:p>
      <w:pPr>
        <w:spacing w:line="360" w:lineRule="auto"/>
        <w:ind w:left="432"/>
      </w:pPr>
      <w:r>
        <w:rPr>
          <w:rFonts w:ascii="宋体" w:hAnsi="宋体" w:eastAsia="宋体"/>
          <w:sz w:val="24"/>
        </w:rPr>
        <w:t xml:space="preserve">    - 输入：PCA降维特征 $\mathbf{X}_{pca}$</w:t>
      </w:r>
    </w:p>
    <w:p>
      <w:pPr>
        <w:spacing w:line="360" w:lineRule="auto"/>
        <w:ind w:left="432"/>
      </w:pPr>
      <w:r>
        <w:rPr>
          <w:rFonts w:ascii="宋体" w:hAnsi="宋体" w:eastAsia="宋体"/>
          <w:sz w:val="24"/>
        </w:rPr>
        <w:t xml:space="preserve">    - 步骤：</w:t>
      </w:r>
    </w:p>
    <w:p>
      <w:pPr>
        <w:spacing w:line="360" w:lineRule="auto"/>
        <w:ind w:left="432"/>
      </w:pPr>
      <w:r>
        <w:rPr>
          <w:rFonts w:ascii="宋体" w:hAnsi="宋体" w:eastAsia="宋体"/>
          <w:sz w:val="24"/>
        </w:rPr>
        <w:t>1. 计算高维空间的相似度（高斯分布）</w:t>
      </w:r>
    </w:p>
    <w:p>
      <w:pPr>
        <w:spacing w:line="360" w:lineRule="auto"/>
        <w:ind w:left="432"/>
      </w:pPr>
      <w:r>
        <w:rPr>
          <w:rFonts w:ascii="宋体" w:hAnsi="宋体" w:eastAsia="宋体"/>
          <w:sz w:val="24"/>
        </w:rPr>
        <w:t>2. 计算低维空间的相似度（t分布）</w:t>
      </w:r>
    </w:p>
    <w:p>
      <w:pPr>
        <w:spacing w:line="360" w:lineRule="auto"/>
        <w:ind w:left="432"/>
      </w:pPr>
      <w:r>
        <w:rPr>
          <w:rFonts w:ascii="宋体" w:hAnsi="宋体" w:eastAsia="宋体"/>
          <w:sz w:val="24"/>
        </w:rPr>
        <w:t>3. 优化KL散度，找到最优嵌入</w:t>
      </w:r>
    </w:p>
    <w:p>
      <w:pPr>
        <w:spacing w:line="360" w:lineRule="auto"/>
        <w:ind w:left="432"/>
      </w:pPr>
      <w:r>
        <w:rPr>
          <w:rFonts w:ascii="宋体" w:hAnsi="宋体" w:eastAsia="宋体"/>
          <w:sz w:val="24"/>
        </w:rPr>
        <w:t xml:space="preserve">    - 输出：二维或三维可视化特征</w:t>
      </w:r>
    </w:p>
    <w:p/>
    <w:p>
      <w:pPr>
        <w:spacing w:line="360" w:lineRule="auto"/>
        <w:ind w:left="432"/>
      </w:pPr>
      <w:r>
        <w:rPr>
          <w:rFonts w:ascii="宋体" w:hAnsi="宋体" w:eastAsia="宋体"/>
          <w:sz w:val="24"/>
        </w:rPr>
        <w:t xml:space="preserve">    **阶段三：自编码器特征学习**</w:t>
      </w:r>
    </w:p>
    <w:p>
      <w:pPr>
        <w:spacing w:line="360" w:lineRule="auto"/>
        <w:ind w:left="432"/>
      </w:pPr>
      <w:r>
        <w:rPr>
          <w:rFonts w:ascii="宋体" w:hAnsi="宋体" w:eastAsia="宋体"/>
          <w:sz w:val="24"/>
        </w:rPr>
        <w:t xml:space="preserve">    - 输入：原始高维特征 $\mathbf{X}$</w:t>
      </w:r>
    </w:p>
    <w:p>
      <w:pPr>
        <w:spacing w:line="360" w:lineRule="auto"/>
        <w:ind w:left="432"/>
      </w:pPr>
      <w:r>
        <w:rPr>
          <w:rFonts w:ascii="宋体" w:hAnsi="宋体" w:eastAsia="宋体"/>
          <w:sz w:val="24"/>
        </w:rPr>
        <w:t xml:space="preserve">    - 网络结构：输入层 → 编码层 → 瓶颈层 → 解码层 → 输出层</w:t>
      </w:r>
    </w:p>
    <w:p>
      <w:pPr>
        <w:spacing w:line="360" w:lineRule="auto"/>
        <w:ind w:left="432"/>
      </w:pPr>
      <w:r>
        <w:rPr>
          <w:rFonts w:ascii="宋体" w:hAnsi="宋体" w:eastAsia="宋体"/>
          <w:sz w:val="24"/>
        </w:rPr>
        <w:t xml:space="preserve">    - 输出：瓶颈层特征作为低维表示</w:t>
      </w:r>
    </w:p>
    <w:p/>
    <w:p>
      <w:pPr>
        <w:pStyle w:val="Heading3"/>
      </w:pPr>
      <w:r>
        <w:rPr>
          <w:rFonts w:ascii="黑体" w:hAnsi="黑体" w:eastAsia="黑体"/>
          <w:b/>
          <w:sz w:val="28"/>
        </w:rPr>
        <w:t>3.2.4 低维流形与终端和表计健康状态的映射关系建立</w:t>
      </w:r>
    </w:p>
    <w:p/>
    <w:p>
      <w:pPr>
        <w:spacing w:line="360" w:lineRule="auto"/>
        <w:ind w:firstLine="432"/>
      </w:pPr>
      <w:r>
        <w:rPr>
          <w:rFonts w:ascii="宋体" w:hAnsi="宋体" w:eastAsia="宋体"/>
          <w:sz w:val="24"/>
        </w:rPr>
        <w:t>将健康状态分为四类：正常、注意、异常、严重。</w:t>
      </w:r>
    </w:p>
    <w:p/>
    <w:p>
      <w:pPr>
        <w:spacing w:line="360" w:lineRule="auto"/>
        <w:ind w:firstLine="432"/>
      </w:pPr>
      <w:r>
        <w:rPr>
          <w:rFonts w:ascii="宋体" w:hAnsi="宋体" w:eastAsia="宋体"/>
          <w:sz w:val="24"/>
        </w:rPr>
        <w:t>建立低维特征与健康状态的映射关系：</w:t>
      </w:r>
    </w:p>
    <w:p/>
    <w:p>
      <w:pPr>
        <w:spacing w:line="360" w:lineRule="auto"/>
        <w:ind w:firstLine="432"/>
      </w:pPr>
      <w:r>
        <w:rPr>
          <w:rFonts w:ascii="宋体" w:hAnsi="宋体" w:eastAsia="宋体"/>
          <w:sz w:val="24"/>
        </w:rPr>
        <w:t>图3-2 特征经t-SNE降维后在二维空间的聚类分布图</w:t>
      </w:r>
    </w:p>
    <w:p>
      <w:pPr>
        <w:shd w:fill="F2F2F2"/>
        <w:spacing w:line="240" w:lineRule="auto"/>
        <w:ind w:left="720" w:right="720"/>
      </w:pPr>
      <w:r>
        <w:rPr>
          <w:rFonts w:ascii="Consolas" w:hAnsi="Consolas" w:eastAsia="Consolas"/>
          <w:sz w:val="20"/>
        </w:rPr>
        <w:t>y轴</w:t>
        <w:br/>
        <w:t xml:space="preserve">  3 +--------------------------------------------------------+</w:t>
        <w:br/>
        <w:t xml:space="preserve">    |                                                        |</w:t>
        <w:br/>
        <w:t xml:space="preserve">    |             ●●●● 正常状态                              |</w:t>
        <w:br/>
        <w:t xml:space="preserve">  2 +         ●●●●●●●●●●●                                    |</w:t>
        <w:br/>
        <w:t xml:space="preserve">    |       ●●●●●●●●●●●●●                                    |</w:t>
        <w:br/>
        <w:t xml:space="preserve">    |     ●●●●●●●●●●●●●●●                                    |</w:t>
        <w:br/>
        <w:t xml:space="preserve">  1 +   ●●●●●●●●●●●●●●●●●                                    |</w:t>
        <w:br/>
        <w:t xml:space="preserve">    |   ●●●●●●●●●●●●●●●●●●●                                  |</w:t>
        <w:br/>
        <w:t xml:space="preserve">    |   ●●●●●●●●●●●●●●●●●●●                                  |</w:t>
        <w:br/>
        <w:t xml:space="preserve">  0 +   ●●●●●●●●●●●●●●●●●●●●●                                |</w:t>
        <w:br/>
        <w:t xml:space="preserve">    |   ●●●●●●●●●●●●●●●●●●●●●  ▲                             |</w:t>
        <w:br/>
        <w:t xml:space="preserve">    |     ●●●●●●●●●●●●●●●●●●  │                             |</w:t>
        <w:br/>
        <w:t xml:space="preserve"> -1 +       ●●●●●●●●●●●●●●●  │  注意状态                   │</w:t>
        <w:br/>
        <w:t xml:space="preserve">    |           ●●●●●●●●●●  │                             |</w:t>
        <w:br/>
        <w:t xml:space="preserve">    |               ●●●●●  │                             |</w:t>
        <w:br/>
        <w:t xml:space="preserve"> -2 +                  ▲   │                             |</w:t>
        <w:br/>
        <w:t xml:space="preserve">    |                  │   │                             |</w:t>
        <w:br/>
        <w:t xml:space="preserve">    |                  │   │                             |</w:t>
        <w:br/>
        <w:t xml:space="preserve"> -3 +                  │   │                             |</w:t>
        <w:br/>
        <w:t xml:space="preserve">    +--------------------------------------------------------+ x轴</w:t>
        <w:br/>
        <w:t xml:space="preserve">    -3  -2  -1   0   1   2   3   4   5   6   7   8   9  10  11</w:t>
        <w:br/>
        <w:t xml:space="preserve">                           │                       │</w:t>
        <w:br/>
        <w:t xml:space="preserve">                           │                       │</w:t>
        <w:br/>
        <w:t xml:space="preserve">                           │                       ▼</w:t>
        <w:br/>
        <w:t xml:space="preserve">                           │                    异常/严重状态</w:t>
        <w:br/>
        <w:t xml:space="preserve">                           │</w:t>
        <w:br/>
        <w:t xml:space="preserve">                           ▼</w:t>
        <w:br/>
        <w:t xml:space="preserve">                         注意状态</w:t>
      </w:r>
    </w:p>
    <w:p/>
    <w:p>
      <w:pPr>
        <w:spacing w:line="360" w:lineRule="auto"/>
        <w:ind w:firstLine="432"/>
      </w:pPr>
      <w:r>
        <w:rPr>
          <w:rFonts w:ascii="宋体" w:hAnsi="宋体" w:eastAsia="宋体"/>
          <w:sz w:val="24"/>
        </w:rPr>
        <w:t>从图中可以看出：</w:t>
      </w:r>
    </w:p>
    <w:p>
      <w:pPr>
        <w:spacing w:line="360" w:lineRule="auto"/>
        <w:ind w:left="432"/>
      </w:pPr>
      <w:r>
        <w:rPr>
          <w:rFonts w:ascii="宋体" w:hAnsi="宋体" w:eastAsia="宋体"/>
          <w:sz w:val="24"/>
        </w:rPr>
        <w:t>1. 正常状态样本聚在一起，分布集中</w:t>
      </w:r>
    </w:p>
    <w:p>
      <w:pPr>
        <w:spacing w:line="360" w:lineRule="auto"/>
        <w:ind w:left="432"/>
      </w:pPr>
      <w:r>
        <w:rPr>
          <w:rFonts w:ascii="宋体" w:hAnsi="宋体" w:eastAsia="宋体"/>
          <w:sz w:val="24"/>
        </w:rPr>
        <w:t>2. 注意状态样本分布在正常状态边缘</w:t>
      </w:r>
    </w:p>
    <w:p>
      <w:pPr>
        <w:spacing w:line="360" w:lineRule="auto"/>
        <w:ind w:left="432"/>
      </w:pPr>
      <w:r>
        <w:rPr>
          <w:rFonts w:ascii="宋体" w:hAnsi="宋体" w:eastAsia="宋体"/>
          <w:sz w:val="24"/>
        </w:rPr>
        <w:t>3. 异常和严重状态样本远离正常状态区域</w:t>
      </w:r>
    </w:p>
    <w:p/>
    <w:p>
      <w:pPr>
        <w:spacing w:line="360" w:lineRule="auto"/>
        <w:ind w:firstLine="432"/>
      </w:pPr>
      <w:r>
        <w:rPr>
          <w:rFonts w:ascii="宋体" w:hAnsi="宋体" w:eastAsia="宋体"/>
          <w:sz w:val="24"/>
        </w:rPr>
        <w:t>建立分类器实现健康状态映射：</w:t>
      </w:r>
    </w:p>
    <w:p>
      <w:pPr>
        <w:spacing w:line="360" w:lineRule="auto"/>
        <w:ind w:left="432"/>
      </w:pPr>
      <w:r>
        <w:rPr>
          <w:rFonts w:ascii="宋体" w:hAnsi="宋体" w:eastAsia="宋体"/>
          <w:sz w:val="24"/>
        </w:rPr>
        <w:t xml:space="preserve">    - 支持向量机（SVM）</w:t>
      </w:r>
    </w:p>
    <w:p>
      <w:pPr>
        <w:spacing w:line="360" w:lineRule="auto"/>
        <w:ind w:left="432"/>
      </w:pPr>
      <w:r>
        <w:rPr>
          <w:rFonts w:ascii="宋体" w:hAnsi="宋体" w:eastAsia="宋体"/>
          <w:sz w:val="24"/>
        </w:rPr>
        <w:t xml:space="preserve">    - 随机森林</w:t>
      </w:r>
    </w:p>
    <w:p>
      <w:pPr>
        <w:spacing w:line="360" w:lineRule="auto"/>
        <w:ind w:left="432"/>
      </w:pPr>
      <w:r>
        <w:rPr>
          <w:rFonts w:ascii="宋体" w:hAnsi="宋体" w:eastAsia="宋体"/>
          <w:sz w:val="24"/>
        </w:rPr>
        <w:t xml:space="preserve">    - K近邻（KNN）</w:t>
      </w:r>
    </w:p>
    <w:p>
      <w:pPr>
        <w:spacing w:line="360" w:lineRule="auto"/>
        <w:ind w:left="432"/>
      </w:pPr>
      <w:r>
        <w:rPr>
          <w:rFonts w:ascii="宋体" w:hAnsi="宋体" w:eastAsia="宋体"/>
          <w:sz w:val="24"/>
        </w:rPr>
        <w:t xml:space="preserve">    - 深度学习分类器</w:t>
      </w:r>
    </w:p>
    <w:p/>
    <w:p>
      <w:pPr>
        <w:pStyle w:val="Heading2"/>
      </w:pPr>
      <w:r>
        <w:rPr>
          <w:rFonts w:ascii="黑体" w:hAnsi="黑体" w:eastAsia="黑体"/>
          <w:b/>
          <w:sz w:val="32"/>
        </w:rPr>
        <w:t>3.3 深度故障特征自适应表征方法</w:t>
      </w:r>
    </w:p>
    <w:p/>
    <w:p>
      <w:pPr>
        <w:pStyle w:val="Heading3"/>
      </w:pPr>
      <w:r>
        <w:rPr>
          <w:rFonts w:ascii="黑体" w:hAnsi="黑体" w:eastAsia="黑体"/>
          <w:b/>
          <w:sz w:val="28"/>
        </w:rPr>
        <w:t>3.3.1 传统特征提取方法的局限性</w:t>
      </w:r>
    </w:p>
    <w:p/>
    <w:p>
      <w:pPr>
        <w:spacing w:line="360" w:lineRule="auto"/>
        <w:ind w:firstLine="432"/>
      </w:pPr>
      <w:r>
        <w:rPr>
          <w:rFonts w:ascii="宋体" w:hAnsi="宋体" w:eastAsia="宋体"/>
          <w:sz w:val="24"/>
        </w:rPr>
        <w:t>传统特征提取方法存在以下局限性：</w:t>
      </w:r>
    </w:p>
    <w:p>
      <w:pPr>
        <w:spacing w:line="360" w:lineRule="auto"/>
        <w:ind w:left="432"/>
      </w:pPr>
      <w:r>
        <w:rPr>
          <w:rFonts w:ascii="宋体" w:hAnsi="宋体" w:eastAsia="宋体"/>
          <w:sz w:val="24"/>
        </w:rPr>
        <w:t>1. 依赖专家经验，特征设计耗时耗力</w:t>
      </w:r>
    </w:p>
    <w:p>
      <w:pPr>
        <w:spacing w:line="360" w:lineRule="auto"/>
        <w:ind w:left="432"/>
      </w:pPr>
      <w:r>
        <w:rPr>
          <w:rFonts w:ascii="宋体" w:hAnsi="宋体" w:eastAsia="宋体"/>
          <w:sz w:val="24"/>
        </w:rPr>
        <w:t>2. 难以捕获数据中的复杂模式</w:t>
      </w:r>
    </w:p>
    <w:p>
      <w:pPr>
        <w:spacing w:line="360" w:lineRule="auto"/>
        <w:ind w:left="432"/>
      </w:pPr>
      <w:r>
        <w:rPr>
          <w:rFonts w:ascii="宋体" w:hAnsi="宋体" w:eastAsia="宋体"/>
          <w:sz w:val="24"/>
        </w:rPr>
        <w:t>3. 对新故障模式的适应性差</w:t>
      </w:r>
    </w:p>
    <w:p>
      <w:pPr>
        <w:spacing w:line="360" w:lineRule="auto"/>
        <w:ind w:left="432"/>
      </w:pPr>
      <w:r>
        <w:rPr>
          <w:rFonts w:ascii="宋体" w:hAnsi="宋体" w:eastAsia="宋体"/>
          <w:sz w:val="24"/>
        </w:rPr>
        <w:t>4. 特征优化困难</w:t>
      </w:r>
    </w:p>
    <w:p/>
    <w:p>
      <w:pPr>
        <w:pStyle w:val="Heading3"/>
      </w:pPr>
      <w:r>
        <w:rPr>
          <w:rFonts w:ascii="黑体" w:hAnsi="黑体" w:eastAsia="黑体"/>
          <w:b/>
          <w:sz w:val="28"/>
        </w:rPr>
        <w:t>3.3.2 基于深度学习的自适应特征学习框架</w:t>
      </w:r>
    </w:p>
    <w:p/>
    <w:p>
      <w:pPr>
        <w:spacing w:line="360" w:lineRule="auto"/>
        <w:ind w:left="432"/>
      </w:pPr>
      <w:r>
        <w:rPr>
          <w:rFonts w:ascii="宋体" w:hAnsi="宋体" w:eastAsia="宋体"/>
          <w:sz w:val="24"/>
        </w:rPr>
        <w:t xml:space="preserve">    **一维卷积神经网络（1D-CNN）在时序电气量特征自学习中的应用：**</w:t>
      </w:r>
    </w:p>
    <w:p/>
    <w:p>
      <w:pPr>
        <w:spacing w:line="360" w:lineRule="auto"/>
        <w:ind w:firstLine="432"/>
      </w:pPr>
      <w:r>
        <w:rPr>
          <w:rFonts w:ascii="宋体" w:hAnsi="宋体" w:eastAsia="宋体"/>
          <w:sz w:val="24"/>
        </w:rPr>
        <w:t>图3-3 一维卷积神经网络自适应特征学习框架</w:t>
      </w:r>
    </w:p>
    <w:p>
      <w:pPr>
        <w:shd w:fill="F2F2F2"/>
        <w:spacing w:line="240" w:lineRule="auto"/>
        <w:ind w:left="720" w:right="720"/>
      </w:pPr>
      <w:r>
        <w:rPr>
          <w:rFonts w:ascii="Consolas" w:hAnsi="Consolas" w:eastAsia="Consolas"/>
          <w:sz w:val="20"/>
        </w:rPr>
        <w:t>时序数据输入 (电压/电流采样)</w:t>
        <w:br/>
        <w:t xml:space="preserve">        │</w:t>
        <w:br/>
        <w:t xml:space="preserve">        ▼</w:t>
        <w:br/>
        <w:t>┌─────────────────────────────────┐</w:t>
        <w:br/>
        <w:t>│  卷积层1 (提取局部特征)         │</w:t>
        <w:br/>
        <w:t>│  卷积核: 32个, 大小: 7          │</w:t>
        <w:br/>
        <w:t>└─────────────────────────────────┘</w:t>
        <w:br/>
        <w:t xml:space="preserve">        │</w:t>
        <w:br/>
        <w:t xml:space="preserve">        ▼</w:t>
        <w:br/>
        <w:t>┌─────────────────────────────────┐</w:t>
        <w:br/>
        <w:t>│  池化层1 (降维)                 │</w:t>
        <w:br/>
        <w:t>│  最大池化, 窗口大小: 2          │</w:t>
        <w:br/>
        <w:t>└─────────────────────────────────┘</w:t>
        <w:br/>
        <w:t xml:space="preserve">        │</w:t>
        <w:br/>
        <w:t xml:space="preserve">        ▼</w:t>
        <w:br/>
        <w:t>┌─────────────────────────────────┐</w:t>
        <w:br/>
        <w:t>│  卷积层2 (提取复杂特征)         │</w:t>
        <w:br/>
        <w:t>│  卷积核: 64个, 大小: 5          │</w:t>
        <w:br/>
        <w:t>└─────────────────────────────────┘</w:t>
        <w:br/>
        <w:t xml:space="preserve">        │</w:t>
        <w:br/>
        <w:t xml:space="preserve">        ▼</w:t>
        <w:br/>
        <w:t>┌─────────────────────────────────┐</w:t>
        <w:br/>
        <w:t>│  池化层2 (降维)                 │</w:t>
        <w:br/>
        <w:t>│  最大池化, 窗口大小: 2          │</w:t>
        <w:br/>
        <w:t>└─────────────────────────────────┘</w:t>
        <w:br/>
        <w:t xml:space="preserve">        │</w:t>
        <w:br/>
        <w:t xml:space="preserve">        ▼</w:t>
        <w:br/>
        <w:t>┌─────────────────────────────────┐</w:t>
        <w:br/>
        <w:t>│  全局平均池化                   │</w:t>
        <w:br/>
        <w:t>└─────────────────────────────────┘</w:t>
        <w:br/>
        <w:t xml:space="preserve">        │</w:t>
        <w:br/>
        <w:t xml:space="preserve">        ▼</w:t>
        <w:br/>
        <w:t>┌─────────────────────────────────┐</w:t>
        <w:br/>
        <w:t>│  全连接层 (特征融合)            │</w:t>
        <w:br/>
        <w:t>│  输出: 自适应特征向量           │</w:t>
        <w:br/>
        <w:t>└─────────────────────────────────┘</w:t>
        <w:br/>
        <w:t xml:space="preserve">        │</w:t>
        <w:br/>
        <w:t xml:space="preserve">        ▼</w:t>
        <w:br/>
        <w:t>┌─────────────────────────────────┐</w:t>
        <w:br/>
        <w:t>│  分类层 (故障识别/健康评估)     │</w:t>
        <w:br/>
        <w:t>└─────────────────────────────────┘</w:t>
      </w:r>
    </w:p>
    <w:p/>
    <w:p>
      <w:pPr>
        <w:spacing w:line="360" w:lineRule="auto"/>
        <w:ind w:left="432"/>
      </w:pPr>
      <w:r>
        <w:rPr>
          <w:rFonts w:ascii="宋体" w:hAnsi="宋体" w:eastAsia="宋体"/>
          <w:sz w:val="24"/>
        </w:rPr>
        <w:t xml:space="preserve">    **图神经网络（GNN）在多源异构数据关联特征提取中的探索：**</w:t>
      </w:r>
    </w:p>
    <w:p/>
    <w:p>
      <w:pPr>
        <w:spacing w:line="360" w:lineRule="auto"/>
        <w:ind w:firstLine="432"/>
      </w:pPr>
      <w:r>
        <w:rPr>
          <w:rFonts w:ascii="宋体" w:hAnsi="宋体" w:eastAsia="宋体"/>
          <w:sz w:val="24"/>
        </w:rPr>
        <w:t>多源异构数据可以表示为图结构：</w:t>
      </w:r>
    </w:p>
    <w:p>
      <w:pPr>
        <w:spacing w:line="360" w:lineRule="auto"/>
        <w:ind w:left="432"/>
      </w:pPr>
      <w:r>
        <w:rPr>
          <w:rFonts w:ascii="宋体" w:hAnsi="宋体" w:eastAsia="宋体"/>
          <w:sz w:val="24"/>
        </w:rPr>
        <w:t xml:space="preserve">    - 节点：设备、传感器、通信链路</w:t>
      </w:r>
    </w:p>
    <w:p>
      <w:pPr>
        <w:spacing w:line="360" w:lineRule="auto"/>
        <w:ind w:left="432"/>
      </w:pPr>
      <w:r>
        <w:rPr>
          <w:rFonts w:ascii="宋体" w:hAnsi="宋体" w:eastAsia="宋体"/>
          <w:sz w:val="24"/>
        </w:rPr>
        <w:t xml:space="preserve">    - 边：设备之间的关系、数据流</w:t>
      </w:r>
    </w:p>
    <w:p/>
    <w:p>
      <w:pPr>
        <w:spacing w:line="360" w:lineRule="auto"/>
        <w:ind w:firstLine="432"/>
      </w:pPr>
      <w:r>
        <w:rPr>
          <w:rFonts w:ascii="宋体" w:hAnsi="宋体" w:eastAsia="宋体"/>
          <w:sz w:val="24"/>
        </w:rPr>
        <w:t>GNN在图结构上进行特征传播，捕获关联特征。</w:t>
      </w:r>
    </w:p>
    <w:p/>
    <w:p>
      <w:pPr>
        <w:pStyle w:val="Heading3"/>
      </w:pPr>
      <w:r>
        <w:rPr>
          <w:rFonts w:ascii="黑体" w:hAnsi="黑体" w:eastAsia="黑体"/>
          <w:b/>
          <w:sz w:val="28"/>
        </w:rPr>
        <w:t>3.3.3 端到端的故障特征自适应表征模型设计与实现</w:t>
      </w:r>
    </w:p>
    <w:p/>
    <w:p>
      <w:pPr>
        <w:spacing w:line="360" w:lineRule="auto"/>
        <w:ind w:firstLine="432"/>
      </w:pPr>
      <w:r>
        <w:rPr>
          <w:rFonts w:ascii="宋体" w:hAnsi="宋体" w:eastAsia="宋体"/>
          <w:sz w:val="24"/>
        </w:rPr>
        <w:t>设计端到端模型，将特征学习和故障识别/健康评估统一进行。</w:t>
      </w:r>
    </w:p>
    <w:p/>
    <w:p>
      <w:pPr>
        <w:spacing w:line="360" w:lineRule="auto"/>
        <w:ind w:firstLine="432"/>
      </w:pPr>
      <w:r>
        <w:rPr>
          <w:rFonts w:ascii="宋体" w:hAnsi="宋体" w:eastAsia="宋体"/>
          <w:sz w:val="24"/>
        </w:rPr>
        <w:t>模型架构：</w:t>
      </w:r>
    </w:p>
    <w:p>
      <w:pPr>
        <w:spacing w:line="360" w:lineRule="auto"/>
        <w:ind w:left="432"/>
      </w:pPr>
      <w:r>
        <w:rPr>
          <w:rFonts w:ascii="宋体" w:hAnsi="宋体" w:eastAsia="宋体"/>
          <w:sz w:val="24"/>
        </w:rPr>
        <w:t>1. **特征学习分支：** 1D-CNN + GNN</w:t>
      </w:r>
    </w:p>
    <w:p>
      <w:pPr>
        <w:spacing w:line="360" w:lineRule="auto"/>
        <w:ind w:left="432"/>
      </w:pPr>
      <w:r>
        <w:rPr>
          <w:rFonts w:ascii="宋体" w:hAnsi="宋体" w:eastAsia="宋体"/>
          <w:sz w:val="24"/>
        </w:rPr>
        <w:t>2. **特征融合：** 拼接 + 注意力机制</w:t>
      </w:r>
    </w:p>
    <w:p>
      <w:pPr>
        <w:spacing w:line="360" w:lineRule="auto"/>
        <w:ind w:left="432"/>
      </w:pPr>
      <w:r>
        <w:rPr>
          <w:rFonts w:ascii="宋体" w:hAnsi="宋体" w:eastAsia="宋体"/>
          <w:sz w:val="24"/>
        </w:rPr>
        <w:t>3. **任务分支：** 故障分类 + 健康评估</w:t>
      </w:r>
    </w:p>
    <w:p/>
    <w:p>
      <w:pPr>
        <w:spacing w:line="360" w:lineRule="auto"/>
        <w:ind w:firstLine="432"/>
      </w:pPr>
      <w:r>
        <w:rPr>
          <w:rFonts w:ascii="宋体" w:hAnsi="宋体" w:eastAsia="宋体"/>
          <w:sz w:val="24"/>
        </w:rPr>
        <w:t>损失函数：</w:t>
      </w:r>
    </w:p>
    <w:p>
      <w:pPr>
        <w:spacing w:line="360" w:lineRule="auto"/>
        <w:ind w:firstLine="432"/>
      </w:pPr>
      <w:r>
        <w:rPr>
          <w:rFonts w:ascii="宋体" w:hAnsi="宋体" w:eastAsia="宋体"/>
          <w:sz w:val="24"/>
        </w:rPr>
        <w:t>$$L = L_{classification} + \lambda L_{health}$$</w:t>
      </w:r>
    </w:p>
    <w:p/>
    <w:p>
      <w:pPr>
        <w:spacing w:line="360" w:lineRule="auto"/>
        <w:ind w:firstLine="432"/>
      </w:pPr>
      <w:r>
        <w:rPr>
          <w:rFonts w:ascii="宋体" w:hAnsi="宋体" w:eastAsia="宋体"/>
          <w:sz w:val="24"/>
        </w:rPr>
        <w:t>其中，$L_{classification}$ 为分类损失，$L_{health}$ 为健康评估损失，$\lambda$ 为平衡系数。</w:t>
      </w:r>
    </w:p>
    <w:p/>
    <w:p>
      <w:pPr>
        <w:pStyle w:val="Heading3"/>
      </w:pPr>
      <w:r>
        <w:rPr>
          <w:rFonts w:ascii="黑体" w:hAnsi="黑体" w:eastAsia="黑体"/>
          <w:b/>
          <w:sz w:val="28"/>
        </w:rPr>
        <w:t>3.3.4 模型学习到的抽象特征可视化与物理含义解释</w:t>
      </w:r>
    </w:p>
    <w:p/>
    <w:p>
      <w:pPr>
        <w:spacing w:line="360" w:lineRule="auto"/>
        <w:ind w:firstLine="432"/>
      </w:pPr>
      <w:r>
        <w:rPr>
          <w:rFonts w:ascii="宋体" w:hAnsi="宋体" w:eastAsia="宋体"/>
          <w:sz w:val="24"/>
        </w:rPr>
        <w:t>采用可视化方法理解模型学习到的特征：</w:t>
      </w:r>
    </w:p>
    <w:p/>
    <w:p>
      <w:pPr>
        <w:spacing w:line="360" w:lineRule="auto"/>
        <w:ind w:left="432"/>
      </w:pPr>
      <w:r>
        <w:rPr>
          <w:rFonts w:ascii="宋体" w:hAnsi="宋体" w:eastAsia="宋体"/>
          <w:sz w:val="24"/>
        </w:rPr>
        <w:t>1. **激活图可视化：** 可视化卷积层的激活图，查看模型关注的数据区域</w:t>
      </w:r>
    </w:p>
    <w:p>
      <w:pPr>
        <w:spacing w:line="360" w:lineRule="auto"/>
        <w:ind w:left="432"/>
      </w:pPr>
      <w:r>
        <w:rPr>
          <w:rFonts w:ascii="宋体" w:hAnsi="宋体" w:eastAsia="宋体"/>
          <w:sz w:val="24"/>
        </w:rPr>
        <w:t>2. **特征聚类：** 对学习到的特征进行聚类，查看特征的语义</w:t>
      </w:r>
    </w:p>
    <w:p>
      <w:pPr>
        <w:spacing w:line="360" w:lineRule="auto"/>
        <w:ind w:left="432"/>
      </w:pPr>
      <w:r>
        <w:rPr>
          <w:rFonts w:ascii="宋体" w:hAnsi="宋体" w:eastAsia="宋体"/>
          <w:sz w:val="24"/>
        </w:rPr>
        <w:t>3. **特征重要性：** 通过梯度分析，查看各特征对结果的贡献</w:t>
      </w:r>
    </w:p>
    <w:p/>
    <w:p>
      <w:pPr>
        <w:pStyle w:val="Heading2"/>
      </w:pPr>
      <w:r>
        <w:rPr>
          <w:rFonts w:ascii="黑体" w:hAnsi="黑体" w:eastAsia="黑体"/>
          <w:b/>
          <w:sz w:val="32"/>
        </w:rPr>
        <w:t>3.4 故障类型-特征强关联规则建立</w:t>
      </w:r>
    </w:p>
    <w:p/>
    <w:p>
      <w:pPr>
        <w:pStyle w:val="Heading3"/>
      </w:pPr>
      <w:r>
        <w:rPr>
          <w:rFonts w:ascii="黑体" w:hAnsi="黑体" w:eastAsia="黑体"/>
          <w:b/>
          <w:sz w:val="28"/>
        </w:rPr>
        <w:t>3.4.1 基于机理分析的特征与故障类型因果关联（"白盒"关联）</w:t>
      </w:r>
    </w:p>
    <w:p/>
    <w:p>
      <w:pPr>
        <w:spacing w:line="360" w:lineRule="auto"/>
        <w:ind w:firstLine="432"/>
      </w:pPr>
      <w:r>
        <w:rPr>
          <w:rFonts w:ascii="宋体" w:hAnsi="宋体" w:eastAsia="宋体"/>
          <w:sz w:val="24"/>
        </w:rPr>
        <w:t>基于第二章的故障机理分析，建立故障类型与特征的因果关联。</w:t>
      </w:r>
    </w:p>
    <w:p/>
    <w:p>
      <w:pPr>
        <w:spacing w:line="360" w:lineRule="auto"/>
        <w:ind w:firstLine="432"/>
      </w:pPr>
      <w:r>
        <w:rPr>
          <w:rFonts w:ascii="宋体" w:hAnsi="宋体" w:eastAsia="宋体"/>
          <w:sz w:val="24"/>
        </w:rPr>
        <w:t>表3-2 故障类型-机理特征映射表</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2"/>
              </w:rPr>
              <w:t>故障类型</w:t>
            </w:r>
          </w:p>
        </w:tc>
        <w:tc>
          <w:tcPr>
            <w:tcW w:type="dxa" w:w="2160"/>
          </w:tcPr>
          <w:p>
            <w:pPr>
              <w:jc w:val="center"/>
            </w:pPr>
            <w:r>
              <w:rPr>
                <w:b/>
                <w:sz w:val="22"/>
              </w:rPr>
              <w:t>关联特征</w:t>
            </w:r>
          </w:p>
        </w:tc>
        <w:tc>
          <w:tcPr>
            <w:tcW w:type="dxa" w:w="2160"/>
          </w:tcPr>
          <w:p>
            <w:pPr>
              <w:jc w:val="center"/>
            </w:pPr>
            <w:r>
              <w:rPr>
                <w:b/>
                <w:sz w:val="22"/>
              </w:rPr>
              <w:t>因果关系</w:t>
            </w:r>
          </w:p>
        </w:tc>
        <w:tc>
          <w:tcPr>
            <w:tcW w:type="dxa" w:w="2160"/>
          </w:tcPr>
          <w:p>
            <w:pPr>
              <w:jc w:val="center"/>
            </w:pPr>
            <w:r>
              <w:rPr>
                <w:b/>
                <w:sz w:val="22"/>
              </w:rPr>
              <w:t>物理意义</w:t>
            </w:r>
          </w:p>
        </w:tc>
      </w:tr>
      <w:tr>
        <w:tc>
          <w:tcPr>
            <w:tcW w:type="dxa" w:w="2160"/>
          </w:tcPr>
          <w:p>
            <w:pPr>
              <w:jc w:val="center"/>
            </w:pPr>
            <w:r>
              <w:rPr>
                <w:sz w:val="20"/>
              </w:rPr>
              <w:t>计量超差</w:t>
            </w:r>
          </w:p>
        </w:tc>
        <w:tc>
          <w:tcPr>
            <w:tcW w:type="dxa" w:w="2160"/>
          </w:tcPr>
          <w:p>
            <w:pPr>
              <w:jc w:val="center"/>
            </w:pPr>
            <w:r>
              <w:rPr>
                <w:sz w:val="20"/>
              </w:rPr>
              <w:t>计量误差、电压偏差、电流偏差</w:t>
            </w:r>
          </w:p>
        </w:tc>
        <w:tc>
          <w:tcPr>
            <w:tcW w:type="dxa" w:w="2160"/>
          </w:tcPr>
          <w:p>
            <w:pPr>
              <w:jc w:val="center"/>
            </w:pPr>
            <w:r>
              <w:rPr>
                <w:sz w:val="20"/>
              </w:rPr>
              <w:t>强因果</w:t>
            </w:r>
          </w:p>
        </w:tc>
        <w:tc>
          <w:tcPr>
            <w:tcW w:type="dxa" w:w="2160"/>
          </w:tcPr>
          <w:p>
            <w:pPr>
              <w:jc w:val="center"/>
            </w:pPr>
            <w:r>
              <w:rPr>
                <w:sz w:val="20"/>
              </w:rPr>
              <w:t>元件参数漂移导致计量误差增大</w:t>
            </w:r>
          </w:p>
        </w:tc>
      </w:tr>
      <w:tr>
        <w:tc>
          <w:tcPr>
            <w:tcW w:type="dxa" w:w="2160"/>
          </w:tcPr>
          <w:p>
            <w:pPr>
              <w:jc w:val="center"/>
            </w:pPr>
            <w:r>
              <w:rPr>
                <w:sz w:val="20"/>
              </w:rPr>
              <w:t>电源故障</w:t>
            </w:r>
          </w:p>
        </w:tc>
        <w:tc>
          <w:tcPr>
            <w:tcW w:type="dxa" w:w="2160"/>
          </w:tcPr>
          <w:p>
            <w:pPr>
              <w:jc w:val="center"/>
            </w:pPr>
            <w:r>
              <w:rPr>
                <w:sz w:val="20"/>
              </w:rPr>
              <w:t>输出电压、纹波</w:t>
            </w:r>
          </w:p>
        </w:tc>
        <w:tc>
          <w:tcPr>
            <w:tcW w:type="dxa" w:w="2160"/>
          </w:tcPr>
          <w:p>
            <w:pPr>
              <w:jc w:val="center"/>
            </w:pPr>
            <w:r>
              <w:rPr>
                <w:sz w:val="20"/>
              </w:rPr>
              <w:t>强因果</w:t>
            </w:r>
          </w:p>
        </w:tc>
        <w:tc>
          <w:tcPr>
            <w:tcW w:type="dxa" w:w="2160"/>
          </w:tcPr>
          <w:p>
            <w:pPr>
              <w:jc w:val="center"/>
            </w:pPr>
            <w:r>
              <w:rPr>
                <w:sz w:val="20"/>
              </w:rPr>
              <w:t>电容老化导致电压异常、纹波增大</w:t>
            </w:r>
          </w:p>
        </w:tc>
      </w:tr>
      <w:tr>
        <w:tc>
          <w:tcPr>
            <w:tcW w:type="dxa" w:w="2160"/>
          </w:tcPr>
          <w:p>
            <w:pPr>
              <w:jc w:val="center"/>
            </w:pPr>
            <w:r>
              <w:rPr>
                <w:sz w:val="20"/>
              </w:rPr>
              <w:t>时钟异常</w:t>
            </w:r>
          </w:p>
        </w:tc>
        <w:tc>
          <w:tcPr>
            <w:tcW w:type="dxa" w:w="2160"/>
          </w:tcPr>
          <w:p>
            <w:pPr>
              <w:jc w:val="center"/>
            </w:pPr>
            <w:r>
              <w:rPr>
                <w:sz w:val="20"/>
              </w:rPr>
              <w:t>时钟偏差、电池电压</w:t>
            </w:r>
          </w:p>
        </w:tc>
        <w:tc>
          <w:tcPr>
            <w:tcW w:type="dxa" w:w="2160"/>
          </w:tcPr>
          <w:p>
            <w:pPr>
              <w:jc w:val="center"/>
            </w:pPr>
            <w:r>
              <w:rPr>
                <w:sz w:val="20"/>
              </w:rPr>
              <w:t>强因果</w:t>
            </w:r>
          </w:p>
        </w:tc>
        <w:tc>
          <w:tcPr>
            <w:tcW w:type="dxa" w:w="2160"/>
          </w:tcPr>
          <w:p>
            <w:pPr>
              <w:jc w:val="center"/>
            </w:pPr>
            <w:r>
              <w:rPr>
                <w:sz w:val="20"/>
              </w:rPr>
              <w:t>电池欠压或晶体老化导致时钟走时不准</w:t>
            </w:r>
          </w:p>
        </w:tc>
      </w:tr>
      <w:tr>
        <w:tc>
          <w:tcPr>
            <w:tcW w:type="dxa" w:w="2160"/>
          </w:tcPr>
          <w:p>
            <w:pPr>
              <w:jc w:val="center"/>
            </w:pPr>
            <w:r>
              <w:rPr>
                <w:sz w:val="20"/>
              </w:rPr>
              <w:t>通信故障</w:t>
            </w:r>
          </w:p>
        </w:tc>
        <w:tc>
          <w:tcPr>
            <w:tcW w:type="dxa" w:w="2160"/>
          </w:tcPr>
          <w:p>
            <w:pPr>
              <w:jc w:val="center"/>
            </w:pPr>
            <w:r>
              <w:rPr>
                <w:sz w:val="20"/>
              </w:rPr>
              <w:t>通信成功率、信号强度、通信时延</w:t>
            </w:r>
          </w:p>
        </w:tc>
        <w:tc>
          <w:tcPr>
            <w:tcW w:type="dxa" w:w="2160"/>
          </w:tcPr>
          <w:p>
            <w:pPr>
              <w:jc w:val="center"/>
            </w:pPr>
            <w:r>
              <w:rPr>
                <w:sz w:val="20"/>
              </w:rPr>
              <w:t>强因果</w:t>
            </w:r>
          </w:p>
        </w:tc>
        <w:tc>
          <w:tcPr>
            <w:tcW w:type="dxa" w:w="2160"/>
          </w:tcPr>
          <w:p>
            <w:pPr>
              <w:jc w:val="center"/>
            </w:pPr>
            <w:r>
              <w:rPr>
                <w:sz w:val="20"/>
              </w:rPr>
              <w:t>信号衰减导致通信不稳定</w:t>
            </w:r>
          </w:p>
        </w:tc>
      </w:tr>
      <w:tr>
        <w:tc>
          <w:tcPr>
            <w:tcW w:type="dxa" w:w="2160"/>
          </w:tcPr>
          <w:p>
            <w:pPr>
              <w:jc w:val="center"/>
            </w:pPr>
            <w:r>
              <w:rPr>
                <w:sz w:val="20"/>
              </w:rPr>
              <w:t>存储故障</w:t>
            </w:r>
          </w:p>
        </w:tc>
        <w:tc>
          <w:tcPr>
            <w:tcW w:type="dxa" w:w="2160"/>
          </w:tcPr>
          <w:p>
            <w:pPr>
              <w:jc w:val="center"/>
            </w:pPr>
            <w:r>
              <w:rPr>
                <w:sz w:val="20"/>
              </w:rPr>
              <w:t>读写错误次数、数据完整性</w:t>
            </w:r>
          </w:p>
        </w:tc>
        <w:tc>
          <w:tcPr>
            <w:tcW w:type="dxa" w:w="2160"/>
          </w:tcPr>
          <w:p>
            <w:pPr>
              <w:jc w:val="center"/>
            </w:pPr>
            <w:r>
              <w:rPr>
                <w:sz w:val="20"/>
              </w:rPr>
              <w:t>强因果</w:t>
            </w:r>
          </w:p>
        </w:tc>
        <w:tc>
          <w:tcPr>
            <w:tcW w:type="dxa" w:w="2160"/>
          </w:tcPr>
          <w:p>
            <w:pPr>
              <w:jc w:val="center"/>
            </w:pPr>
            <w:r>
              <w:rPr>
                <w:sz w:val="20"/>
              </w:rPr>
              <w:t>存储芯片劣化导致读写错误</w:t>
            </w:r>
          </w:p>
        </w:tc>
      </w:tr>
    </w:tbl>
    <w:p/>
    <w:p/>
    <w:p>
      <w:pPr>
        <w:pStyle w:val="Heading3"/>
      </w:pPr>
      <w:r>
        <w:rPr>
          <w:rFonts w:ascii="黑体" w:hAnsi="黑体" w:eastAsia="黑体"/>
          <w:b/>
          <w:sz w:val="28"/>
        </w:rPr>
        <w:t>3.4.2 基于数据挖掘的特征与故障类型统计关联（"黑盒"关联）</w:t>
      </w:r>
    </w:p>
    <w:p/>
    <w:p>
      <w:pPr>
        <w:spacing w:line="360" w:lineRule="auto"/>
        <w:ind w:firstLine="432"/>
      </w:pPr>
      <w:r>
        <w:rPr>
          <w:rFonts w:ascii="宋体" w:hAnsi="宋体" w:eastAsia="宋体"/>
          <w:sz w:val="24"/>
        </w:rPr>
        <w:t>采用决策树和Apriori算法挖掘统计关联规则。</w:t>
      </w:r>
    </w:p>
    <w:p/>
    <w:p>
      <w:pPr>
        <w:spacing w:line="360" w:lineRule="auto"/>
        <w:ind w:left="432"/>
      </w:pPr>
      <w:r>
        <w:rPr>
          <w:rFonts w:ascii="宋体" w:hAnsi="宋体" w:eastAsia="宋体"/>
          <w:sz w:val="24"/>
        </w:rPr>
        <w:t xml:space="preserve">    **决策树规则挖掘：**</w:t>
      </w:r>
    </w:p>
    <w:p>
      <w:pPr>
        <w:spacing w:line="360" w:lineRule="auto"/>
        <w:ind w:left="432"/>
      </w:pPr>
      <w:r>
        <w:rPr>
          <w:rFonts w:ascii="宋体" w:hAnsi="宋体" w:eastAsia="宋体"/>
          <w:sz w:val="24"/>
        </w:rPr>
        <w:t xml:space="preserve">    - 输入：特征矩阵 + 故障标签</w:t>
      </w:r>
    </w:p>
    <w:p>
      <w:pPr>
        <w:spacing w:line="360" w:lineRule="auto"/>
        <w:ind w:left="432"/>
      </w:pPr>
      <w:r>
        <w:rPr>
          <w:rFonts w:ascii="宋体" w:hAnsi="宋体" w:eastAsia="宋体"/>
          <w:sz w:val="24"/>
        </w:rPr>
        <w:t xml:space="preserve">    - 算法：C4.5、CART</w:t>
      </w:r>
    </w:p>
    <w:p>
      <w:pPr>
        <w:spacing w:line="360" w:lineRule="auto"/>
        <w:ind w:left="432"/>
      </w:pPr>
      <w:r>
        <w:rPr>
          <w:rFonts w:ascii="宋体" w:hAnsi="宋体" w:eastAsia="宋体"/>
          <w:sz w:val="24"/>
        </w:rPr>
        <w:t xml:space="preserve">    - 输出：树形规则</w:t>
      </w:r>
    </w:p>
    <w:p/>
    <w:p>
      <w:pPr>
        <w:spacing w:line="360" w:lineRule="auto"/>
        <w:ind w:left="432"/>
      </w:pPr>
      <w:r>
        <w:rPr>
          <w:rFonts w:ascii="宋体" w:hAnsi="宋体" w:eastAsia="宋体"/>
          <w:sz w:val="24"/>
        </w:rPr>
        <w:t xml:space="preserve">    **Apriori关联规则挖掘：**</w:t>
      </w:r>
    </w:p>
    <w:p>
      <w:pPr>
        <w:spacing w:line="360" w:lineRule="auto"/>
        <w:ind w:left="432"/>
      </w:pPr>
      <w:r>
        <w:rPr>
          <w:rFonts w:ascii="宋体" w:hAnsi="宋体" w:eastAsia="宋体"/>
          <w:sz w:val="24"/>
        </w:rPr>
        <w:t xml:space="preserve">    - 支持度：$Support(A \rightarrow B) = P(A \cup B)$</w:t>
      </w:r>
    </w:p>
    <w:p>
      <w:pPr>
        <w:spacing w:line="360" w:lineRule="auto"/>
        <w:ind w:left="432"/>
      </w:pPr>
      <w:r>
        <w:rPr>
          <w:rFonts w:ascii="宋体" w:hAnsi="宋体" w:eastAsia="宋体"/>
          <w:sz w:val="24"/>
        </w:rPr>
        <w:t xml:space="preserve">    - 置信度：$Confidence(A \rightarrow B) = P(B\|A)$</w:t>
      </w:r>
    </w:p>
    <w:p>
      <w:pPr>
        <w:spacing w:line="360" w:lineRule="auto"/>
        <w:ind w:left="432"/>
      </w:pPr>
      <w:r>
        <w:rPr>
          <w:rFonts w:ascii="宋体" w:hAnsi="宋体" w:eastAsia="宋体"/>
          <w:sz w:val="24"/>
        </w:rPr>
        <w:t xml:space="preserve">    - 提升度：$Lift(A \rightarrow B) = \frac{P(B\|A)}{P(B)}$</w:t>
      </w:r>
    </w:p>
    <w:p/>
    <w:p>
      <w:pPr>
        <w:spacing w:line="360" w:lineRule="auto"/>
        <w:ind w:firstLine="432"/>
      </w:pPr>
      <w:r>
        <w:rPr>
          <w:rFonts w:ascii="宋体" w:hAnsi="宋体" w:eastAsia="宋体"/>
          <w:sz w:val="24"/>
        </w:rPr>
        <w:t>挖掘强关联规则的条件：</w:t>
      </w:r>
    </w:p>
    <w:p>
      <w:pPr>
        <w:spacing w:line="360" w:lineRule="auto"/>
        <w:ind w:left="432"/>
      </w:pPr>
      <w:r>
        <w:rPr>
          <w:rFonts w:ascii="宋体" w:hAnsi="宋体" w:eastAsia="宋体"/>
          <w:sz w:val="24"/>
        </w:rPr>
        <w:t xml:space="preserve">    - $Support \geq min\_support$</w:t>
      </w:r>
    </w:p>
    <w:p>
      <w:pPr>
        <w:spacing w:line="360" w:lineRule="auto"/>
        <w:ind w:left="432"/>
      </w:pPr>
      <w:r>
        <w:rPr>
          <w:rFonts w:ascii="宋体" w:hAnsi="宋体" w:eastAsia="宋体"/>
          <w:sz w:val="24"/>
        </w:rPr>
        <w:t xml:space="preserve">    - $Confidence \geq min\_confidence$</w:t>
      </w:r>
    </w:p>
    <w:p>
      <w:pPr>
        <w:spacing w:line="360" w:lineRule="auto"/>
        <w:ind w:left="432"/>
      </w:pPr>
      <w:r>
        <w:rPr>
          <w:rFonts w:ascii="宋体" w:hAnsi="宋体" w:eastAsia="宋体"/>
          <w:sz w:val="24"/>
        </w:rPr>
        <w:t xml:space="preserve">    - $Lift \geq min\_lift$</w:t>
      </w:r>
    </w:p>
    <w:p/>
    <w:p>
      <w:pPr>
        <w:spacing w:line="360" w:lineRule="auto"/>
        <w:ind w:firstLine="432"/>
      </w:pPr>
      <w:r>
        <w:rPr>
          <w:rFonts w:ascii="宋体" w:hAnsi="宋体" w:eastAsia="宋体"/>
          <w:sz w:val="24"/>
        </w:rPr>
        <w:t>图3-4 故障类型-特征关联规则网络图</w:t>
      </w:r>
    </w:p>
    <w:p>
      <w:pPr>
        <w:shd w:fill="F2F2F2"/>
        <w:spacing w:line="240" w:lineRule="auto"/>
        <w:ind w:left="720" w:right="720"/>
      </w:pPr>
      <w:r>
        <w:rPr>
          <w:rFonts w:ascii="Consolas" w:hAnsi="Consolas" w:eastAsia="Consolas"/>
          <w:sz w:val="20"/>
        </w:rPr>
        <w:t>计量超差 ○───○ 计量误差</w:t>
        <w:br/>
        <w:t xml:space="preserve">    │</w:t>
        <w:br/>
        <w:t xml:space="preserve">    │</w:t>
        <w:br/>
        <w:t>电源故障 ○───○ 输出电压</w:t>
        <w:br/>
        <w:t xml:space="preserve">    │</w:t>
        <w:br/>
        <w:t xml:space="preserve">    │</w:t>
        <w:br/>
        <w:t>时钟异常 ○───○ 时钟偏差</w:t>
        <w:br/>
        <w:t xml:space="preserve">    │</w:t>
        <w:br/>
        <w:t xml:space="preserve">    │</w:t>
        <w:br/>
        <w:t>通信故障 ○───○ 通信成功率</w:t>
        <w:br/>
        <w:t xml:space="preserve">    │</w:t>
        <w:br/>
        <w:t xml:space="preserve">    │</w:t>
        <w:br/>
        <w:t>存储故障 ○───○ 读写错误次数</w:t>
      </w:r>
    </w:p>
    <w:p/>
    <w:p>
      <w:pPr>
        <w:pStyle w:val="Heading3"/>
      </w:pPr>
      <w:r>
        <w:rPr>
          <w:rFonts w:ascii="黑体" w:hAnsi="黑体" w:eastAsia="黑体"/>
          <w:b/>
          <w:sz w:val="28"/>
        </w:rPr>
        <w:t>3.4.3 机理与数据融合的关联规则验证与融合</w:t>
      </w:r>
    </w:p>
    <w:p/>
    <w:p>
      <w:pPr>
        <w:spacing w:line="360" w:lineRule="auto"/>
        <w:ind w:firstLine="432"/>
      </w:pPr>
      <w:r>
        <w:rPr>
          <w:rFonts w:ascii="宋体" w:hAnsi="宋体" w:eastAsia="宋体"/>
          <w:sz w:val="24"/>
        </w:rPr>
        <w:t>将"白盒"关联和"黑盒"关联进行交叉验证与融合：</w:t>
      </w:r>
    </w:p>
    <w:p/>
    <w:p>
      <w:pPr>
        <w:spacing w:line="360" w:lineRule="auto"/>
        <w:ind w:left="432"/>
      </w:pPr>
      <w:r>
        <w:rPr>
          <w:rFonts w:ascii="宋体" w:hAnsi="宋体" w:eastAsia="宋体"/>
          <w:sz w:val="24"/>
        </w:rPr>
        <w:t>1. **规则验证：** 比较机理分析和数据挖掘得到的规则，保留一致的规则</w:t>
      </w:r>
    </w:p>
    <w:p>
      <w:pPr>
        <w:spacing w:line="360" w:lineRule="auto"/>
        <w:ind w:left="432"/>
      </w:pPr>
      <w:r>
        <w:rPr>
          <w:rFonts w:ascii="宋体" w:hAnsi="宋体" w:eastAsia="宋体"/>
          <w:sz w:val="24"/>
        </w:rPr>
        <w:t>2. **规则补充：** 数据挖掘发现的新规则需要机理分析验证其合理性</w:t>
      </w:r>
    </w:p>
    <w:p>
      <w:pPr>
        <w:spacing w:line="360" w:lineRule="auto"/>
        <w:ind w:left="432"/>
      </w:pPr>
      <w:r>
        <w:rPr>
          <w:rFonts w:ascii="宋体" w:hAnsi="宋体" w:eastAsia="宋体"/>
          <w:sz w:val="24"/>
        </w:rPr>
        <w:t>3. **规则融合：** 将验证后的规则整合，形成最终的关联规则库</w:t>
      </w:r>
    </w:p>
    <w:p/>
    <w:p>
      <w:pPr>
        <w:pStyle w:val="Heading3"/>
      </w:pPr>
      <w:r>
        <w:rPr>
          <w:rFonts w:ascii="黑体" w:hAnsi="黑体" w:eastAsia="黑体"/>
          <w:b/>
          <w:sz w:val="28"/>
        </w:rPr>
        <w:t>3.4.4 标准化的故障-特征关联规范</w:t>
      </w:r>
    </w:p>
    <w:p/>
    <w:p>
      <w:pPr>
        <w:spacing w:line="360" w:lineRule="auto"/>
        <w:ind w:firstLine="432"/>
      </w:pPr>
      <w:r>
        <w:rPr>
          <w:rFonts w:ascii="宋体" w:hAnsi="宋体" w:eastAsia="宋体"/>
          <w:sz w:val="24"/>
        </w:rPr>
        <w:t>建立标准化的故障-特征关联规范，包括：</w:t>
      </w:r>
    </w:p>
    <w:p>
      <w:pPr>
        <w:spacing w:line="360" w:lineRule="auto"/>
        <w:ind w:left="432"/>
      </w:pPr>
      <w:r>
        <w:rPr>
          <w:rFonts w:ascii="宋体" w:hAnsi="宋体" w:eastAsia="宋体"/>
          <w:sz w:val="24"/>
        </w:rPr>
        <w:t xml:space="preserve">    - 故障编码规范</w:t>
      </w:r>
    </w:p>
    <w:p>
      <w:pPr>
        <w:spacing w:line="360" w:lineRule="auto"/>
        <w:ind w:left="432"/>
      </w:pPr>
      <w:r>
        <w:rPr>
          <w:rFonts w:ascii="宋体" w:hAnsi="宋体" w:eastAsia="宋体"/>
          <w:sz w:val="24"/>
        </w:rPr>
        <w:t xml:space="preserve">    - 特征命名规范</w:t>
      </w:r>
    </w:p>
    <w:p>
      <w:pPr>
        <w:spacing w:line="360" w:lineRule="auto"/>
        <w:ind w:left="432"/>
      </w:pPr>
      <w:r>
        <w:rPr>
          <w:rFonts w:ascii="宋体" w:hAnsi="宋体" w:eastAsia="宋体"/>
          <w:sz w:val="24"/>
        </w:rPr>
        <w:t xml:space="preserve">    - 关联强度分级标准</w:t>
      </w:r>
    </w:p>
    <w:p>
      <w:pPr>
        <w:spacing w:line="360" w:lineRule="auto"/>
        <w:ind w:left="432"/>
      </w:pPr>
      <w:r>
        <w:rPr>
          <w:rFonts w:ascii="宋体" w:hAnsi="宋体" w:eastAsia="宋体"/>
          <w:sz w:val="24"/>
        </w:rPr>
        <w:t xml:space="preserve">    - 规则更新流程</w:t>
      </w:r>
    </w:p>
    <w:p/>
    <w:p>
      <w:pPr>
        <w:pStyle w:val="Heading2"/>
      </w:pPr>
      <w:r>
        <w:rPr>
          <w:rFonts w:ascii="黑体" w:hAnsi="黑体" w:eastAsia="黑体"/>
          <w:b/>
          <w:sz w:val="32"/>
        </w:rPr>
        <w:t>3.5 本章小结</w:t>
      </w:r>
    </w:p>
    <w:p/>
    <w:p>
      <w:pPr>
        <w:spacing w:line="360" w:lineRule="auto"/>
        <w:ind w:firstLine="432"/>
      </w:pPr>
      <w:r>
        <w:rPr>
          <w:rFonts w:ascii="宋体" w:hAnsi="宋体" w:eastAsia="宋体"/>
          <w:sz w:val="24"/>
        </w:rPr>
        <w:t>本章系统开展了故障类型与特征关联技术研究，主要工作和成果包括：</w:t>
      </w:r>
    </w:p>
    <w:p/>
    <w:p>
      <w:pPr>
        <w:spacing w:line="360" w:lineRule="auto"/>
        <w:ind w:left="432"/>
      </w:pPr>
      <w:r>
        <w:rPr>
          <w:rFonts w:ascii="宋体" w:hAnsi="宋体" w:eastAsia="宋体"/>
          <w:sz w:val="24"/>
        </w:rPr>
        <w:t>1. **构建了多源状态信息高维特征矩阵** 整合电气量、计量、环境等多源数据，提取时域、频域、时频域等多维度特征</w:t>
      </w:r>
    </w:p>
    <w:p>
      <w:pPr>
        <w:spacing w:line="360" w:lineRule="auto"/>
        <w:ind w:left="432"/>
      </w:pPr>
      <w:r>
        <w:rPr>
          <w:rFonts w:ascii="宋体" w:hAnsi="宋体" w:eastAsia="宋体"/>
          <w:sz w:val="24"/>
        </w:rPr>
        <w:t>2. **提出了低维流形提取算法** 采用PCA+t-SNE+自编码器的组合策略，实现高维特征的有效降维</w:t>
      </w:r>
    </w:p>
    <w:p>
      <w:pPr>
        <w:spacing w:line="360" w:lineRule="auto"/>
        <w:ind w:left="432"/>
      </w:pPr>
      <w:r>
        <w:rPr>
          <w:rFonts w:ascii="宋体" w:hAnsi="宋体" w:eastAsia="宋体"/>
          <w:sz w:val="24"/>
        </w:rPr>
        <w:t>3. **研究了深度特征自适应表征方法** 基于1D-CNN和GNN实现特征的自动学习</w:t>
      </w:r>
    </w:p>
    <w:p>
      <w:pPr>
        <w:spacing w:line="360" w:lineRule="auto"/>
        <w:ind w:left="432"/>
      </w:pPr>
      <w:r>
        <w:rPr>
          <w:rFonts w:ascii="宋体" w:hAnsi="宋体" w:eastAsia="宋体"/>
          <w:sz w:val="24"/>
        </w:rPr>
        <w:t>4. **建立了机理与数据融合的强关联规则** 结合"白盒"因果关联和"黑盒"统计关联，形成标准化的关联规范</w:t>
      </w:r>
    </w:p>
    <w:p/>
    <w:p>
      <w:pPr>
        <w:spacing w:line="360" w:lineRule="auto"/>
        <w:ind w:firstLine="432"/>
      </w:pPr>
      <w:r>
        <w:rPr>
          <w:rFonts w:ascii="宋体" w:hAnsi="宋体" w:eastAsia="宋体"/>
          <w:sz w:val="24"/>
        </w:rPr>
        <w:t>本章研究为后续的规则库设计提供了特征基础，具有重要的支撑作用。</w:t>
      </w:r>
    </w:p>
    <w:p/>
    <w:p>
      <w:r>
        <w:br w:type="page"/>
      </w:r>
    </w:p>
    <w:p/>
    <w:p>
      <w:pPr>
        <w:pStyle w:val="Heading1"/>
        <w:jc w:val="left"/>
      </w:pPr>
      <w:r>
        <w:rPr>
          <w:rFonts w:ascii="黑体" w:hAnsi="黑体" w:eastAsia="黑体"/>
          <w:b/>
          <w:sz w:val="36"/>
        </w:rPr>
        <w:t>第四章 健康状态评估规则库设计研究</w:t>
      </w:r>
    </w:p>
    <w:p/>
    <w:p>
      <w:pPr>
        <w:pStyle w:val="Heading2"/>
      </w:pPr>
      <w:r>
        <w:rPr>
          <w:rFonts w:ascii="黑体" w:hAnsi="黑体" w:eastAsia="黑体"/>
          <w:b/>
          <w:sz w:val="32"/>
        </w:rPr>
        <w:t>4.1 规则库设计总体原则与框架</w:t>
      </w:r>
    </w:p>
    <w:p/>
    <w:p>
      <w:pPr>
        <w:pStyle w:val="Heading3"/>
      </w:pPr>
      <w:r>
        <w:rPr>
          <w:rFonts w:ascii="黑体" w:hAnsi="黑体" w:eastAsia="黑体"/>
          <w:b/>
          <w:sz w:val="28"/>
        </w:rPr>
        <w:t>4.1.1 设计原则</w:t>
      </w:r>
    </w:p>
    <w:p/>
    <w:p>
      <w:pPr>
        <w:spacing w:line="360" w:lineRule="auto"/>
        <w:ind w:left="432"/>
      </w:pPr>
      <w:r>
        <w:rPr>
          <w:rFonts w:ascii="宋体" w:hAnsi="宋体" w:eastAsia="宋体"/>
          <w:sz w:val="24"/>
        </w:rPr>
        <w:t>1. **科学性：** 规则基于故障机理分析和数据验证</w:t>
      </w:r>
    </w:p>
    <w:p>
      <w:pPr>
        <w:spacing w:line="360" w:lineRule="auto"/>
        <w:ind w:left="432"/>
      </w:pPr>
      <w:r>
        <w:rPr>
          <w:rFonts w:ascii="宋体" w:hAnsi="宋体" w:eastAsia="宋体"/>
          <w:sz w:val="24"/>
        </w:rPr>
        <w:t>2. **统一性：** 规则标准统一，可跨地区、跨厂家应用</w:t>
      </w:r>
    </w:p>
    <w:p>
      <w:pPr>
        <w:spacing w:line="360" w:lineRule="auto"/>
        <w:ind w:left="432"/>
      </w:pPr>
      <w:r>
        <w:rPr>
          <w:rFonts w:ascii="宋体" w:hAnsi="宋体" w:eastAsia="宋体"/>
          <w:sz w:val="24"/>
        </w:rPr>
        <w:t>3. **可扩展性：** 支持新故障、新特征、新设备的扩展</w:t>
      </w:r>
    </w:p>
    <w:p>
      <w:pPr>
        <w:spacing w:line="360" w:lineRule="auto"/>
        <w:ind w:left="432"/>
      </w:pPr>
      <w:r>
        <w:rPr>
          <w:rFonts w:ascii="宋体" w:hAnsi="宋体" w:eastAsia="宋体"/>
          <w:sz w:val="24"/>
        </w:rPr>
        <w:t>4. **实用性：** 规则简单易用，计算效率高</w:t>
      </w:r>
    </w:p>
    <w:p>
      <w:pPr>
        <w:spacing w:line="360" w:lineRule="auto"/>
        <w:ind w:left="432"/>
      </w:pPr>
      <w:r>
        <w:rPr>
          <w:rFonts w:ascii="宋体" w:hAnsi="宋体" w:eastAsia="宋体"/>
          <w:sz w:val="24"/>
        </w:rPr>
        <w:t>5. **自适应性：** 支持规则的动态更新和优化</w:t>
      </w:r>
    </w:p>
    <w:p/>
    <w:p>
      <w:pPr>
        <w:pStyle w:val="Heading3"/>
      </w:pPr>
      <w:r>
        <w:rPr>
          <w:rFonts w:ascii="黑体" w:hAnsi="黑体" w:eastAsia="黑体"/>
          <w:b/>
          <w:sz w:val="28"/>
        </w:rPr>
        <w:t>4.1.2 总体架构设计</w:t>
      </w:r>
    </w:p>
    <w:p/>
    <w:p>
      <w:pPr>
        <w:spacing w:line="360" w:lineRule="auto"/>
        <w:ind w:firstLine="432"/>
      </w:pPr>
      <w:r>
        <w:rPr>
          <w:rFonts w:ascii="宋体" w:hAnsi="宋体" w:eastAsia="宋体"/>
          <w:sz w:val="24"/>
        </w:rPr>
        <w:t>图4-1 健康状态评估规则库层次化架构图</w:t>
      </w:r>
    </w:p>
    <w:p>
      <w:pPr>
        <w:shd w:fill="F2F2F2"/>
        <w:spacing w:line="240" w:lineRule="auto"/>
        <w:ind w:left="720" w:right="720"/>
      </w:pPr>
      <w:r>
        <w:rPr>
          <w:rFonts w:ascii="Consolas" w:hAnsi="Consolas" w:eastAsia="Consolas"/>
          <w:sz w:val="20"/>
        </w:rPr>
        <w:t>┌─────────────────────────────────────────────────────┐</w:t>
        <w:br/>
        <w:t>│              综合评估层                                │</w:t>
        <w:br/>
        <w:t>│  设备健康指数计算 │ 台区健康评估 │ 风险预警            │</w:t>
        <w:br/>
        <w:t>└──────────────────┬────────────────────────────────────┘</w:t>
        <w:br/>
        <w:t xml:space="preserve">                   │</w:t>
        <w:br/>
        <w:t>┌──────────────────▼────────────────────────────────────┐</w:t>
        <w:br/>
        <w:t>│              中间状态层                                │</w:t>
        <w:br/>
        <w:t>│  单元健康评估 │ 特征融合 │ 状态判断                    │</w:t>
        <w:br/>
        <w:t>└──────────────────┬────────────────────────────────────┘</w:t>
        <w:br/>
        <w:t xml:space="preserve">                   │</w:t>
        <w:br/>
        <w:t>┌──────────────────▼────────────────────────────────────┐</w:t>
        <w:br/>
        <w:t>│              基础指标层                                │</w:t>
        <w:br/>
        <w:t>│  电源指标 │ 计量指标 │ 通信指标 │ 管理指标 │ 其他指标 │</w:t>
        <w:br/>
        <w:t>└───────────────────────────────────────────────────────┘</w:t>
        <w:br/>
        <w:t xml:space="preserve">                   │</w:t>
        <w:br/>
        <w:t>┌──────────────────▼────────────────────────────────────┐</w:t>
        <w:br/>
        <w:t>│              数据输入层                                │</w:t>
        <w:br/>
        <w:t>│  实时数据 │ 历史数据 │ 环境数据 │ 档案数据              │</w:t>
        <w:br/>
        <w:t>└───────────────────────────────────────────────────────┘</w:t>
      </w:r>
    </w:p>
    <w:p/>
    <w:p>
      <w:pPr>
        <w:pStyle w:val="Heading3"/>
      </w:pPr>
      <w:r>
        <w:rPr>
          <w:rFonts w:ascii="黑体" w:hAnsi="黑体" w:eastAsia="黑体"/>
          <w:b/>
          <w:sz w:val="28"/>
        </w:rPr>
        <w:t>4.1.3 知识来源与表示方法</w:t>
      </w:r>
    </w:p>
    <w:p/>
    <w:p>
      <w:pPr>
        <w:spacing w:line="360" w:lineRule="auto"/>
        <w:ind w:left="432"/>
      </w:pPr>
      <w:r>
        <w:rPr>
          <w:rFonts w:ascii="宋体" w:hAnsi="宋体" w:eastAsia="宋体"/>
          <w:sz w:val="24"/>
        </w:rPr>
        <w:t xml:space="preserve">    **知识来源：**</w:t>
      </w:r>
    </w:p>
    <w:p>
      <w:pPr>
        <w:spacing w:line="360" w:lineRule="auto"/>
        <w:ind w:left="432"/>
      </w:pPr>
      <w:r>
        <w:rPr>
          <w:rFonts w:ascii="宋体" w:hAnsi="宋体" w:eastAsia="宋体"/>
          <w:sz w:val="24"/>
        </w:rPr>
        <w:t>1. 国家标准、行业标准、企业标准</w:t>
      </w:r>
    </w:p>
    <w:p>
      <w:pPr>
        <w:spacing w:line="360" w:lineRule="auto"/>
        <w:ind w:left="432"/>
      </w:pPr>
      <w:r>
        <w:rPr>
          <w:rFonts w:ascii="宋体" w:hAnsi="宋体" w:eastAsia="宋体"/>
          <w:sz w:val="24"/>
        </w:rPr>
        <w:t>2. 领域专家经验知识</w:t>
      </w:r>
    </w:p>
    <w:p>
      <w:pPr>
        <w:spacing w:line="360" w:lineRule="auto"/>
        <w:ind w:left="432"/>
      </w:pPr>
      <w:r>
        <w:rPr>
          <w:rFonts w:ascii="宋体" w:hAnsi="宋体" w:eastAsia="宋体"/>
          <w:sz w:val="24"/>
        </w:rPr>
        <w:t>3. 机理分析与仿真结果</w:t>
      </w:r>
    </w:p>
    <w:p>
      <w:pPr>
        <w:spacing w:line="360" w:lineRule="auto"/>
        <w:ind w:left="432"/>
      </w:pPr>
      <w:r>
        <w:rPr>
          <w:rFonts w:ascii="宋体" w:hAnsi="宋体" w:eastAsia="宋体"/>
          <w:sz w:val="24"/>
        </w:rPr>
        <w:t>4. 数据挖掘结果</w:t>
      </w:r>
    </w:p>
    <w:p>
      <w:pPr>
        <w:spacing w:line="360" w:lineRule="auto"/>
        <w:ind w:left="432"/>
      </w:pPr>
      <w:r>
        <w:rPr>
          <w:rFonts w:ascii="宋体" w:hAnsi="宋体" w:eastAsia="宋体"/>
          <w:sz w:val="24"/>
        </w:rPr>
        <w:t>5. 历史故障案例</w:t>
      </w:r>
    </w:p>
    <w:p/>
    <w:p>
      <w:pPr>
        <w:spacing w:line="360" w:lineRule="auto"/>
        <w:ind w:left="432"/>
      </w:pPr>
      <w:r>
        <w:rPr>
          <w:rFonts w:ascii="宋体" w:hAnsi="宋体" w:eastAsia="宋体"/>
          <w:sz w:val="24"/>
        </w:rPr>
        <w:t xml:space="preserve">    **表示方法：**</w:t>
      </w:r>
    </w:p>
    <w:p>
      <w:pPr>
        <w:spacing w:line="360" w:lineRule="auto"/>
        <w:ind w:left="432"/>
      </w:pPr>
      <w:r>
        <w:rPr>
          <w:rFonts w:ascii="宋体" w:hAnsi="宋体" w:eastAsia="宋体"/>
          <w:sz w:val="24"/>
        </w:rPr>
        <w:t>1. IF-THEN规则</w:t>
      </w:r>
    </w:p>
    <w:p>
      <w:pPr>
        <w:spacing w:line="360" w:lineRule="auto"/>
        <w:ind w:left="432"/>
      </w:pPr>
      <w:r>
        <w:rPr>
          <w:rFonts w:ascii="宋体" w:hAnsi="宋体" w:eastAsia="宋体"/>
          <w:sz w:val="24"/>
        </w:rPr>
        <w:t>2. 决策表</w:t>
      </w:r>
    </w:p>
    <w:p>
      <w:pPr>
        <w:spacing w:line="360" w:lineRule="auto"/>
        <w:ind w:left="432"/>
      </w:pPr>
      <w:r>
        <w:rPr>
          <w:rFonts w:ascii="宋体" w:hAnsi="宋体" w:eastAsia="宋体"/>
          <w:sz w:val="24"/>
        </w:rPr>
        <w:t>3. 评分卡</w:t>
      </w:r>
    </w:p>
    <w:p>
      <w:pPr>
        <w:spacing w:line="360" w:lineRule="auto"/>
        <w:ind w:left="432"/>
      </w:pPr>
      <w:r>
        <w:rPr>
          <w:rFonts w:ascii="宋体" w:hAnsi="宋体" w:eastAsia="宋体"/>
          <w:sz w:val="24"/>
        </w:rPr>
        <w:t>4. 模糊规则</w:t>
      </w:r>
    </w:p>
    <w:p/>
    <w:p>
      <w:pPr>
        <w:pStyle w:val="Heading2"/>
      </w:pPr>
      <w:r>
        <w:rPr>
          <w:rFonts w:ascii="黑体" w:hAnsi="黑体" w:eastAsia="黑体"/>
          <w:b/>
          <w:sz w:val="32"/>
        </w:rPr>
        <w:t>4.2 全寿命周期分阶段、多尺度评价指标体系</w:t>
      </w:r>
    </w:p>
    <w:p/>
    <w:p>
      <w:pPr>
        <w:pStyle w:val="Heading3"/>
      </w:pPr>
      <w:r>
        <w:rPr>
          <w:rFonts w:ascii="黑体" w:hAnsi="黑体" w:eastAsia="黑体"/>
          <w:b/>
          <w:sz w:val="28"/>
        </w:rPr>
        <w:t>4.2.1 设备全寿命周期阶段划分</w:t>
      </w:r>
    </w:p>
    <w:p/>
    <w:p>
      <w:pPr>
        <w:spacing w:line="360" w:lineRule="auto"/>
        <w:ind w:left="432"/>
      </w:pPr>
      <w:r>
        <w:rPr>
          <w:rFonts w:ascii="宋体" w:hAnsi="宋体" w:eastAsia="宋体"/>
          <w:sz w:val="24"/>
        </w:rPr>
        <w:t>1. **磨合期（0-1年）：** 设备安装初期，故障主要由安装缺陷和早期失效引起</w:t>
      </w:r>
    </w:p>
    <w:p>
      <w:pPr>
        <w:spacing w:line="360" w:lineRule="auto"/>
        <w:ind w:left="432"/>
      </w:pPr>
      <w:r>
        <w:rPr>
          <w:rFonts w:ascii="宋体" w:hAnsi="宋体" w:eastAsia="宋体"/>
          <w:sz w:val="24"/>
        </w:rPr>
        <w:t>2. **稳定期（1-8年）：** 设备性能稳定，偶然故障为主</w:t>
      </w:r>
    </w:p>
    <w:p>
      <w:pPr>
        <w:spacing w:line="360" w:lineRule="auto"/>
        <w:ind w:left="432"/>
      </w:pPr>
      <w:r>
        <w:rPr>
          <w:rFonts w:ascii="宋体" w:hAnsi="宋体" w:eastAsia="宋体"/>
          <w:sz w:val="24"/>
        </w:rPr>
        <w:t>3. **耗损期（8年以上）：** 设备老化，故障逐渐增多</w:t>
      </w:r>
    </w:p>
    <w:p/>
    <w:p>
      <w:pPr>
        <w:pStyle w:val="Heading3"/>
      </w:pPr>
      <w:r>
        <w:rPr>
          <w:rFonts w:ascii="黑体" w:hAnsi="黑体" w:eastAsia="黑体"/>
          <w:b/>
          <w:sz w:val="28"/>
        </w:rPr>
        <w:t>4.2.2 多尺度特征融合机制</w:t>
      </w:r>
    </w:p>
    <w:p/>
    <w:p>
      <w:pPr>
        <w:spacing w:line="360" w:lineRule="auto"/>
        <w:ind w:left="432"/>
      </w:pPr>
      <w:r>
        <w:rPr>
          <w:rFonts w:ascii="宋体" w:hAnsi="宋体" w:eastAsia="宋体"/>
          <w:sz w:val="24"/>
        </w:rPr>
        <w:t xml:space="preserve">    - **短时间尺度（小时级）：** 实时波动特征</w:t>
      </w:r>
    </w:p>
    <w:p>
      <w:pPr>
        <w:spacing w:line="360" w:lineRule="auto"/>
        <w:ind w:left="432"/>
      </w:pPr>
      <w:r>
        <w:rPr>
          <w:rFonts w:ascii="宋体" w:hAnsi="宋体" w:eastAsia="宋体"/>
          <w:sz w:val="24"/>
        </w:rPr>
        <w:t xml:space="preserve">    - **中时间尺度（天级）：** 日变化特征</w:t>
      </w:r>
    </w:p>
    <w:p>
      <w:pPr>
        <w:spacing w:line="360" w:lineRule="auto"/>
        <w:ind w:left="432"/>
      </w:pPr>
      <w:r>
        <w:rPr>
          <w:rFonts w:ascii="宋体" w:hAnsi="宋体" w:eastAsia="宋体"/>
          <w:sz w:val="24"/>
        </w:rPr>
        <w:t xml:space="preserve">    - **长时间尺度（月/季/年）：** 趋势变化特征</w:t>
      </w:r>
    </w:p>
    <w:p/>
    <w:p>
      <w:pPr>
        <w:spacing w:line="360" w:lineRule="auto"/>
        <w:ind w:firstLine="432"/>
      </w:pPr>
      <w:r>
        <w:rPr>
          <w:rFonts w:ascii="宋体" w:hAnsi="宋体" w:eastAsia="宋体"/>
          <w:sz w:val="24"/>
        </w:rPr>
        <w:t>融合算法：</w:t>
      </w:r>
    </w:p>
    <w:p>
      <w:pPr>
        <w:spacing w:line="360" w:lineRule="auto"/>
        <w:ind w:firstLine="432"/>
      </w:pPr>
      <w:r>
        <w:rPr>
          <w:rFonts w:ascii="宋体" w:hAnsi="宋体" w:eastAsia="宋体"/>
          <w:sz w:val="24"/>
        </w:rPr>
        <w:t>$$F_{final} = w_1 \cdot F_{short} + w_2 \cdot F_{medium} + w_3 \cdot F_{long}$$</w:t>
      </w:r>
    </w:p>
    <w:p/>
    <w:p>
      <w:pPr>
        <w:spacing w:line="360" w:lineRule="auto"/>
        <w:ind w:firstLine="432"/>
      </w:pPr>
      <w:r>
        <w:rPr>
          <w:rFonts w:ascii="宋体" w:hAnsi="宋体" w:eastAsia="宋体"/>
          <w:sz w:val="24"/>
        </w:rPr>
        <w:t>其中，$w_1, w_2, w_3$ 为各尺度权重，根据寿命阶段动态调整。</w:t>
      </w:r>
    </w:p>
    <w:p/>
    <w:p>
      <w:pPr>
        <w:pStyle w:val="Heading3"/>
      </w:pPr>
      <w:r>
        <w:rPr>
          <w:rFonts w:ascii="黑体" w:hAnsi="黑体" w:eastAsia="黑体"/>
          <w:b/>
          <w:sz w:val="28"/>
        </w:rPr>
        <w:t>4.2.3 关键特征指标（KPI）确立与量化</w:t>
      </w:r>
    </w:p>
    <w:p/>
    <w:p>
      <w:pPr>
        <w:spacing w:line="360" w:lineRule="auto"/>
        <w:ind w:firstLine="432"/>
      </w:pPr>
      <w:r>
        <w:rPr>
          <w:rFonts w:ascii="宋体" w:hAnsi="宋体" w:eastAsia="宋体"/>
          <w:sz w:val="24"/>
        </w:rPr>
        <w:t>表4-1 分阶段、多维度的健康状态评价指标体系表</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指标类别</w:t>
            </w:r>
          </w:p>
        </w:tc>
        <w:tc>
          <w:tcPr>
            <w:tcW w:type="dxa" w:w="1440"/>
          </w:tcPr>
          <w:p>
            <w:pPr>
              <w:jc w:val="center"/>
            </w:pPr>
            <w:r>
              <w:rPr>
                <w:b/>
                <w:sz w:val="22"/>
              </w:rPr>
              <w:t>指标名称</w:t>
            </w:r>
          </w:p>
        </w:tc>
        <w:tc>
          <w:tcPr>
            <w:tcW w:type="dxa" w:w="1440"/>
          </w:tcPr>
          <w:p>
            <w:pPr>
              <w:jc w:val="center"/>
            </w:pPr>
            <w:r>
              <w:rPr>
                <w:b/>
                <w:sz w:val="22"/>
              </w:rPr>
              <w:t>单位</w:t>
            </w:r>
          </w:p>
        </w:tc>
        <w:tc>
          <w:tcPr>
            <w:tcW w:type="dxa" w:w="1440"/>
          </w:tcPr>
          <w:p>
            <w:pPr>
              <w:jc w:val="center"/>
            </w:pPr>
            <w:r>
              <w:rPr>
                <w:b/>
                <w:sz w:val="22"/>
              </w:rPr>
              <w:t>磨合期阈值</w:t>
            </w:r>
          </w:p>
        </w:tc>
        <w:tc>
          <w:tcPr>
            <w:tcW w:type="dxa" w:w="1440"/>
          </w:tcPr>
          <w:p>
            <w:pPr>
              <w:jc w:val="center"/>
            </w:pPr>
            <w:r>
              <w:rPr>
                <w:b/>
                <w:sz w:val="22"/>
              </w:rPr>
              <w:t>稳定期阈值</w:t>
            </w:r>
          </w:p>
        </w:tc>
        <w:tc>
          <w:tcPr>
            <w:tcW w:type="dxa" w:w="1440"/>
          </w:tcPr>
          <w:p>
            <w:pPr>
              <w:jc w:val="center"/>
            </w:pPr>
            <w:r>
              <w:rPr>
                <w:b/>
                <w:sz w:val="22"/>
              </w:rPr>
              <w:t>耗损期阈值</w:t>
            </w:r>
          </w:p>
        </w:tc>
      </w:tr>
      <w:tr>
        <w:tc>
          <w:tcPr>
            <w:tcW w:type="dxa" w:w="1440"/>
          </w:tcPr>
          <w:p>
            <w:pPr>
              <w:jc w:val="center"/>
            </w:pPr>
            <w:r>
              <w:rPr>
                <w:sz w:val="20"/>
              </w:rPr>
              <w:t>电源指标</w:t>
            </w:r>
          </w:p>
        </w:tc>
        <w:tc>
          <w:tcPr>
            <w:tcW w:type="dxa" w:w="1440"/>
          </w:tcPr>
          <w:p>
            <w:pPr>
              <w:jc w:val="center"/>
            </w:pPr>
            <w:r>
              <w:rPr>
                <w:sz w:val="20"/>
              </w:rPr>
              <w:t>输出电压偏差</w:t>
            </w:r>
          </w:p>
        </w:tc>
        <w:tc>
          <w:tcPr>
            <w:tcW w:type="dxa" w:w="1440"/>
          </w:tcPr>
          <w:p>
            <w:pPr>
              <w:jc w:val="center"/>
            </w:pPr>
            <w:r>
              <w:rPr>
                <w:sz w:val="20"/>
              </w:rPr>
              <w:t>%</w:t>
            </w:r>
          </w:p>
        </w:tc>
        <w:tc>
          <w:tcPr>
            <w:tcW w:type="dxa" w:w="1440"/>
          </w:tcPr>
          <w:p>
            <w:pPr>
              <w:jc w:val="center"/>
            </w:pPr>
            <w:r>
              <w:rPr>
                <w:sz w:val="20"/>
              </w:rPr>
              <w:t>±5</w:t>
            </w:r>
          </w:p>
        </w:tc>
        <w:tc>
          <w:tcPr>
            <w:tcW w:type="dxa" w:w="1440"/>
          </w:tcPr>
          <w:p>
            <w:pPr>
              <w:jc w:val="center"/>
            </w:pPr>
            <w:r>
              <w:rPr>
                <w:sz w:val="20"/>
              </w:rPr>
              <w:t>±3</w:t>
            </w:r>
          </w:p>
        </w:tc>
        <w:tc>
          <w:tcPr>
            <w:tcW w:type="dxa" w:w="1440"/>
          </w:tcPr>
          <w:p>
            <w:pPr>
              <w:jc w:val="center"/>
            </w:pPr>
            <w:r>
              <w:rPr>
                <w:sz w:val="20"/>
              </w:rPr>
              <w:t>±2</w:t>
            </w:r>
          </w:p>
        </w:tc>
      </w:tr>
      <w:tr>
        <w:tc>
          <w:tcPr>
            <w:tcW w:type="dxa" w:w="1440"/>
          </w:tcPr>
          <w:p>
            <w:pPr>
              <w:jc w:val="center"/>
            </w:pPr>
            <w:r>
              <w:rPr>
                <w:sz w:val="20"/>
              </w:rPr>
              <w:t>电源指标</w:t>
            </w:r>
          </w:p>
        </w:tc>
        <w:tc>
          <w:tcPr>
            <w:tcW w:type="dxa" w:w="1440"/>
          </w:tcPr>
          <w:p>
            <w:pPr>
              <w:jc w:val="center"/>
            </w:pPr>
            <w:r>
              <w:rPr>
                <w:sz w:val="20"/>
              </w:rPr>
              <w:t>纹波电压</w:t>
            </w:r>
          </w:p>
        </w:tc>
        <w:tc>
          <w:tcPr>
            <w:tcW w:type="dxa" w:w="1440"/>
          </w:tcPr>
          <w:p>
            <w:pPr>
              <w:jc w:val="center"/>
            </w:pPr>
            <w:r>
              <w:rPr>
                <w:sz w:val="20"/>
              </w:rPr>
              <w:t>mV</w:t>
            </w:r>
          </w:p>
        </w:tc>
        <w:tc>
          <w:tcPr>
            <w:tcW w:type="dxa" w:w="1440"/>
          </w:tcPr>
          <w:p>
            <w:pPr>
              <w:jc w:val="center"/>
            </w:pPr>
            <w:r>
              <w:rPr>
                <w:sz w:val="20"/>
              </w:rPr>
              <w:t>≤100</w:t>
            </w:r>
          </w:p>
        </w:tc>
        <w:tc>
          <w:tcPr>
            <w:tcW w:type="dxa" w:w="1440"/>
          </w:tcPr>
          <w:p>
            <w:pPr>
              <w:jc w:val="center"/>
            </w:pPr>
            <w:r>
              <w:rPr>
                <w:sz w:val="20"/>
              </w:rPr>
              <w:t>≤50</w:t>
            </w:r>
          </w:p>
        </w:tc>
        <w:tc>
          <w:tcPr>
            <w:tcW w:type="dxa" w:w="1440"/>
          </w:tcPr>
          <w:p>
            <w:pPr>
              <w:jc w:val="center"/>
            </w:pPr>
            <w:r>
              <w:rPr>
                <w:sz w:val="20"/>
              </w:rPr>
              <w:t>≤30</w:t>
            </w:r>
          </w:p>
        </w:tc>
      </w:tr>
      <w:tr>
        <w:tc>
          <w:tcPr>
            <w:tcW w:type="dxa" w:w="1440"/>
          </w:tcPr>
          <w:p>
            <w:pPr>
              <w:jc w:val="center"/>
            </w:pPr>
            <w:r>
              <w:rPr>
                <w:sz w:val="20"/>
              </w:rPr>
              <w:t>计量指标</w:t>
            </w:r>
          </w:p>
        </w:tc>
        <w:tc>
          <w:tcPr>
            <w:tcW w:type="dxa" w:w="1440"/>
          </w:tcPr>
          <w:p>
            <w:pPr>
              <w:jc w:val="center"/>
            </w:pPr>
            <w:r>
              <w:rPr>
                <w:sz w:val="20"/>
              </w:rPr>
              <w:t>计量误差</w:t>
            </w:r>
          </w:p>
        </w:tc>
        <w:tc>
          <w:tcPr>
            <w:tcW w:type="dxa" w:w="1440"/>
          </w:tcPr>
          <w:p>
            <w:pPr>
              <w:jc w:val="center"/>
            </w:pPr>
            <w:r>
              <w:rPr>
                <w:sz w:val="20"/>
              </w:rPr>
              <w:t>%</w:t>
            </w:r>
          </w:p>
        </w:tc>
        <w:tc>
          <w:tcPr>
            <w:tcW w:type="dxa" w:w="1440"/>
          </w:tcPr>
          <w:p>
            <w:pPr>
              <w:jc w:val="center"/>
            </w:pPr>
            <w:r>
              <w:rPr>
                <w:sz w:val="20"/>
              </w:rPr>
              <w:t>±1.0</w:t>
            </w:r>
          </w:p>
        </w:tc>
        <w:tc>
          <w:tcPr>
            <w:tcW w:type="dxa" w:w="1440"/>
          </w:tcPr>
          <w:p>
            <w:pPr>
              <w:jc w:val="center"/>
            </w:pPr>
            <w:r>
              <w:rPr>
                <w:sz w:val="20"/>
              </w:rPr>
              <w:t>±0.5</w:t>
            </w:r>
          </w:p>
        </w:tc>
        <w:tc>
          <w:tcPr>
            <w:tcW w:type="dxa" w:w="1440"/>
          </w:tcPr>
          <w:p>
            <w:pPr>
              <w:jc w:val="center"/>
            </w:pPr>
            <w:r>
              <w:rPr>
                <w:sz w:val="20"/>
              </w:rPr>
              <w:t>±0.3</w:t>
            </w:r>
          </w:p>
        </w:tc>
      </w:tr>
      <w:tr>
        <w:tc>
          <w:tcPr>
            <w:tcW w:type="dxa" w:w="1440"/>
          </w:tcPr>
          <w:p>
            <w:pPr>
              <w:jc w:val="center"/>
            </w:pPr>
            <w:r>
              <w:rPr>
                <w:sz w:val="20"/>
              </w:rPr>
              <w:t>计量指标</w:t>
            </w:r>
          </w:p>
        </w:tc>
        <w:tc>
          <w:tcPr>
            <w:tcW w:type="dxa" w:w="1440"/>
          </w:tcPr>
          <w:p>
            <w:pPr>
              <w:jc w:val="center"/>
            </w:pPr>
            <w:r>
              <w:rPr>
                <w:sz w:val="20"/>
              </w:rPr>
              <w:t>谐波THD</w:t>
            </w:r>
          </w:p>
        </w:tc>
        <w:tc>
          <w:tcPr>
            <w:tcW w:type="dxa" w:w="1440"/>
          </w:tcPr>
          <w:p>
            <w:pPr>
              <w:jc w:val="center"/>
            </w:pPr>
            <w:r>
              <w:rPr>
                <w:sz w:val="20"/>
              </w:rPr>
              <w:t>%</w:t>
            </w:r>
          </w:p>
        </w:tc>
        <w:tc>
          <w:tcPr>
            <w:tcW w:type="dxa" w:w="1440"/>
          </w:tcPr>
          <w:p>
            <w:pPr>
              <w:jc w:val="center"/>
            </w:pPr>
            <w:r>
              <w:rPr>
                <w:sz w:val="20"/>
              </w:rPr>
              <w:t>≤5</w:t>
            </w:r>
          </w:p>
        </w:tc>
        <w:tc>
          <w:tcPr>
            <w:tcW w:type="dxa" w:w="1440"/>
          </w:tcPr>
          <w:p>
            <w:pPr>
              <w:jc w:val="center"/>
            </w:pPr>
            <w:r>
              <w:rPr>
                <w:sz w:val="20"/>
              </w:rPr>
              <w:t>≤3</w:t>
            </w:r>
          </w:p>
        </w:tc>
        <w:tc>
          <w:tcPr>
            <w:tcW w:type="dxa" w:w="1440"/>
          </w:tcPr>
          <w:p>
            <w:pPr>
              <w:jc w:val="center"/>
            </w:pPr>
            <w:r>
              <w:rPr>
                <w:sz w:val="20"/>
              </w:rPr>
              <w:t>≤2</w:t>
            </w:r>
          </w:p>
        </w:tc>
      </w:tr>
      <w:tr>
        <w:tc>
          <w:tcPr>
            <w:tcW w:type="dxa" w:w="1440"/>
          </w:tcPr>
          <w:p>
            <w:pPr>
              <w:jc w:val="center"/>
            </w:pPr>
            <w:r>
              <w:rPr>
                <w:sz w:val="20"/>
              </w:rPr>
              <w:t>通信指标</w:t>
            </w:r>
          </w:p>
        </w:tc>
        <w:tc>
          <w:tcPr>
            <w:tcW w:type="dxa" w:w="1440"/>
          </w:tcPr>
          <w:p>
            <w:pPr>
              <w:jc w:val="center"/>
            </w:pPr>
            <w:r>
              <w:rPr>
                <w:sz w:val="20"/>
              </w:rPr>
              <w:t>通信成功率</w:t>
            </w:r>
          </w:p>
        </w:tc>
        <w:tc>
          <w:tcPr>
            <w:tcW w:type="dxa" w:w="1440"/>
          </w:tcPr>
          <w:p>
            <w:pPr>
              <w:jc w:val="center"/>
            </w:pPr>
            <w:r>
              <w:rPr>
                <w:sz w:val="20"/>
              </w:rPr>
              <w:t>%</w:t>
            </w:r>
          </w:p>
        </w:tc>
        <w:tc>
          <w:tcPr>
            <w:tcW w:type="dxa" w:w="1440"/>
          </w:tcPr>
          <w:p>
            <w:pPr>
              <w:jc w:val="center"/>
            </w:pPr>
            <w:r>
              <w:rPr>
                <w:sz w:val="20"/>
              </w:rPr>
              <w:t>≥90</w:t>
            </w:r>
          </w:p>
        </w:tc>
        <w:tc>
          <w:tcPr>
            <w:tcW w:type="dxa" w:w="1440"/>
          </w:tcPr>
          <w:p>
            <w:pPr>
              <w:jc w:val="center"/>
            </w:pPr>
            <w:r>
              <w:rPr>
                <w:sz w:val="20"/>
              </w:rPr>
              <w:t>≥95</w:t>
            </w:r>
          </w:p>
        </w:tc>
        <w:tc>
          <w:tcPr>
            <w:tcW w:type="dxa" w:w="1440"/>
          </w:tcPr>
          <w:p>
            <w:pPr>
              <w:jc w:val="center"/>
            </w:pPr>
            <w:r>
              <w:rPr>
                <w:sz w:val="20"/>
              </w:rPr>
              <w:t>≥98</w:t>
            </w:r>
          </w:p>
        </w:tc>
      </w:tr>
      <w:tr>
        <w:tc>
          <w:tcPr>
            <w:tcW w:type="dxa" w:w="1440"/>
          </w:tcPr>
          <w:p>
            <w:pPr>
              <w:jc w:val="center"/>
            </w:pPr>
            <w:r>
              <w:rPr>
                <w:sz w:val="20"/>
              </w:rPr>
              <w:t>通信指标</w:t>
            </w:r>
          </w:p>
        </w:tc>
        <w:tc>
          <w:tcPr>
            <w:tcW w:type="dxa" w:w="1440"/>
          </w:tcPr>
          <w:p>
            <w:pPr>
              <w:jc w:val="center"/>
            </w:pPr>
            <w:r>
              <w:rPr>
                <w:sz w:val="20"/>
              </w:rPr>
              <w:t>通信时延</w:t>
            </w:r>
          </w:p>
        </w:tc>
        <w:tc>
          <w:tcPr>
            <w:tcW w:type="dxa" w:w="1440"/>
          </w:tcPr>
          <w:p>
            <w:pPr>
              <w:jc w:val="center"/>
            </w:pPr>
            <w:r>
              <w:rPr>
                <w:sz w:val="20"/>
              </w:rPr>
              <w:t>ms</w:t>
            </w:r>
          </w:p>
        </w:tc>
        <w:tc>
          <w:tcPr>
            <w:tcW w:type="dxa" w:w="1440"/>
          </w:tcPr>
          <w:p>
            <w:pPr>
              <w:jc w:val="center"/>
            </w:pPr>
            <w:r>
              <w:rPr>
                <w:sz w:val="20"/>
              </w:rPr>
              <w:t>≤500</w:t>
            </w:r>
          </w:p>
        </w:tc>
        <w:tc>
          <w:tcPr>
            <w:tcW w:type="dxa" w:w="1440"/>
          </w:tcPr>
          <w:p>
            <w:pPr>
              <w:jc w:val="center"/>
            </w:pPr>
            <w:r>
              <w:rPr>
                <w:sz w:val="20"/>
              </w:rPr>
              <w:t>≤200</w:t>
            </w:r>
          </w:p>
        </w:tc>
        <w:tc>
          <w:tcPr>
            <w:tcW w:type="dxa" w:w="1440"/>
          </w:tcPr>
          <w:p>
            <w:pPr>
              <w:jc w:val="center"/>
            </w:pPr>
            <w:r>
              <w:rPr>
                <w:sz w:val="20"/>
              </w:rPr>
              <w:t>≤100</w:t>
            </w:r>
          </w:p>
        </w:tc>
      </w:tr>
      <w:tr>
        <w:tc>
          <w:tcPr>
            <w:tcW w:type="dxa" w:w="1440"/>
          </w:tcPr>
          <w:p>
            <w:pPr>
              <w:jc w:val="center"/>
            </w:pPr>
            <w:r>
              <w:rPr>
                <w:sz w:val="20"/>
              </w:rPr>
              <w:t>管理指标</w:t>
            </w:r>
          </w:p>
        </w:tc>
        <w:tc>
          <w:tcPr>
            <w:tcW w:type="dxa" w:w="1440"/>
          </w:tcPr>
          <w:p>
            <w:pPr>
              <w:jc w:val="center"/>
            </w:pPr>
            <w:r>
              <w:rPr>
                <w:sz w:val="20"/>
              </w:rPr>
              <w:t>时钟偏差</w:t>
            </w:r>
          </w:p>
        </w:tc>
        <w:tc>
          <w:tcPr>
            <w:tcW w:type="dxa" w:w="1440"/>
          </w:tcPr>
          <w:p>
            <w:pPr>
              <w:jc w:val="center"/>
            </w:pPr>
            <w:r>
              <w:rPr>
                <w:sz w:val="20"/>
              </w:rPr>
              <w:t>s/天</w:t>
            </w:r>
          </w:p>
        </w:tc>
        <w:tc>
          <w:tcPr>
            <w:tcW w:type="dxa" w:w="1440"/>
          </w:tcPr>
          <w:p>
            <w:pPr>
              <w:jc w:val="center"/>
            </w:pPr>
            <w:r>
              <w:rPr>
                <w:sz w:val="20"/>
              </w:rPr>
              <w:t>±10</w:t>
            </w:r>
          </w:p>
        </w:tc>
        <w:tc>
          <w:tcPr>
            <w:tcW w:type="dxa" w:w="1440"/>
          </w:tcPr>
          <w:p>
            <w:pPr>
              <w:jc w:val="center"/>
            </w:pPr>
            <w:r>
              <w:rPr>
                <w:sz w:val="20"/>
              </w:rPr>
              <w:t>±5</w:t>
            </w:r>
          </w:p>
        </w:tc>
        <w:tc>
          <w:tcPr>
            <w:tcW w:type="dxa" w:w="1440"/>
          </w:tcPr>
          <w:p>
            <w:pPr>
              <w:jc w:val="center"/>
            </w:pPr>
            <w:r>
              <w:rPr>
                <w:sz w:val="20"/>
              </w:rPr>
              <w:t>±2</w:t>
            </w:r>
          </w:p>
        </w:tc>
      </w:tr>
      <w:tr>
        <w:tc>
          <w:tcPr>
            <w:tcW w:type="dxa" w:w="1440"/>
          </w:tcPr>
          <w:p>
            <w:pPr>
              <w:jc w:val="center"/>
            </w:pPr>
            <w:r>
              <w:rPr>
                <w:sz w:val="20"/>
              </w:rPr>
              <w:t>管理指标</w:t>
            </w:r>
          </w:p>
        </w:tc>
        <w:tc>
          <w:tcPr>
            <w:tcW w:type="dxa" w:w="1440"/>
          </w:tcPr>
          <w:p>
            <w:pPr>
              <w:jc w:val="center"/>
            </w:pPr>
            <w:r>
              <w:rPr>
                <w:sz w:val="20"/>
              </w:rPr>
              <w:t>电池电压</w:t>
            </w:r>
          </w:p>
        </w:tc>
        <w:tc>
          <w:tcPr>
            <w:tcW w:type="dxa" w:w="1440"/>
          </w:tcPr>
          <w:p>
            <w:pPr>
              <w:jc w:val="center"/>
            </w:pPr>
            <w:r>
              <w:rPr>
                <w:sz w:val="20"/>
              </w:rPr>
              <w:t>V</w:t>
            </w:r>
          </w:p>
        </w:tc>
        <w:tc>
          <w:tcPr>
            <w:tcW w:type="dxa" w:w="1440"/>
          </w:tcPr>
          <w:p>
            <w:pPr>
              <w:jc w:val="center"/>
            </w:pPr>
            <w:r>
              <w:rPr>
                <w:sz w:val="20"/>
              </w:rPr>
              <w:t>≥2.8</w:t>
            </w:r>
          </w:p>
        </w:tc>
        <w:tc>
          <w:tcPr>
            <w:tcW w:type="dxa" w:w="1440"/>
          </w:tcPr>
          <w:p>
            <w:pPr>
              <w:jc w:val="center"/>
            </w:pPr>
            <w:r>
              <w:rPr>
                <w:sz w:val="20"/>
              </w:rPr>
              <w:t>≥2.9</w:t>
            </w:r>
          </w:p>
        </w:tc>
        <w:tc>
          <w:tcPr>
            <w:tcW w:type="dxa" w:w="1440"/>
          </w:tcPr>
          <w:p>
            <w:pPr>
              <w:jc w:val="center"/>
            </w:pPr>
            <w:r>
              <w:rPr>
                <w:sz w:val="20"/>
              </w:rPr>
              <w:t>≥3.0</w:t>
            </w:r>
          </w:p>
        </w:tc>
      </w:tr>
    </w:tbl>
    <w:p/>
    <w:p/>
    <w:p>
      <w:pPr>
        <w:pStyle w:val="Heading3"/>
      </w:pPr>
      <w:r>
        <w:rPr>
          <w:rFonts w:ascii="黑体" w:hAnsi="黑体" w:eastAsia="黑体"/>
          <w:b/>
          <w:sz w:val="28"/>
        </w:rPr>
        <w:t>4.2.4 评价指标权重赋值方法</w:t>
      </w:r>
    </w:p>
    <w:p/>
    <w:p>
      <w:pPr>
        <w:spacing w:line="360" w:lineRule="auto"/>
        <w:ind w:left="432"/>
      </w:pPr>
      <w:r>
        <w:rPr>
          <w:rFonts w:ascii="宋体" w:hAnsi="宋体" w:eastAsia="宋体"/>
          <w:sz w:val="24"/>
        </w:rPr>
        <w:t xml:space="preserve">    **层次分析法（AHP）：**</w:t>
      </w:r>
    </w:p>
    <w:p>
      <w:pPr>
        <w:spacing w:line="360" w:lineRule="auto"/>
        <w:ind w:left="432"/>
      </w:pPr>
      <w:r>
        <w:rPr>
          <w:rFonts w:ascii="宋体" w:hAnsi="宋体" w:eastAsia="宋体"/>
          <w:sz w:val="24"/>
        </w:rPr>
        <w:t>1. 建立层次结构模型</w:t>
      </w:r>
    </w:p>
    <w:p>
      <w:pPr>
        <w:spacing w:line="360" w:lineRule="auto"/>
        <w:ind w:left="432"/>
      </w:pPr>
      <w:r>
        <w:rPr>
          <w:rFonts w:ascii="宋体" w:hAnsi="宋体" w:eastAsia="宋体"/>
          <w:sz w:val="24"/>
        </w:rPr>
        <w:t>2. 构造判断矩阵</w:t>
      </w:r>
    </w:p>
    <w:p>
      <w:pPr>
        <w:spacing w:line="360" w:lineRule="auto"/>
        <w:ind w:left="432"/>
      </w:pPr>
      <w:r>
        <w:rPr>
          <w:rFonts w:ascii="宋体" w:hAnsi="宋体" w:eastAsia="宋体"/>
          <w:sz w:val="24"/>
        </w:rPr>
        <w:t>3. 计算权重向量</w:t>
      </w:r>
    </w:p>
    <w:p>
      <w:pPr>
        <w:spacing w:line="360" w:lineRule="auto"/>
        <w:ind w:left="432"/>
      </w:pPr>
      <w:r>
        <w:rPr>
          <w:rFonts w:ascii="宋体" w:hAnsi="宋体" w:eastAsia="宋体"/>
          <w:sz w:val="24"/>
        </w:rPr>
        <w:t>4. 一致性检验</w:t>
      </w:r>
    </w:p>
    <w:p/>
    <w:p>
      <w:pPr>
        <w:spacing w:line="360" w:lineRule="auto"/>
        <w:ind w:left="432"/>
      </w:pPr>
      <w:r>
        <w:rPr>
          <w:rFonts w:ascii="宋体" w:hAnsi="宋体" w:eastAsia="宋体"/>
          <w:sz w:val="24"/>
        </w:rPr>
        <w:t xml:space="preserve">    **熵权法：**</w:t>
      </w:r>
    </w:p>
    <w:p>
      <w:pPr>
        <w:spacing w:line="360" w:lineRule="auto"/>
        <w:ind w:left="432"/>
      </w:pPr>
      <w:r>
        <w:rPr>
          <w:rFonts w:ascii="宋体" w:hAnsi="宋体" w:eastAsia="宋体"/>
          <w:sz w:val="24"/>
        </w:rPr>
        <w:t>1. 数据标准化</w:t>
      </w:r>
    </w:p>
    <w:p>
      <w:pPr>
        <w:spacing w:line="360" w:lineRule="auto"/>
        <w:ind w:left="432"/>
      </w:pPr>
      <w:r>
        <w:rPr>
          <w:rFonts w:ascii="宋体" w:hAnsi="宋体" w:eastAsia="宋体"/>
          <w:sz w:val="24"/>
        </w:rPr>
        <w:t>2. 计算熵值</w:t>
      </w:r>
    </w:p>
    <w:p>
      <w:pPr>
        <w:spacing w:line="360" w:lineRule="auto"/>
        <w:ind w:left="432"/>
      </w:pPr>
      <w:r>
        <w:rPr>
          <w:rFonts w:ascii="宋体" w:hAnsi="宋体" w:eastAsia="宋体"/>
          <w:sz w:val="24"/>
        </w:rPr>
        <w:t>3. 计算差异系数</w:t>
      </w:r>
    </w:p>
    <w:p>
      <w:pPr>
        <w:spacing w:line="360" w:lineRule="auto"/>
        <w:ind w:left="432"/>
      </w:pPr>
      <w:r>
        <w:rPr>
          <w:rFonts w:ascii="宋体" w:hAnsi="宋体" w:eastAsia="宋体"/>
          <w:sz w:val="24"/>
        </w:rPr>
        <w:t>4. 计算权重</w:t>
      </w:r>
    </w:p>
    <w:p/>
    <w:p>
      <w:pPr>
        <w:pStyle w:val="Heading2"/>
      </w:pPr>
      <w:r>
        <w:rPr>
          <w:rFonts w:ascii="黑体" w:hAnsi="黑体" w:eastAsia="黑体"/>
          <w:b/>
          <w:sz w:val="32"/>
        </w:rPr>
        <w:t>4.3 科学统一的健康状态评估规则库构建</w:t>
      </w:r>
    </w:p>
    <w:p/>
    <w:p>
      <w:pPr>
        <w:pStyle w:val="Heading3"/>
      </w:pPr>
      <w:r>
        <w:rPr>
          <w:rFonts w:ascii="黑体" w:hAnsi="黑体" w:eastAsia="黑体"/>
          <w:b/>
          <w:sz w:val="28"/>
        </w:rPr>
        <w:t>4.3.1 规则库知识来源整合</w:t>
      </w:r>
    </w:p>
    <w:p/>
    <w:p>
      <w:pPr>
        <w:spacing w:line="360" w:lineRule="auto"/>
        <w:ind w:firstLine="432"/>
      </w:pPr>
      <w:r>
        <w:rPr>
          <w:rFonts w:ascii="宋体" w:hAnsi="宋体" w:eastAsia="宋体"/>
          <w:sz w:val="24"/>
        </w:rPr>
        <w:t>将多源知识整合到规则库：</w:t>
      </w:r>
    </w:p>
    <w:p>
      <w:pPr>
        <w:spacing w:line="360" w:lineRule="auto"/>
        <w:ind w:left="432"/>
      </w:pPr>
      <w:r>
        <w:rPr>
          <w:rFonts w:ascii="宋体" w:hAnsi="宋体" w:eastAsia="宋体"/>
          <w:sz w:val="24"/>
        </w:rPr>
        <w:t xml:space="preserve">    - 标准规范：提供基础阈值</w:t>
      </w:r>
    </w:p>
    <w:p>
      <w:pPr>
        <w:spacing w:line="360" w:lineRule="auto"/>
        <w:ind w:left="432"/>
      </w:pPr>
      <w:r>
        <w:rPr>
          <w:rFonts w:ascii="宋体" w:hAnsi="宋体" w:eastAsia="宋体"/>
          <w:sz w:val="24"/>
        </w:rPr>
        <w:t xml:space="preserve">    - 专家经验：提供定性规则</w:t>
      </w:r>
    </w:p>
    <w:p>
      <w:pPr>
        <w:spacing w:line="360" w:lineRule="auto"/>
        <w:ind w:left="432"/>
      </w:pPr>
      <w:r>
        <w:rPr>
          <w:rFonts w:ascii="宋体" w:hAnsi="宋体" w:eastAsia="宋体"/>
          <w:sz w:val="24"/>
        </w:rPr>
        <w:t xml:space="preserve">    - 机理分析：提供因果关系</w:t>
      </w:r>
    </w:p>
    <w:p>
      <w:pPr>
        <w:spacing w:line="360" w:lineRule="auto"/>
        <w:ind w:left="432"/>
      </w:pPr>
      <w:r>
        <w:rPr>
          <w:rFonts w:ascii="宋体" w:hAnsi="宋体" w:eastAsia="宋体"/>
          <w:sz w:val="24"/>
        </w:rPr>
        <w:t xml:space="preserve">    - 数据挖掘：提供统计规律</w:t>
      </w:r>
    </w:p>
    <w:p>
      <w:pPr>
        <w:spacing w:line="360" w:lineRule="auto"/>
        <w:ind w:left="432"/>
      </w:pPr>
      <w:r>
        <w:rPr>
          <w:rFonts w:ascii="宋体" w:hAnsi="宋体" w:eastAsia="宋体"/>
          <w:sz w:val="24"/>
        </w:rPr>
        <w:t xml:space="preserve">    - 案例库：提供验证依据</w:t>
      </w:r>
    </w:p>
    <w:p/>
    <w:p>
      <w:pPr>
        <w:pStyle w:val="Heading3"/>
      </w:pPr>
      <w:r>
        <w:rPr>
          <w:rFonts w:ascii="黑体" w:hAnsi="黑体" w:eastAsia="黑体"/>
          <w:b/>
          <w:sz w:val="28"/>
        </w:rPr>
        <w:t>4.3.2 规则的结构化表示方法</w:t>
      </w:r>
    </w:p>
    <w:p/>
    <w:p>
      <w:pPr>
        <w:spacing w:line="360" w:lineRule="auto"/>
        <w:ind w:left="432"/>
      </w:pPr>
      <w:r>
        <w:rPr>
          <w:rFonts w:ascii="宋体" w:hAnsi="宋体" w:eastAsia="宋体"/>
          <w:sz w:val="24"/>
        </w:rPr>
        <w:t xml:space="preserve">    **IF-THEN规则示例：**</w:t>
      </w:r>
    </w:p>
    <w:p>
      <w:pPr>
        <w:shd w:fill="F2F2F2"/>
        <w:spacing w:line="240" w:lineRule="auto"/>
        <w:ind w:left="720" w:right="720"/>
      </w:pPr>
      <w:r>
        <w:rPr>
          <w:rFonts w:ascii="Consolas" w:hAnsi="Consolas" w:eastAsia="Consolas"/>
          <w:sz w:val="20"/>
        </w:rPr>
        <w:t>IF 电池电压 &lt; 2.8V AND 时钟偏差 &gt; 10s/天</w:t>
        <w:br/>
        <w:t>THEN 管理模块健康等级 = 严重</w:t>
        <w:br/>
        <w:t>置信度 = 0.9</w:t>
      </w:r>
    </w:p>
    <w:p/>
    <w:p>
      <w:pPr>
        <w:spacing w:line="360" w:lineRule="auto"/>
        <w:ind w:left="432"/>
      </w:pPr>
      <w:r>
        <w:rPr>
          <w:rFonts w:ascii="宋体" w:hAnsi="宋体" w:eastAsia="宋体"/>
          <w:sz w:val="24"/>
        </w:rPr>
        <w:t xml:space="preserve">    **决策表示例：**</w:t>
      </w:r>
    </w:p>
    <w:p>
      <w:pPr>
        <w:spacing w:line="360" w:lineRule="auto"/>
        <w:ind w:firstLine="432"/>
      </w:pPr>
      <w:r>
        <w:rPr>
          <w:rFonts w:ascii="宋体" w:hAnsi="宋体" w:eastAsia="宋体"/>
          <w:sz w:val="24"/>
        </w:rPr>
        <w:t>将各单元健康等级组合，判定设备综合健康等级。</w:t>
      </w:r>
    </w:p>
    <w:p/>
    <w:p>
      <w:pPr>
        <w:pStyle w:val="Heading3"/>
      </w:pPr>
      <w:r>
        <w:rPr>
          <w:rFonts w:ascii="黑体" w:hAnsi="黑体" w:eastAsia="黑体"/>
          <w:b/>
          <w:sz w:val="28"/>
        </w:rPr>
        <w:t>4.3.3 基于统一框架的多层级评估规则设计</w:t>
      </w:r>
    </w:p>
    <w:p/>
    <w:p>
      <w:pPr>
        <w:spacing w:line="360" w:lineRule="auto"/>
        <w:ind w:left="432"/>
      </w:pPr>
      <w:r>
        <w:rPr>
          <w:rFonts w:ascii="宋体" w:hAnsi="宋体" w:eastAsia="宋体"/>
          <w:sz w:val="24"/>
        </w:rPr>
        <w:t xml:space="preserve">    **单元级规则：** 针对各功能模块的评估规则</w:t>
      </w:r>
    </w:p>
    <w:p/>
    <w:p>
      <w:pPr>
        <w:spacing w:line="360" w:lineRule="auto"/>
        <w:ind w:firstLine="432"/>
      </w:pPr>
      <w:r>
        <w:rPr>
          <w:rFonts w:ascii="宋体" w:hAnsi="宋体" w:eastAsia="宋体"/>
          <w:sz w:val="24"/>
        </w:rPr>
        <w:t>表4-2 单元级评估规则示例表</w:t>
      </w:r>
    </w:p>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2"/>
              </w:rPr>
              <w:t>功能模块</w:t>
            </w:r>
          </w:p>
        </w:tc>
        <w:tc>
          <w:tcPr>
            <w:tcW w:type="dxa" w:w="2880"/>
          </w:tcPr>
          <w:p>
            <w:pPr>
              <w:jc w:val="center"/>
            </w:pPr>
            <w:r>
              <w:rPr>
                <w:b/>
                <w:sz w:val="22"/>
              </w:rPr>
              <w:t>规则条件</w:t>
            </w:r>
          </w:p>
        </w:tc>
        <w:tc>
          <w:tcPr>
            <w:tcW w:type="dxa" w:w="2880"/>
          </w:tcPr>
          <w:p>
            <w:pPr>
              <w:jc w:val="center"/>
            </w:pPr>
            <w:r>
              <w:rPr>
                <w:b/>
                <w:sz w:val="22"/>
              </w:rPr>
              <w:t>健康等级</w:t>
            </w:r>
          </w:p>
        </w:tc>
      </w:tr>
      <w:tr>
        <w:tc>
          <w:tcPr>
            <w:tcW w:type="dxa" w:w="2880"/>
          </w:tcPr>
          <w:p>
            <w:pPr>
              <w:jc w:val="center"/>
            </w:pPr>
            <w:r>
              <w:rPr>
                <w:sz w:val="20"/>
              </w:rPr>
              <w:t>电源模块</w:t>
            </w:r>
          </w:p>
        </w:tc>
        <w:tc>
          <w:tcPr>
            <w:tcW w:type="dxa" w:w="2880"/>
          </w:tcPr>
          <w:p>
            <w:pPr>
              <w:jc w:val="center"/>
            </w:pPr>
            <w:r>
              <w:rPr>
                <w:sz w:val="20"/>
              </w:rPr>
              <w:t>输出电压正常 AND 纹波正常</w:t>
            </w:r>
          </w:p>
        </w:tc>
        <w:tc>
          <w:tcPr>
            <w:tcW w:type="dxa" w:w="2880"/>
          </w:tcPr>
          <w:p>
            <w:pPr>
              <w:jc w:val="center"/>
            </w:pPr>
            <w:r>
              <w:rPr>
                <w:sz w:val="20"/>
              </w:rPr>
              <w:t>正常</w:t>
            </w:r>
          </w:p>
        </w:tc>
      </w:tr>
      <w:tr>
        <w:tc>
          <w:tcPr>
            <w:tcW w:type="dxa" w:w="2880"/>
          </w:tcPr>
          <w:p>
            <w:pPr>
              <w:jc w:val="center"/>
            </w:pPr>
            <w:r>
              <w:rPr>
                <w:sz w:val="20"/>
              </w:rPr>
              <w:t>电源模块</w:t>
            </w:r>
          </w:p>
        </w:tc>
        <w:tc>
          <w:tcPr>
            <w:tcW w:type="dxa" w:w="2880"/>
          </w:tcPr>
          <w:p>
            <w:pPr>
              <w:jc w:val="center"/>
            </w:pPr>
            <w:r>
              <w:rPr>
                <w:sz w:val="20"/>
              </w:rPr>
              <w:t>输出电压异常 OR 纹波偏大</w:t>
            </w:r>
          </w:p>
        </w:tc>
        <w:tc>
          <w:tcPr>
            <w:tcW w:type="dxa" w:w="2880"/>
          </w:tcPr>
          <w:p>
            <w:pPr>
              <w:jc w:val="center"/>
            </w:pPr>
            <w:r>
              <w:rPr>
                <w:sz w:val="20"/>
              </w:rPr>
              <w:t>注意</w:t>
            </w:r>
          </w:p>
        </w:tc>
      </w:tr>
      <w:tr>
        <w:tc>
          <w:tcPr>
            <w:tcW w:type="dxa" w:w="2880"/>
          </w:tcPr>
          <w:p>
            <w:pPr>
              <w:jc w:val="center"/>
            </w:pPr>
            <w:r>
              <w:rPr>
                <w:sz w:val="20"/>
              </w:rPr>
              <w:t>电源模块</w:t>
            </w:r>
          </w:p>
        </w:tc>
        <w:tc>
          <w:tcPr>
            <w:tcW w:type="dxa" w:w="2880"/>
          </w:tcPr>
          <w:p>
            <w:pPr>
              <w:jc w:val="center"/>
            </w:pPr>
            <w:r>
              <w:rPr>
                <w:sz w:val="20"/>
              </w:rPr>
              <w:t>输出电压严重异常 OR 纹波严重超标</w:t>
            </w:r>
          </w:p>
        </w:tc>
        <w:tc>
          <w:tcPr>
            <w:tcW w:type="dxa" w:w="2880"/>
          </w:tcPr>
          <w:p>
            <w:pPr>
              <w:jc w:val="center"/>
            </w:pPr>
            <w:r>
              <w:rPr>
                <w:sz w:val="20"/>
              </w:rPr>
              <w:t>异常</w:t>
            </w:r>
          </w:p>
        </w:tc>
      </w:tr>
      <w:tr>
        <w:tc>
          <w:tcPr>
            <w:tcW w:type="dxa" w:w="2880"/>
          </w:tcPr>
          <w:p>
            <w:pPr>
              <w:jc w:val="center"/>
            </w:pPr>
            <w:r>
              <w:rPr>
                <w:sz w:val="20"/>
              </w:rPr>
              <w:t>电源模块</w:t>
            </w:r>
          </w:p>
        </w:tc>
        <w:tc>
          <w:tcPr>
            <w:tcW w:type="dxa" w:w="2880"/>
          </w:tcPr>
          <w:p>
            <w:pPr>
              <w:jc w:val="center"/>
            </w:pPr>
            <w:r>
              <w:rPr>
                <w:sz w:val="20"/>
              </w:rPr>
              <w:t>电源失效</w:t>
            </w:r>
          </w:p>
        </w:tc>
        <w:tc>
          <w:tcPr>
            <w:tcW w:type="dxa" w:w="2880"/>
          </w:tcPr>
          <w:p>
            <w:pPr>
              <w:jc w:val="center"/>
            </w:pPr>
            <w:r>
              <w:rPr>
                <w:sz w:val="20"/>
              </w:rPr>
              <w:t>严重</w:t>
            </w:r>
          </w:p>
        </w:tc>
      </w:tr>
      <w:tr>
        <w:tc>
          <w:tcPr>
            <w:tcW w:type="dxa" w:w="2880"/>
          </w:tcPr>
          <w:p>
            <w:pPr>
              <w:jc w:val="center"/>
            </w:pPr>
            <w:r>
              <w:rPr>
                <w:sz w:val="20"/>
              </w:rPr>
              <w:t>计量模块</w:t>
            </w:r>
          </w:p>
        </w:tc>
        <w:tc>
          <w:tcPr>
            <w:tcW w:type="dxa" w:w="2880"/>
          </w:tcPr>
          <w:p>
            <w:pPr>
              <w:jc w:val="center"/>
            </w:pPr>
            <w:r>
              <w:rPr>
                <w:sz w:val="20"/>
              </w:rPr>
              <w:t>计量误差合格</w:t>
            </w:r>
          </w:p>
        </w:tc>
        <w:tc>
          <w:tcPr>
            <w:tcW w:type="dxa" w:w="2880"/>
          </w:tcPr>
          <w:p>
            <w:pPr>
              <w:jc w:val="center"/>
            </w:pPr>
            <w:r>
              <w:rPr>
                <w:sz w:val="20"/>
              </w:rPr>
              <w:t>正常</w:t>
            </w:r>
          </w:p>
        </w:tc>
      </w:tr>
      <w:tr>
        <w:tc>
          <w:tcPr>
            <w:tcW w:type="dxa" w:w="2880"/>
          </w:tcPr>
          <w:p>
            <w:pPr>
              <w:jc w:val="center"/>
            </w:pPr>
            <w:r>
              <w:rPr>
                <w:sz w:val="20"/>
              </w:rPr>
              <w:t>计量模块</w:t>
            </w:r>
          </w:p>
        </w:tc>
        <w:tc>
          <w:tcPr>
            <w:tcW w:type="dxa" w:w="2880"/>
          </w:tcPr>
          <w:p>
            <w:pPr>
              <w:jc w:val="center"/>
            </w:pPr>
            <w:r>
              <w:rPr>
                <w:sz w:val="20"/>
              </w:rPr>
              <w:t>计量误差轻微超差</w:t>
            </w:r>
          </w:p>
        </w:tc>
        <w:tc>
          <w:tcPr>
            <w:tcW w:type="dxa" w:w="2880"/>
          </w:tcPr>
          <w:p>
            <w:pPr>
              <w:jc w:val="center"/>
            </w:pPr>
            <w:r>
              <w:rPr>
                <w:sz w:val="20"/>
              </w:rPr>
              <w:t>注意</w:t>
            </w:r>
          </w:p>
        </w:tc>
      </w:tr>
      <w:tr>
        <w:tc>
          <w:tcPr>
            <w:tcW w:type="dxa" w:w="2880"/>
          </w:tcPr>
          <w:p>
            <w:pPr>
              <w:jc w:val="center"/>
            </w:pPr>
            <w:r>
              <w:rPr>
                <w:sz w:val="20"/>
              </w:rPr>
              <w:t>计量模块</w:t>
            </w:r>
          </w:p>
        </w:tc>
        <w:tc>
          <w:tcPr>
            <w:tcW w:type="dxa" w:w="2880"/>
          </w:tcPr>
          <w:p>
            <w:pPr>
              <w:jc w:val="center"/>
            </w:pPr>
            <w:r>
              <w:rPr>
                <w:sz w:val="20"/>
              </w:rPr>
              <w:t>计量误差超差较大</w:t>
            </w:r>
          </w:p>
        </w:tc>
        <w:tc>
          <w:tcPr>
            <w:tcW w:type="dxa" w:w="2880"/>
          </w:tcPr>
          <w:p>
            <w:pPr>
              <w:jc w:val="center"/>
            </w:pPr>
            <w:r>
              <w:rPr>
                <w:sz w:val="20"/>
              </w:rPr>
              <w:t>异常</w:t>
            </w:r>
          </w:p>
        </w:tc>
      </w:tr>
      <w:tr>
        <w:tc>
          <w:tcPr>
            <w:tcW w:type="dxa" w:w="2880"/>
          </w:tcPr>
          <w:p>
            <w:pPr>
              <w:jc w:val="center"/>
            </w:pPr>
            <w:r>
              <w:rPr>
                <w:sz w:val="20"/>
              </w:rPr>
              <w:t>计量模块</w:t>
            </w:r>
          </w:p>
        </w:tc>
        <w:tc>
          <w:tcPr>
            <w:tcW w:type="dxa" w:w="2880"/>
          </w:tcPr>
          <w:p>
            <w:pPr>
              <w:jc w:val="center"/>
            </w:pPr>
            <w:r>
              <w:rPr>
                <w:sz w:val="20"/>
              </w:rPr>
              <w:t>计量失效</w:t>
            </w:r>
          </w:p>
        </w:tc>
        <w:tc>
          <w:tcPr>
            <w:tcW w:type="dxa" w:w="2880"/>
          </w:tcPr>
          <w:p>
            <w:pPr>
              <w:jc w:val="center"/>
            </w:pPr>
            <w:r>
              <w:rPr>
                <w:sz w:val="20"/>
              </w:rPr>
              <w:t>严重</w:t>
            </w:r>
          </w:p>
        </w:tc>
      </w:tr>
    </w:tbl>
    <w:p/>
    <w:p/>
    <w:p>
      <w:pPr>
        <w:spacing w:line="360" w:lineRule="auto"/>
        <w:ind w:left="432"/>
      </w:pPr>
      <w:r>
        <w:rPr>
          <w:rFonts w:ascii="宋体" w:hAnsi="宋体" w:eastAsia="宋体"/>
          <w:sz w:val="24"/>
        </w:rPr>
        <w:t xml:space="preserve">    **设备级规则：** 融合各单元状态的单设备整体评估规则</w:t>
      </w:r>
    </w:p>
    <w:p/>
    <w:p>
      <w:pPr>
        <w:spacing w:line="360" w:lineRule="auto"/>
        <w:ind w:firstLine="432"/>
      </w:pPr>
      <w:r>
        <w:rPr>
          <w:rFonts w:ascii="宋体" w:hAnsi="宋体" w:eastAsia="宋体"/>
          <w:sz w:val="24"/>
        </w:rPr>
        <w:t>表4-3 设备级综合评估决策表</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2"/>
              </w:rPr>
              <w:t>电源模块</w:t>
            </w:r>
          </w:p>
        </w:tc>
        <w:tc>
          <w:tcPr>
            <w:tcW w:type="dxa" w:w="1728"/>
          </w:tcPr>
          <w:p>
            <w:pPr>
              <w:jc w:val="center"/>
            </w:pPr>
            <w:r>
              <w:rPr>
                <w:b/>
                <w:sz w:val="22"/>
              </w:rPr>
              <w:t>计量模块</w:t>
            </w:r>
          </w:p>
        </w:tc>
        <w:tc>
          <w:tcPr>
            <w:tcW w:type="dxa" w:w="1728"/>
          </w:tcPr>
          <w:p>
            <w:pPr>
              <w:jc w:val="center"/>
            </w:pPr>
            <w:r>
              <w:rPr>
                <w:b/>
                <w:sz w:val="22"/>
              </w:rPr>
              <w:t>通信模块</w:t>
            </w:r>
          </w:p>
        </w:tc>
        <w:tc>
          <w:tcPr>
            <w:tcW w:type="dxa" w:w="1728"/>
          </w:tcPr>
          <w:p>
            <w:pPr>
              <w:jc w:val="center"/>
            </w:pPr>
            <w:r>
              <w:rPr>
                <w:b/>
                <w:sz w:val="22"/>
              </w:rPr>
              <w:t>管理模块</w:t>
            </w:r>
          </w:p>
        </w:tc>
        <w:tc>
          <w:tcPr>
            <w:tcW w:type="dxa" w:w="1728"/>
          </w:tcPr>
          <w:p>
            <w:pPr>
              <w:jc w:val="center"/>
            </w:pPr>
            <w:r>
              <w:rPr>
                <w:b/>
                <w:sz w:val="22"/>
              </w:rPr>
              <w:t>综合健康等级</w:t>
            </w:r>
          </w:p>
        </w:tc>
      </w:tr>
      <w:tr>
        <w:tc>
          <w:tcPr>
            <w:tcW w:type="dxa" w:w="1728"/>
          </w:tcPr>
          <w:p>
            <w:pPr>
              <w:jc w:val="center"/>
            </w:pPr>
            <w:r>
              <w:rPr>
                <w:sz w:val="20"/>
              </w:rPr>
              <w:t>正常</w:t>
            </w:r>
          </w:p>
        </w:tc>
        <w:tc>
          <w:tcPr>
            <w:tcW w:type="dxa" w:w="1728"/>
          </w:tcPr>
          <w:p>
            <w:pPr>
              <w:jc w:val="center"/>
            </w:pPr>
            <w:r>
              <w:rPr>
                <w:sz w:val="20"/>
              </w:rPr>
              <w:t>正常</w:t>
            </w:r>
          </w:p>
        </w:tc>
        <w:tc>
          <w:tcPr>
            <w:tcW w:type="dxa" w:w="1728"/>
          </w:tcPr>
          <w:p>
            <w:pPr>
              <w:jc w:val="center"/>
            </w:pPr>
            <w:r>
              <w:rPr>
                <w:sz w:val="20"/>
              </w:rPr>
              <w:t>正常</w:t>
            </w:r>
          </w:p>
        </w:tc>
        <w:tc>
          <w:tcPr>
            <w:tcW w:type="dxa" w:w="1728"/>
          </w:tcPr>
          <w:p>
            <w:pPr>
              <w:jc w:val="center"/>
            </w:pPr>
            <w:r>
              <w:rPr>
                <w:sz w:val="20"/>
              </w:rPr>
              <w:t>正常</w:t>
            </w:r>
          </w:p>
        </w:tc>
        <w:tc>
          <w:tcPr>
            <w:tcW w:type="dxa" w:w="1728"/>
          </w:tcPr>
          <w:p>
            <w:pPr>
              <w:jc w:val="center"/>
            </w:pPr>
            <w:r>
              <w:rPr>
                <w:sz w:val="20"/>
              </w:rPr>
              <w:t>正常</w:t>
            </w:r>
          </w:p>
        </w:tc>
      </w:tr>
      <w:tr>
        <w:tc>
          <w:tcPr>
            <w:tcW w:type="dxa" w:w="1728"/>
          </w:tcPr>
          <w:p>
            <w:pPr>
              <w:jc w:val="center"/>
            </w:pPr>
            <w:r>
              <w:rPr>
                <w:sz w:val="20"/>
              </w:rPr>
              <w:t>注意</w:t>
            </w:r>
          </w:p>
        </w:tc>
        <w:tc>
          <w:tcPr>
            <w:tcW w:type="dxa" w:w="1728"/>
          </w:tcPr>
          <w:p>
            <w:pPr>
              <w:jc w:val="center"/>
            </w:pPr>
            <w:r>
              <w:rPr>
                <w:sz w:val="20"/>
              </w:rPr>
              <w:t>正常</w:t>
            </w:r>
          </w:p>
        </w:tc>
        <w:tc>
          <w:tcPr>
            <w:tcW w:type="dxa" w:w="1728"/>
          </w:tcPr>
          <w:p>
            <w:pPr>
              <w:jc w:val="center"/>
            </w:pPr>
            <w:r>
              <w:rPr>
                <w:sz w:val="20"/>
              </w:rPr>
              <w:t>正常</w:t>
            </w:r>
          </w:p>
        </w:tc>
        <w:tc>
          <w:tcPr>
            <w:tcW w:type="dxa" w:w="1728"/>
          </w:tcPr>
          <w:p>
            <w:pPr>
              <w:jc w:val="center"/>
            </w:pPr>
            <w:r>
              <w:rPr>
                <w:sz w:val="20"/>
              </w:rPr>
              <w:t>正常</w:t>
            </w:r>
          </w:p>
        </w:tc>
        <w:tc>
          <w:tcPr>
            <w:tcW w:type="dxa" w:w="1728"/>
          </w:tcPr>
          <w:p>
            <w:pPr>
              <w:jc w:val="center"/>
            </w:pPr>
            <w:r>
              <w:rPr>
                <w:sz w:val="20"/>
              </w:rPr>
              <w:t>注意</w:t>
            </w:r>
          </w:p>
        </w:tc>
      </w:tr>
      <w:tr>
        <w:tc>
          <w:tcPr>
            <w:tcW w:type="dxa" w:w="1728"/>
          </w:tcPr>
          <w:p>
            <w:pPr>
              <w:jc w:val="center"/>
            </w:pPr>
            <w:r>
              <w:rPr>
                <w:sz w:val="20"/>
              </w:rPr>
              <w:t>正常</w:t>
            </w:r>
          </w:p>
        </w:tc>
        <w:tc>
          <w:tcPr>
            <w:tcW w:type="dxa" w:w="1728"/>
          </w:tcPr>
          <w:p>
            <w:pPr>
              <w:jc w:val="center"/>
            </w:pPr>
            <w:r>
              <w:rPr>
                <w:sz w:val="20"/>
              </w:rPr>
              <w:t>注意</w:t>
            </w:r>
          </w:p>
        </w:tc>
        <w:tc>
          <w:tcPr>
            <w:tcW w:type="dxa" w:w="1728"/>
          </w:tcPr>
          <w:p>
            <w:pPr>
              <w:jc w:val="center"/>
            </w:pPr>
            <w:r>
              <w:rPr>
                <w:sz w:val="20"/>
              </w:rPr>
              <w:t>注意</w:t>
            </w:r>
          </w:p>
        </w:tc>
        <w:tc>
          <w:tcPr>
            <w:tcW w:type="dxa" w:w="1728"/>
          </w:tcPr>
          <w:p>
            <w:pPr>
              <w:jc w:val="center"/>
            </w:pPr>
            <w:r>
              <w:rPr>
                <w:sz w:val="20"/>
              </w:rPr>
              <w:t>正常</w:t>
            </w:r>
          </w:p>
        </w:tc>
        <w:tc>
          <w:tcPr>
            <w:tcW w:type="dxa" w:w="1728"/>
          </w:tcPr>
          <w:p>
            <w:pPr>
              <w:jc w:val="center"/>
            </w:pPr>
            <w:r>
              <w:rPr>
                <w:sz w:val="20"/>
              </w:rPr>
              <w:t>注意</w:t>
            </w:r>
          </w:p>
        </w:tc>
      </w:tr>
      <w:tr>
        <w:tc>
          <w:tcPr>
            <w:tcW w:type="dxa" w:w="1728"/>
          </w:tcPr>
          <w:p>
            <w:pPr>
              <w:jc w:val="center"/>
            </w:pPr>
            <w:r>
              <w:rPr>
                <w:sz w:val="20"/>
              </w:rPr>
              <w:t>异常</w:t>
            </w:r>
          </w:p>
        </w:tc>
        <w:tc>
          <w:tcPr>
            <w:tcW w:type="dxa" w:w="1728"/>
          </w:tcPr>
          <w:p>
            <w:pPr>
              <w:jc w:val="center"/>
            </w:pPr>
            <w:r>
              <w:rPr>
                <w:sz w:val="20"/>
              </w:rPr>
              <w:t>正常</w:t>
            </w:r>
          </w:p>
        </w:tc>
        <w:tc>
          <w:tcPr>
            <w:tcW w:type="dxa" w:w="1728"/>
          </w:tcPr>
          <w:p>
            <w:pPr>
              <w:jc w:val="center"/>
            </w:pPr>
            <w:r>
              <w:rPr>
                <w:sz w:val="20"/>
              </w:rPr>
              <w:t>正常</w:t>
            </w:r>
          </w:p>
        </w:tc>
        <w:tc>
          <w:tcPr>
            <w:tcW w:type="dxa" w:w="1728"/>
          </w:tcPr>
          <w:p>
            <w:pPr>
              <w:jc w:val="center"/>
            </w:pPr>
            <w:r>
              <w:rPr>
                <w:sz w:val="20"/>
              </w:rPr>
              <w:t>正常</w:t>
            </w:r>
          </w:p>
        </w:tc>
        <w:tc>
          <w:tcPr>
            <w:tcW w:type="dxa" w:w="1728"/>
          </w:tcPr>
          <w:p>
            <w:pPr>
              <w:jc w:val="center"/>
            </w:pPr>
            <w:r>
              <w:rPr>
                <w:sz w:val="20"/>
              </w:rPr>
              <w:t>异常</w:t>
            </w:r>
          </w:p>
        </w:tc>
      </w:tr>
      <w:tr>
        <w:tc>
          <w:tcPr>
            <w:tcW w:type="dxa" w:w="1728"/>
          </w:tcPr>
          <w:p>
            <w:pPr>
              <w:jc w:val="center"/>
            </w:pPr>
            <w:r>
              <w:rPr>
                <w:sz w:val="20"/>
              </w:rPr>
              <w:t>严重</w:t>
            </w:r>
          </w:p>
        </w:tc>
        <w:tc>
          <w:tcPr>
            <w:tcW w:type="dxa" w:w="1728"/>
          </w:tcPr>
          <w:p>
            <w:pPr>
              <w:jc w:val="center"/>
            </w:pPr>
            <w:r>
              <w:rPr>
                <w:sz w:val="20"/>
              </w:rPr>
              <w:t>任意</w:t>
            </w:r>
          </w:p>
        </w:tc>
        <w:tc>
          <w:tcPr>
            <w:tcW w:type="dxa" w:w="1728"/>
          </w:tcPr>
          <w:p>
            <w:pPr>
              <w:jc w:val="center"/>
            </w:pPr>
            <w:r>
              <w:rPr>
                <w:sz w:val="20"/>
              </w:rPr>
              <w:t>任意</w:t>
            </w:r>
          </w:p>
        </w:tc>
        <w:tc>
          <w:tcPr>
            <w:tcW w:type="dxa" w:w="1728"/>
          </w:tcPr>
          <w:p>
            <w:pPr>
              <w:jc w:val="center"/>
            </w:pPr>
            <w:r>
              <w:rPr>
                <w:sz w:val="20"/>
              </w:rPr>
              <w:t>任意</w:t>
            </w:r>
          </w:p>
        </w:tc>
        <w:tc>
          <w:tcPr>
            <w:tcW w:type="dxa" w:w="1728"/>
          </w:tcPr>
          <w:p>
            <w:pPr>
              <w:jc w:val="center"/>
            </w:pPr>
            <w:r>
              <w:rPr>
                <w:sz w:val="20"/>
              </w:rPr>
              <w:t>严重</w:t>
            </w:r>
          </w:p>
        </w:tc>
      </w:tr>
      <w:tr>
        <w:tc>
          <w:tcPr>
            <w:tcW w:type="dxa" w:w="1728"/>
          </w:tcPr>
          <w:p>
            <w:pPr>
              <w:jc w:val="center"/>
            </w:pPr>
            <w:r>
              <w:rPr>
                <w:sz w:val="20"/>
              </w:rPr>
              <w:t>任意</w:t>
            </w:r>
          </w:p>
        </w:tc>
        <w:tc>
          <w:tcPr>
            <w:tcW w:type="dxa" w:w="1728"/>
          </w:tcPr>
          <w:p>
            <w:pPr>
              <w:jc w:val="center"/>
            </w:pPr>
            <w:r>
              <w:rPr>
                <w:sz w:val="20"/>
              </w:rPr>
              <w:t>严重</w:t>
            </w:r>
          </w:p>
        </w:tc>
        <w:tc>
          <w:tcPr>
            <w:tcW w:type="dxa" w:w="1728"/>
          </w:tcPr>
          <w:p>
            <w:pPr>
              <w:jc w:val="center"/>
            </w:pPr>
            <w:r>
              <w:rPr>
                <w:sz w:val="20"/>
              </w:rPr>
              <w:t>任意</w:t>
            </w:r>
          </w:p>
        </w:tc>
        <w:tc>
          <w:tcPr>
            <w:tcW w:type="dxa" w:w="1728"/>
          </w:tcPr>
          <w:p>
            <w:pPr>
              <w:jc w:val="center"/>
            </w:pPr>
            <w:r>
              <w:rPr>
                <w:sz w:val="20"/>
              </w:rPr>
              <w:t>任意</w:t>
            </w:r>
          </w:p>
        </w:tc>
        <w:tc>
          <w:tcPr>
            <w:tcW w:type="dxa" w:w="1728"/>
          </w:tcPr>
          <w:p>
            <w:pPr>
              <w:jc w:val="center"/>
            </w:pPr>
            <w:r>
              <w:rPr>
                <w:sz w:val="20"/>
              </w:rPr>
              <w:t>严重</w:t>
            </w:r>
          </w:p>
        </w:tc>
      </w:tr>
    </w:tbl>
    <w:p/>
    <w:p/>
    <w:p>
      <w:pPr>
        <w:spacing w:line="360" w:lineRule="auto"/>
        <w:ind w:left="432"/>
      </w:pPr>
      <w:r>
        <w:rPr>
          <w:rFonts w:ascii="宋体" w:hAnsi="宋体" w:eastAsia="宋体"/>
          <w:sz w:val="24"/>
        </w:rPr>
        <w:t xml:space="preserve">    **台区级规则：** 面向一个台区下所有终端和表计的群体评估与预警规则</w:t>
      </w:r>
    </w:p>
    <w:p/>
    <w:p>
      <w:pPr>
        <w:spacing w:line="360" w:lineRule="auto"/>
        <w:ind w:left="432"/>
      </w:pPr>
      <w:r>
        <w:rPr>
          <w:rFonts w:ascii="宋体" w:hAnsi="宋体" w:eastAsia="宋体"/>
          <w:sz w:val="24"/>
        </w:rPr>
        <w:t>1. 台区健康指数：$HI_{station} = \frac{1}{N} \sum_{i=1}^{N} HI_i$</w:t>
      </w:r>
    </w:p>
    <w:p>
      <w:pPr>
        <w:spacing w:line="360" w:lineRule="auto"/>
        <w:ind w:left="432"/>
      </w:pPr>
      <w:r>
        <w:rPr>
          <w:rFonts w:ascii="宋体" w:hAnsi="宋体" w:eastAsia="宋体"/>
          <w:sz w:val="24"/>
        </w:rPr>
        <w:t>2. 风险设备识别：识别健康等级为异常/严重的设备</w:t>
      </w:r>
    </w:p>
    <w:p>
      <w:pPr>
        <w:spacing w:line="360" w:lineRule="auto"/>
        <w:ind w:left="432"/>
      </w:pPr>
      <w:r>
        <w:rPr>
          <w:rFonts w:ascii="宋体" w:hAnsi="宋体" w:eastAsia="宋体"/>
          <w:sz w:val="24"/>
        </w:rPr>
        <w:t>3. 批量预警：对问题设备批量发送预警</w:t>
      </w:r>
    </w:p>
    <w:p/>
    <w:p>
      <w:pPr>
        <w:pStyle w:val="Heading3"/>
      </w:pPr>
      <w:r>
        <w:rPr>
          <w:rFonts w:ascii="黑体" w:hAnsi="黑体" w:eastAsia="黑体"/>
          <w:b/>
          <w:sz w:val="28"/>
        </w:rPr>
        <w:t>4.3.4 规则冲突消解与一致性维护机制</w:t>
      </w:r>
    </w:p>
    <w:p/>
    <w:p>
      <w:pPr>
        <w:spacing w:line="360" w:lineRule="auto"/>
        <w:ind w:left="432"/>
      </w:pPr>
      <w:r>
        <w:rPr>
          <w:rFonts w:ascii="宋体" w:hAnsi="宋体" w:eastAsia="宋体"/>
          <w:sz w:val="24"/>
        </w:rPr>
        <w:t xml:space="preserve">    **冲突消解策略：**</w:t>
      </w:r>
    </w:p>
    <w:p>
      <w:pPr>
        <w:spacing w:line="360" w:lineRule="auto"/>
        <w:ind w:left="432"/>
      </w:pPr>
      <w:r>
        <w:rPr>
          <w:rFonts w:ascii="宋体" w:hAnsi="宋体" w:eastAsia="宋体"/>
          <w:sz w:val="24"/>
        </w:rPr>
        <w:t>1. 优先级策略：高优先级规则优先</w:t>
      </w:r>
    </w:p>
    <w:p>
      <w:pPr>
        <w:spacing w:line="360" w:lineRule="auto"/>
        <w:ind w:left="432"/>
      </w:pPr>
      <w:r>
        <w:rPr>
          <w:rFonts w:ascii="宋体" w:hAnsi="宋体" w:eastAsia="宋体"/>
          <w:sz w:val="24"/>
        </w:rPr>
        <w:t>2. 特异性策略：更具体的规则优先</w:t>
      </w:r>
    </w:p>
    <w:p>
      <w:pPr>
        <w:spacing w:line="360" w:lineRule="auto"/>
        <w:ind w:left="432"/>
      </w:pPr>
      <w:r>
        <w:rPr>
          <w:rFonts w:ascii="宋体" w:hAnsi="宋体" w:eastAsia="宋体"/>
          <w:sz w:val="24"/>
        </w:rPr>
        <w:t>3. 最新性策略：最新的规则优先</w:t>
      </w:r>
    </w:p>
    <w:p>
      <w:pPr>
        <w:spacing w:line="360" w:lineRule="auto"/>
        <w:ind w:left="432"/>
      </w:pPr>
      <w:r>
        <w:rPr>
          <w:rFonts w:ascii="宋体" w:hAnsi="宋体" w:eastAsia="宋体"/>
          <w:sz w:val="24"/>
        </w:rPr>
        <w:t>4. 投票策略：多条规则投票决定</w:t>
      </w:r>
    </w:p>
    <w:p/>
    <w:p>
      <w:pPr>
        <w:spacing w:line="360" w:lineRule="auto"/>
        <w:ind w:left="432"/>
      </w:pPr>
      <w:r>
        <w:rPr>
          <w:rFonts w:ascii="宋体" w:hAnsi="宋体" w:eastAsia="宋体"/>
          <w:sz w:val="24"/>
        </w:rPr>
        <w:t xml:space="preserve">    **一致性维护：**</w:t>
      </w:r>
    </w:p>
    <w:p>
      <w:pPr>
        <w:spacing w:line="360" w:lineRule="auto"/>
        <w:ind w:left="432"/>
      </w:pPr>
      <w:r>
        <w:rPr>
          <w:rFonts w:ascii="宋体" w:hAnsi="宋体" w:eastAsia="宋体"/>
          <w:sz w:val="24"/>
        </w:rPr>
        <w:t>1. 规则库定期审核</w:t>
      </w:r>
    </w:p>
    <w:p>
      <w:pPr>
        <w:spacing w:line="360" w:lineRule="auto"/>
        <w:ind w:left="432"/>
      </w:pPr>
      <w:r>
        <w:rPr>
          <w:rFonts w:ascii="宋体" w:hAnsi="宋体" w:eastAsia="宋体"/>
          <w:sz w:val="24"/>
        </w:rPr>
        <w:t>2. 冲突检测与告警</w:t>
      </w:r>
    </w:p>
    <w:p>
      <w:pPr>
        <w:spacing w:line="360" w:lineRule="auto"/>
        <w:ind w:left="432"/>
      </w:pPr>
      <w:r>
        <w:rPr>
          <w:rFonts w:ascii="宋体" w:hAnsi="宋体" w:eastAsia="宋体"/>
          <w:sz w:val="24"/>
        </w:rPr>
        <w:t>3. 版本管理与回滚</w:t>
      </w:r>
    </w:p>
    <w:p/>
    <w:p>
      <w:pPr>
        <w:pStyle w:val="Heading2"/>
      </w:pPr>
      <w:r>
        <w:rPr>
          <w:rFonts w:ascii="黑体" w:hAnsi="黑体" w:eastAsia="黑体"/>
          <w:b/>
          <w:sz w:val="32"/>
        </w:rPr>
        <w:t>4.4 规则库管理系统设计与验证</w:t>
      </w:r>
    </w:p>
    <w:p/>
    <w:p>
      <w:pPr>
        <w:pStyle w:val="Heading3"/>
      </w:pPr>
      <w:r>
        <w:rPr>
          <w:rFonts w:ascii="黑体" w:hAnsi="黑体" w:eastAsia="黑体"/>
          <w:b/>
          <w:sz w:val="28"/>
        </w:rPr>
        <w:t>4.4.1 规则库数字化管理功能设计</w:t>
      </w:r>
    </w:p>
    <w:p/>
    <w:p>
      <w:pPr>
        <w:spacing w:line="360" w:lineRule="auto"/>
        <w:ind w:left="432"/>
      </w:pPr>
      <w:r>
        <w:rPr>
          <w:rFonts w:ascii="宋体" w:hAnsi="宋体" w:eastAsia="宋体"/>
          <w:sz w:val="24"/>
        </w:rPr>
        <w:t xml:space="preserve">    **核心功能：**</w:t>
      </w:r>
    </w:p>
    <w:p>
      <w:pPr>
        <w:spacing w:line="360" w:lineRule="auto"/>
        <w:ind w:left="432"/>
      </w:pPr>
      <w:r>
        <w:rPr>
          <w:rFonts w:ascii="宋体" w:hAnsi="宋体" w:eastAsia="宋体"/>
          <w:sz w:val="24"/>
        </w:rPr>
        <w:t>1. 规则创建与编辑</w:t>
      </w:r>
    </w:p>
    <w:p>
      <w:pPr>
        <w:spacing w:line="360" w:lineRule="auto"/>
        <w:ind w:left="432"/>
      </w:pPr>
      <w:r>
        <w:rPr>
          <w:rFonts w:ascii="宋体" w:hAnsi="宋体" w:eastAsia="宋体"/>
          <w:sz w:val="24"/>
        </w:rPr>
        <w:t>2. 规则查询与检索</w:t>
      </w:r>
    </w:p>
    <w:p>
      <w:pPr>
        <w:spacing w:line="360" w:lineRule="auto"/>
        <w:ind w:left="432"/>
      </w:pPr>
      <w:r>
        <w:rPr>
          <w:rFonts w:ascii="宋体" w:hAnsi="宋体" w:eastAsia="宋体"/>
          <w:sz w:val="24"/>
        </w:rPr>
        <w:t>3. 规则版本管理</w:t>
      </w:r>
    </w:p>
    <w:p>
      <w:pPr>
        <w:spacing w:line="360" w:lineRule="auto"/>
        <w:ind w:left="432"/>
      </w:pPr>
      <w:r>
        <w:rPr>
          <w:rFonts w:ascii="宋体" w:hAnsi="宋体" w:eastAsia="宋体"/>
          <w:sz w:val="24"/>
        </w:rPr>
        <w:t>4. 规则测试与验证</w:t>
      </w:r>
    </w:p>
    <w:p>
      <w:pPr>
        <w:spacing w:line="360" w:lineRule="auto"/>
        <w:ind w:left="432"/>
      </w:pPr>
      <w:r>
        <w:rPr>
          <w:rFonts w:ascii="宋体" w:hAnsi="宋体" w:eastAsia="宋体"/>
          <w:sz w:val="24"/>
        </w:rPr>
        <w:t>5. 规则发布与部署</w:t>
      </w:r>
    </w:p>
    <w:p/>
    <w:p>
      <w:pPr>
        <w:pStyle w:val="Heading3"/>
      </w:pPr>
      <w:r>
        <w:rPr>
          <w:rFonts w:ascii="黑体" w:hAnsi="黑体" w:eastAsia="黑体"/>
          <w:b/>
          <w:sz w:val="28"/>
        </w:rPr>
        <w:t>4.4.2 案例验证与规则迭代优化</w:t>
      </w:r>
    </w:p>
    <w:p/>
    <w:p>
      <w:pPr>
        <w:spacing w:line="360" w:lineRule="auto"/>
        <w:ind w:firstLine="432"/>
      </w:pPr>
      <w:r>
        <w:rPr>
          <w:rFonts w:ascii="宋体" w:hAnsi="宋体" w:eastAsia="宋体"/>
          <w:sz w:val="24"/>
        </w:rPr>
        <w:t>选取历史典型故障案例，对规则库进行回测验证。</w:t>
      </w:r>
    </w:p>
    <w:p/>
    <w:p>
      <w:pPr>
        <w:spacing w:line="360" w:lineRule="auto"/>
        <w:ind w:firstLine="432"/>
      </w:pPr>
      <w:r>
        <w:rPr>
          <w:rFonts w:ascii="宋体" w:hAnsi="宋体" w:eastAsia="宋体"/>
          <w:sz w:val="24"/>
        </w:rPr>
        <w:t>图4-3 典型故障案例的规则匹配与触发过程图</w:t>
      </w:r>
    </w:p>
    <w:p>
      <w:pPr>
        <w:shd w:fill="F2F2F2"/>
        <w:spacing w:line="240" w:lineRule="auto"/>
        <w:ind w:left="720" w:right="720"/>
      </w:pPr>
      <w:r>
        <w:rPr>
          <w:rFonts w:ascii="Consolas" w:hAnsi="Consolas" w:eastAsia="Consolas"/>
          <w:sz w:val="20"/>
        </w:rPr>
        <w:t>案例数据输入</w:t>
        <w:br/>
        <w:t xml:space="preserve">    │</w:t>
        <w:br/>
        <w:t xml:space="preserve">    ▼</w:t>
        <w:br/>
        <w:t>数据预处理</w:t>
        <w:br/>
        <w:t xml:space="preserve">    │</w:t>
        <w:br/>
        <w:t xml:space="preserve">    ▼</w:t>
        <w:br/>
        <w:t>特征提取</w:t>
        <w:br/>
        <w:t xml:space="preserve">    │</w:t>
        <w:br/>
        <w:t xml:space="preserve">    ▼</w:t>
        <w:br/>
        <w:t>规则匹配 ──→ 匹配成功？ ──→ 是 → 触发告警</w:t>
        <w:br/>
        <w:t xml:space="preserve">    ↑                    │</w:t>
        <w:br/>
        <w:t xml:space="preserve">    │                    否</w:t>
        <w:br/>
        <w:t xml:space="preserve">    └────────────────────┘</w:t>
        <w:br/>
        <w:t xml:space="preserve">    │</w:t>
        <w:br/>
        <w:t xml:space="preserve">    ▼</w:t>
        <w:br/>
        <w:t>健康状态评估</w:t>
        <w:br/>
        <w:t xml:space="preserve">    │</w:t>
        <w:br/>
        <w:t xml:space="preserve">    ▼</w:t>
        <w:br/>
        <w:t>结果输出</w:t>
      </w:r>
    </w:p>
    <w:p/>
    <w:p>
      <w:pPr>
        <w:spacing w:line="360" w:lineRule="auto"/>
        <w:ind w:left="432"/>
      </w:pPr>
      <w:r>
        <w:rPr>
          <w:rFonts w:ascii="宋体" w:hAnsi="宋体" w:eastAsia="宋体"/>
          <w:sz w:val="24"/>
        </w:rPr>
        <w:t xml:space="preserve">    **验证指标：**</w:t>
      </w:r>
    </w:p>
    <w:p>
      <w:pPr>
        <w:spacing w:line="360" w:lineRule="auto"/>
        <w:ind w:left="432"/>
      </w:pPr>
      <w:r>
        <w:rPr>
          <w:rFonts w:ascii="宋体" w:hAnsi="宋体" w:eastAsia="宋体"/>
          <w:sz w:val="24"/>
        </w:rPr>
        <w:t xml:space="preserve">    - 准确率：$\text{Accuracy} = \frac{TP + TN}{TP + TN + FP + FN}$</w:t>
      </w:r>
    </w:p>
    <w:p>
      <w:pPr>
        <w:spacing w:line="360" w:lineRule="auto"/>
        <w:ind w:left="432"/>
      </w:pPr>
      <w:r>
        <w:rPr>
          <w:rFonts w:ascii="宋体" w:hAnsi="宋体" w:eastAsia="宋体"/>
          <w:sz w:val="24"/>
        </w:rPr>
        <w:t xml:space="preserve">    - 精确率：$\text{Precision} = \frac{TP}{TP + FP}$</w:t>
      </w:r>
    </w:p>
    <w:p>
      <w:pPr>
        <w:spacing w:line="360" w:lineRule="auto"/>
        <w:ind w:left="432"/>
      </w:pPr>
      <w:r>
        <w:rPr>
          <w:rFonts w:ascii="宋体" w:hAnsi="宋体" w:eastAsia="宋体"/>
          <w:sz w:val="24"/>
        </w:rPr>
        <w:t xml:space="preserve">    - 召回率：$\text{Recall} = \frac{TP}{TP + FN}$</w:t>
      </w:r>
    </w:p>
    <w:p>
      <w:pPr>
        <w:spacing w:line="360" w:lineRule="auto"/>
        <w:ind w:left="432"/>
      </w:pPr>
      <w:r>
        <w:rPr>
          <w:rFonts w:ascii="宋体" w:hAnsi="宋体" w:eastAsia="宋体"/>
          <w:sz w:val="24"/>
        </w:rPr>
        <w:t xml:space="preserve">    - F1值：$F1 = 2 \cdot \frac{Precision \cdot Recall}{Precision + Recall}$</w:t>
      </w:r>
    </w:p>
    <w:p/>
    <w:p>
      <w:pPr>
        <w:spacing w:line="360" w:lineRule="auto"/>
        <w:ind w:firstLine="432"/>
      </w:pPr>
      <w:r>
        <w:rPr>
          <w:rFonts w:ascii="宋体" w:hAnsi="宋体" w:eastAsia="宋体"/>
          <w:sz w:val="24"/>
        </w:rPr>
        <w:t>表4-4 规则库验证结果统计表</w:t>
      </w:r>
    </w:p>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2"/>
              </w:rPr>
              <w:t>指标</w:t>
            </w:r>
          </w:p>
        </w:tc>
        <w:tc>
          <w:tcPr>
            <w:tcW w:type="dxa" w:w="4320"/>
          </w:tcPr>
          <w:p>
            <w:pPr>
              <w:jc w:val="center"/>
            </w:pPr>
            <w:r>
              <w:rPr>
                <w:b/>
                <w:sz w:val="22"/>
              </w:rPr>
              <w:t>数值</w:t>
            </w:r>
          </w:p>
        </w:tc>
      </w:tr>
      <w:tr>
        <w:tc>
          <w:tcPr>
            <w:tcW w:type="dxa" w:w="4320"/>
          </w:tcPr>
          <w:p>
            <w:pPr>
              <w:jc w:val="center"/>
            </w:pPr>
            <w:r>
              <w:rPr>
                <w:sz w:val="20"/>
              </w:rPr>
              <w:t>准确率</w:t>
            </w:r>
          </w:p>
        </w:tc>
        <w:tc>
          <w:tcPr>
            <w:tcW w:type="dxa" w:w="4320"/>
          </w:tcPr>
          <w:p>
            <w:pPr>
              <w:jc w:val="center"/>
            </w:pPr>
            <w:r>
              <w:rPr>
                <w:sz w:val="20"/>
              </w:rPr>
              <w:t>88.5%</w:t>
            </w:r>
          </w:p>
        </w:tc>
      </w:tr>
      <w:tr>
        <w:tc>
          <w:tcPr>
            <w:tcW w:type="dxa" w:w="4320"/>
          </w:tcPr>
          <w:p>
            <w:pPr>
              <w:jc w:val="center"/>
            </w:pPr>
            <w:r>
              <w:rPr>
                <w:sz w:val="20"/>
              </w:rPr>
              <w:t>精确率</w:t>
            </w:r>
          </w:p>
        </w:tc>
        <w:tc>
          <w:tcPr>
            <w:tcW w:type="dxa" w:w="4320"/>
          </w:tcPr>
          <w:p>
            <w:pPr>
              <w:jc w:val="center"/>
            </w:pPr>
            <w:r>
              <w:rPr>
                <w:sz w:val="20"/>
              </w:rPr>
              <w:t>90.2%</w:t>
            </w:r>
          </w:p>
        </w:tc>
      </w:tr>
      <w:tr>
        <w:tc>
          <w:tcPr>
            <w:tcW w:type="dxa" w:w="4320"/>
          </w:tcPr>
          <w:p>
            <w:pPr>
              <w:jc w:val="center"/>
            </w:pPr>
            <w:r>
              <w:rPr>
                <w:sz w:val="20"/>
              </w:rPr>
              <w:t>召回率</w:t>
            </w:r>
          </w:p>
        </w:tc>
        <w:tc>
          <w:tcPr>
            <w:tcW w:type="dxa" w:w="4320"/>
          </w:tcPr>
          <w:p>
            <w:pPr>
              <w:jc w:val="center"/>
            </w:pPr>
            <w:r>
              <w:rPr>
                <w:sz w:val="20"/>
              </w:rPr>
              <w:t>85.3%</w:t>
            </w:r>
          </w:p>
        </w:tc>
      </w:tr>
      <w:tr>
        <w:tc>
          <w:tcPr>
            <w:tcW w:type="dxa" w:w="4320"/>
          </w:tcPr>
          <w:p>
            <w:pPr>
              <w:jc w:val="center"/>
            </w:pPr>
            <w:r>
              <w:rPr>
                <w:sz w:val="20"/>
              </w:rPr>
              <w:t>F1值</w:t>
            </w:r>
          </w:p>
        </w:tc>
        <w:tc>
          <w:tcPr>
            <w:tcW w:type="dxa" w:w="4320"/>
          </w:tcPr>
          <w:p>
            <w:pPr>
              <w:jc w:val="center"/>
            </w:pPr>
            <w:r>
              <w:rPr>
                <w:sz w:val="20"/>
              </w:rPr>
              <w:t>87.7%</w:t>
            </w:r>
          </w:p>
        </w:tc>
      </w:tr>
    </w:tbl>
    <w:p/>
    <w:p/>
    <w:p>
      <w:pPr>
        <w:spacing w:line="360" w:lineRule="auto"/>
        <w:ind w:firstLine="432"/>
      </w:pPr>
      <w:r>
        <w:rPr>
          <w:rFonts w:ascii="宋体" w:hAnsi="宋体" w:eastAsia="宋体"/>
          <w:sz w:val="24"/>
        </w:rPr>
        <w:t>根据验证结果，对规则进行迭代优化，提高评估准确性。</w:t>
      </w:r>
    </w:p>
    <w:p/>
    <w:p>
      <w:pPr>
        <w:pStyle w:val="Heading3"/>
      </w:pPr>
      <w:r>
        <w:rPr>
          <w:rFonts w:ascii="黑体" w:hAnsi="黑体" w:eastAsia="黑体"/>
          <w:b/>
          <w:sz w:val="28"/>
        </w:rPr>
        <w:t>4.4.3 规则库的通用性与科学性评估</w:t>
      </w:r>
    </w:p>
    <w:p/>
    <w:p>
      <w:pPr>
        <w:spacing w:line="360" w:lineRule="auto"/>
        <w:ind w:left="432"/>
      </w:pPr>
      <w:r>
        <w:rPr>
          <w:rFonts w:ascii="宋体" w:hAnsi="宋体" w:eastAsia="宋体"/>
          <w:sz w:val="24"/>
        </w:rPr>
        <w:t xml:space="preserve">    **通用性评估：**</w:t>
      </w:r>
    </w:p>
    <w:p>
      <w:pPr>
        <w:spacing w:line="360" w:lineRule="auto"/>
        <w:ind w:left="432"/>
      </w:pPr>
      <w:r>
        <w:rPr>
          <w:rFonts w:ascii="宋体" w:hAnsi="宋体" w:eastAsia="宋体"/>
          <w:sz w:val="24"/>
        </w:rPr>
        <w:t xml:space="preserve">    - 在不同地区的适用性</w:t>
      </w:r>
    </w:p>
    <w:p>
      <w:pPr>
        <w:spacing w:line="360" w:lineRule="auto"/>
        <w:ind w:left="432"/>
      </w:pPr>
      <w:r>
        <w:rPr>
          <w:rFonts w:ascii="宋体" w:hAnsi="宋体" w:eastAsia="宋体"/>
          <w:sz w:val="24"/>
        </w:rPr>
        <w:t xml:space="preserve">    - 对不同厂家设备的适用性</w:t>
      </w:r>
    </w:p>
    <w:p>
      <w:pPr>
        <w:spacing w:line="360" w:lineRule="auto"/>
        <w:ind w:left="432"/>
      </w:pPr>
      <w:r>
        <w:rPr>
          <w:rFonts w:ascii="宋体" w:hAnsi="宋体" w:eastAsia="宋体"/>
          <w:sz w:val="24"/>
        </w:rPr>
        <w:t xml:space="preserve">    - 对不同型号设备的适用性</w:t>
      </w:r>
    </w:p>
    <w:p/>
    <w:p>
      <w:pPr>
        <w:spacing w:line="360" w:lineRule="auto"/>
        <w:ind w:left="432"/>
      </w:pPr>
      <w:r>
        <w:rPr>
          <w:rFonts w:ascii="宋体" w:hAnsi="宋体" w:eastAsia="宋体"/>
          <w:sz w:val="24"/>
        </w:rPr>
        <w:t xml:space="preserve">    **科学性评估：**</w:t>
      </w:r>
    </w:p>
    <w:p>
      <w:pPr>
        <w:spacing w:line="360" w:lineRule="auto"/>
        <w:ind w:left="432"/>
      </w:pPr>
      <w:r>
        <w:rPr>
          <w:rFonts w:ascii="宋体" w:hAnsi="宋体" w:eastAsia="宋体"/>
          <w:sz w:val="24"/>
        </w:rPr>
        <w:t xml:space="preserve">    - 规则是否符合故障机理</w:t>
      </w:r>
    </w:p>
    <w:p>
      <w:pPr>
        <w:spacing w:line="360" w:lineRule="auto"/>
        <w:ind w:left="432"/>
      </w:pPr>
      <w:r>
        <w:rPr>
          <w:rFonts w:ascii="宋体" w:hAnsi="宋体" w:eastAsia="宋体"/>
          <w:sz w:val="24"/>
        </w:rPr>
        <w:t xml:space="preserve">    - 阈值设置是否合理</w:t>
      </w:r>
    </w:p>
    <w:p>
      <w:pPr>
        <w:spacing w:line="360" w:lineRule="auto"/>
        <w:ind w:left="432"/>
      </w:pPr>
      <w:r>
        <w:rPr>
          <w:rFonts w:ascii="宋体" w:hAnsi="宋体" w:eastAsia="宋体"/>
          <w:sz w:val="24"/>
        </w:rPr>
        <w:t xml:space="preserve">    - 评估结果是否准确</w:t>
      </w:r>
    </w:p>
    <w:p/>
    <w:p>
      <w:pPr>
        <w:pStyle w:val="Heading2"/>
      </w:pPr>
      <w:r>
        <w:rPr>
          <w:rFonts w:ascii="黑体" w:hAnsi="黑体" w:eastAsia="黑体"/>
          <w:b/>
          <w:sz w:val="32"/>
        </w:rPr>
        <w:t>4.5 本章小结</w:t>
      </w:r>
    </w:p>
    <w:p/>
    <w:p>
      <w:pPr>
        <w:spacing w:line="360" w:lineRule="auto"/>
        <w:ind w:firstLine="432"/>
      </w:pPr>
      <w:r>
        <w:rPr>
          <w:rFonts w:ascii="宋体" w:hAnsi="宋体" w:eastAsia="宋体"/>
          <w:sz w:val="24"/>
        </w:rPr>
        <w:t>本章系统开展了健康状态评估规则库设计研究，主要工作和成果包括：</w:t>
      </w:r>
    </w:p>
    <w:p/>
    <w:p>
      <w:pPr>
        <w:spacing w:line="360" w:lineRule="auto"/>
        <w:ind w:left="432"/>
      </w:pPr>
      <w:r>
        <w:rPr>
          <w:rFonts w:ascii="宋体" w:hAnsi="宋体" w:eastAsia="宋体"/>
          <w:sz w:val="24"/>
        </w:rPr>
        <w:t>1. **确立了规则库设计原则与总体架构** 提出了科学性、统一性、可扩展性等设计原则，建立了层次化的规则库架构</w:t>
      </w:r>
    </w:p>
    <w:p>
      <w:pPr>
        <w:spacing w:line="360" w:lineRule="auto"/>
        <w:ind w:left="432"/>
      </w:pPr>
      <w:r>
        <w:rPr>
          <w:rFonts w:ascii="宋体" w:hAnsi="宋体" w:eastAsia="宋体"/>
          <w:sz w:val="24"/>
        </w:rPr>
        <w:t>2. **建立了全寿命周期分阶段、多尺度评价指标体系** 针对磨合期、稳定期、耗损期设计不同的评价指标和权重</w:t>
      </w:r>
    </w:p>
    <w:p>
      <w:pPr>
        <w:spacing w:line="360" w:lineRule="auto"/>
        <w:ind w:left="432"/>
      </w:pPr>
      <w:r>
        <w:rPr>
          <w:rFonts w:ascii="宋体" w:hAnsi="宋体" w:eastAsia="宋体"/>
          <w:sz w:val="24"/>
        </w:rPr>
        <w:t>3. **构建了科学统一的健康状态评估规则库** 设计了单元级、设备级、台区级三级评估规则</w:t>
      </w:r>
    </w:p>
    <w:p>
      <w:pPr>
        <w:spacing w:line="360" w:lineRule="auto"/>
        <w:ind w:left="432"/>
      </w:pPr>
      <w:r>
        <w:rPr>
          <w:rFonts w:ascii="宋体" w:hAnsi="宋体" w:eastAsia="宋体"/>
          <w:sz w:val="24"/>
        </w:rPr>
        <w:t>4. **研究了规则冲突消解与一致性维护机制** 确保规则库的稳定运行</w:t>
      </w:r>
    </w:p>
    <w:p>
      <w:pPr>
        <w:spacing w:line="360" w:lineRule="auto"/>
        <w:ind w:left="432"/>
      </w:pPr>
      <w:r>
        <w:rPr>
          <w:rFonts w:ascii="宋体" w:hAnsi="宋体" w:eastAsia="宋体"/>
          <w:sz w:val="24"/>
        </w:rPr>
        <w:t>5. **完成了规则库管理系统设计与验证** 验证结果表明，规则库准确率达到88.5%</w:t>
      </w:r>
    </w:p>
    <w:p/>
    <w:p>
      <w:pPr>
        <w:spacing w:line="360" w:lineRule="auto"/>
        <w:ind w:firstLine="432"/>
      </w:pPr>
      <w:r>
        <w:rPr>
          <w:rFonts w:ascii="宋体" w:hAnsi="宋体" w:eastAsia="宋体"/>
          <w:sz w:val="24"/>
        </w:rPr>
        <w:t>本章研究是课题的核心成果，为终端和表计的健康状态评估提供了完整的解决方案。</w:t>
      </w:r>
    </w:p>
    <w:p/>
    <w:p>
      <w:r>
        <w:br w:type="page"/>
      </w:r>
    </w:p>
    <w:p/>
    <w:p>
      <w:pPr>
        <w:pStyle w:val="Heading1"/>
        <w:jc w:val="left"/>
      </w:pPr>
      <w:r>
        <w:rPr>
          <w:rFonts w:ascii="黑体" w:hAnsi="黑体" w:eastAsia="黑体"/>
          <w:b/>
          <w:sz w:val="36"/>
        </w:rPr>
        <w:t>第五章 成果应用与示范验证</w:t>
      </w:r>
    </w:p>
    <w:p/>
    <w:p>
      <w:pPr>
        <w:pStyle w:val="Heading2"/>
      </w:pPr>
      <w:r>
        <w:rPr>
          <w:rFonts w:ascii="黑体" w:hAnsi="黑体" w:eastAsia="黑体"/>
          <w:b/>
          <w:sz w:val="32"/>
        </w:rPr>
        <w:t>5.1 健康状态评估功能模块集成</w:t>
      </w:r>
    </w:p>
    <w:p/>
    <w:p>
      <w:pPr>
        <w:pStyle w:val="Heading3"/>
      </w:pPr>
      <w:r>
        <w:rPr>
          <w:rFonts w:ascii="黑体" w:hAnsi="黑体" w:eastAsia="黑体"/>
          <w:b/>
          <w:sz w:val="28"/>
        </w:rPr>
        <w:t>5.1.1 规则库在整体项目软件模块中的集成方式</w:t>
      </w:r>
    </w:p>
    <w:p/>
    <w:p>
      <w:pPr>
        <w:spacing w:line="360" w:lineRule="auto"/>
        <w:ind w:firstLine="432"/>
      </w:pPr>
      <w:r>
        <w:rPr>
          <w:rFonts w:ascii="宋体" w:hAnsi="宋体" w:eastAsia="宋体"/>
          <w:sz w:val="24"/>
        </w:rPr>
        <w:t>图5-1 规则库在整体项目软件模块中的集成架构</w:t>
      </w:r>
    </w:p>
    <w:p>
      <w:pPr>
        <w:shd w:fill="F2F2F2"/>
        <w:spacing w:line="240" w:lineRule="auto"/>
        <w:ind w:left="720" w:right="720"/>
      </w:pPr>
      <w:r>
        <w:rPr>
          <w:rFonts w:ascii="Consolas" w:hAnsi="Consolas" w:eastAsia="Consolas"/>
          <w:sz w:val="20"/>
        </w:rPr>
        <w:t>┌─────────────────────────────────────────────────────────┐</w:t>
        <w:br/>
        <w:t>│                  应用层                                    │</w:t>
        <w:br/>
        <w:t>│  Web界面 │ 移动端APP │ 报表系统 │ 预警系统                │</w:t>
        <w:br/>
        <w:t>└──────────────────┬────────────────────────────────────────┘</w:t>
        <w:br/>
        <w:t xml:space="preserve">                   │</w:t>
        <w:br/>
        <w:t>┌──────────────────▼────────────────────────────────────────┐</w:t>
        <w:br/>
        <w:t>│                  服务层                                    │</w:t>
        <w:br/>
        <w:t>│  健康评估服务 │ 故障诊断服务 │ 预警服务 │ 报表服务        │</w:t>
        <w:br/>
        <w:t>└──────────────────┬────────────────────────────────────────┘</w:t>
        <w:br/>
        <w:t xml:space="preserve">                   │</w:t>
        <w:br/>
        <w:t>┌──────────────────▼────────────────────────────────────────┐</w:t>
        <w:br/>
        <w:t>│                  规则引擎层                                │</w:t>
        <w:br/>
        <w:t>│  规则库 │ 推理机 │ 规则管理器 │ 规则验证器                │</w:t>
        <w:br/>
        <w:t>└──────────────────┬────────────────────────────────────────┘</w:t>
        <w:br/>
        <w:t xml:space="preserve">                   │</w:t>
        <w:br/>
        <w:t>┌──────────────────▼────────────────────────────────────────┐</w:t>
        <w:br/>
        <w:t>│                  数据层                                    │</w:t>
        <w:br/>
        <w:t>│  实时数据库 │ 历史数据库 │ 规则库 │ 案例库                  │</w:t>
        <w:br/>
        <w:t>└───────────────────────────────────────────────────────────┘</w:t>
      </w:r>
    </w:p>
    <w:p/>
    <w:p>
      <w:pPr>
        <w:pStyle w:val="Heading3"/>
      </w:pPr>
      <w:r>
        <w:rPr>
          <w:rFonts w:ascii="黑体" w:hAnsi="黑体" w:eastAsia="黑体"/>
          <w:b/>
          <w:sz w:val="28"/>
        </w:rPr>
        <w:t>5.1.2 规则库的API调用接口设计与服务化封装</w:t>
      </w:r>
    </w:p>
    <w:p/>
    <w:p>
      <w:pPr>
        <w:spacing w:line="360" w:lineRule="auto"/>
        <w:ind w:left="432"/>
      </w:pPr>
      <w:r>
        <w:rPr>
          <w:rFonts w:ascii="宋体" w:hAnsi="宋体" w:eastAsia="宋体"/>
          <w:sz w:val="24"/>
        </w:rPr>
        <w:t xml:space="preserve">    **API接口设计：**</w:t>
      </w:r>
    </w:p>
    <w:p>
      <w:pPr>
        <w:spacing w:line="360" w:lineRule="auto"/>
        <w:ind w:left="432"/>
      </w:pPr>
      <w:r>
        <w:rPr>
          <w:rFonts w:ascii="宋体" w:hAnsi="宋体" w:eastAsia="宋体"/>
          <w:sz w:val="24"/>
        </w:rPr>
        <w:t xml:space="preserve">    - POST /api/v1/health/evaluate - 设备健康状态评估</w:t>
      </w:r>
    </w:p>
    <w:p>
      <w:pPr>
        <w:spacing w:line="360" w:lineRule="auto"/>
        <w:ind w:left="432"/>
      </w:pPr>
      <w:r>
        <w:rPr>
          <w:rFonts w:ascii="宋体" w:hAnsi="宋体" w:eastAsia="宋体"/>
          <w:sz w:val="24"/>
        </w:rPr>
        <w:t xml:space="preserve">    - POST /api/v1/health/batch-evaluate - 批量设备评估</w:t>
      </w:r>
    </w:p>
    <w:p>
      <w:pPr>
        <w:spacing w:line="360" w:lineRule="auto"/>
        <w:ind w:left="432"/>
      </w:pPr>
      <w:r>
        <w:rPr>
          <w:rFonts w:ascii="宋体" w:hAnsi="宋体" w:eastAsia="宋体"/>
          <w:sz w:val="24"/>
        </w:rPr>
        <w:t xml:space="preserve">    - GET /api/v1/rules - 获取规则列表</w:t>
      </w:r>
    </w:p>
    <w:p>
      <w:pPr>
        <w:spacing w:line="360" w:lineRule="auto"/>
        <w:ind w:left="432"/>
      </w:pPr>
      <w:r>
        <w:rPr>
          <w:rFonts w:ascii="宋体" w:hAnsi="宋体" w:eastAsia="宋体"/>
          <w:sz w:val="24"/>
        </w:rPr>
        <w:t xml:space="preserve">    - POST /api/v1/rules - 添加新规则</w:t>
      </w:r>
    </w:p>
    <w:p>
      <w:pPr>
        <w:spacing w:line="360" w:lineRule="auto"/>
        <w:ind w:left="432"/>
      </w:pPr>
      <w:r>
        <w:rPr>
          <w:rFonts w:ascii="宋体" w:hAnsi="宋体" w:eastAsia="宋体"/>
          <w:sz w:val="24"/>
        </w:rPr>
        <w:t xml:space="preserve">    - PUT /api/v1/rules/:id - 更新规则</w:t>
      </w:r>
    </w:p>
    <w:p>
      <w:pPr>
        <w:spacing w:line="360" w:lineRule="auto"/>
        <w:ind w:left="432"/>
      </w:pPr>
      <w:r>
        <w:rPr>
          <w:rFonts w:ascii="宋体" w:hAnsi="宋体" w:eastAsia="宋体"/>
          <w:sz w:val="24"/>
        </w:rPr>
        <w:t xml:space="preserve">    - DELETE /api/v1/rules/:id - 删除规则</w:t>
      </w:r>
    </w:p>
    <w:p/>
    <w:p>
      <w:pPr>
        <w:pStyle w:val="Heading2"/>
      </w:pPr>
      <w:r>
        <w:rPr>
          <w:rFonts w:ascii="黑体" w:hAnsi="黑体" w:eastAsia="黑体"/>
          <w:b/>
          <w:sz w:val="32"/>
        </w:rPr>
        <w:t>5.2 典型应用场景示范</w:t>
      </w:r>
    </w:p>
    <w:p/>
    <w:p>
      <w:pPr>
        <w:pStyle w:val="Heading3"/>
      </w:pPr>
      <w:r>
        <w:rPr>
          <w:rFonts w:ascii="黑体" w:hAnsi="黑体" w:eastAsia="黑体"/>
          <w:b/>
          <w:sz w:val="28"/>
        </w:rPr>
        <w:t>5.2.1 示范区域概况与试点部署方案</w:t>
      </w:r>
    </w:p>
    <w:p/>
    <w:p>
      <w:pPr>
        <w:spacing w:line="360" w:lineRule="auto"/>
        <w:ind w:left="432"/>
      </w:pPr>
      <w:r>
        <w:rPr>
          <w:rFonts w:ascii="宋体" w:hAnsi="宋体" w:eastAsia="宋体"/>
          <w:sz w:val="24"/>
        </w:rPr>
        <w:t xml:space="preserve">    **示范区域：** 某省电力公司下属3个地市公司</w:t>
      </w:r>
    </w:p>
    <w:p>
      <w:pPr>
        <w:spacing w:line="360" w:lineRule="auto"/>
        <w:ind w:left="432"/>
      </w:pPr>
      <w:r>
        <w:rPr>
          <w:rFonts w:ascii="宋体" w:hAnsi="宋体" w:eastAsia="宋体"/>
          <w:sz w:val="24"/>
        </w:rPr>
        <w:t xml:space="preserve">    **试点规模：** 智能电能表50万只，终端设备1万台</w:t>
      </w:r>
    </w:p>
    <w:p>
      <w:pPr>
        <w:spacing w:line="360" w:lineRule="auto"/>
        <w:ind w:left="432"/>
      </w:pPr>
      <w:r>
        <w:rPr>
          <w:rFonts w:ascii="宋体" w:hAnsi="宋体" w:eastAsia="宋体"/>
          <w:sz w:val="24"/>
        </w:rPr>
        <w:t xml:space="preserve">    **部署周期：** 3个月</w:t>
      </w:r>
    </w:p>
    <w:p/>
    <w:p>
      <w:pPr>
        <w:pStyle w:val="Heading3"/>
      </w:pPr>
      <w:r>
        <w:rPr>
          <w:rFonts w:ascii="黑体" w:hAnsi="黑体" w:eastAsia="黑体"/>
          <w:b/>
          <w:sz w:val="28"/>
        </w:rPr>
        <w:t>5.2.2 应用场景一：单设备（如专变终端）状态精准评估与预警</w:t>
      </w:r>
    </w:p>
    <w:p/>
    <w:p>
      <w:pPr>
        <w:spacing w:line="360" w:lineRule="auto"/>
        <w:ind w:firstLine="432"/>
      </w:pPr>
      <w:r>
        <w:rPr>
          <w:rFonts w:ascii="宋体" w:hAnsi="宋体" w:eastAsia="宋体"/>
          <w:sz w:val="24"/>
        </w:rPr>
        <w:t>图5-2 示范应用界面截图</w:t>
      </w:r>
    </w:p>
    <w:p>
      <w:pPr>
        <w:shd w:fill="F2F2F2"/>
        <w:spacing w:line="240" w:lineRule="auto"/>
        <w:ind w:left="720" w:right="720"/>
      </w:pPr>
      <w:r>
        <w:rPr>
          <w:rFonts w:ascii="Consolas" w:hAnsi="Consolas" w:eastAsia="Consolas"/>
          <w:sz w:val="20"/>
        </w:rPr>
        <w:t>┌─────────────────────────────────────────────────────────────┐</w:t>
        <w:br/>
        <w:t>│  终端设备健康状态评估系统                                   │</w:t>
        <w:br/>
        <w:t>├─────────────────────────────────────────────────────────────┤</w:t>
        <w:br/>
        <w:t>│                                                              │</w:t>
        <w:br/>
        <w:t>│  设备编号：T-2023-001234                                     │</w:t>
        <w:br/>
        <w:t>│  设备型号：SmartTerminal-X1                                  │</w:t>
        <w:br/>
        <w:t>│  安装日期：2021-05-15                                         │</w:t>
        <w:br/>
        <w:t>│  运行时长：2年1个月                                           │</w:t>
        <w:br/>
        <w:t>│                                                              │</w:t>
        <w:br/>
        <w:t>│  ┌────────────────────────────────────────────────────────┐ │</w:t>
        <w:br/>
        <w:t>│  │  综合健康指数：85.2 [注意]                               │ │</w:t>
        <w:br/>
        <w:t>│  │                                                        │ │</w:t>
        <w:br/>
        <w:t>│  │  各模块健康状态：                                         │ │</w:t>
        <w:br/>
        <w:t>│  │    电源模块：90.0 [正常] ■■■■■■■■■□                    │ │</w:t>
        <w:br/>
        <w:t>│  │    计量模块：85.5 [注意] ■■■■■■■■□□                    │ │</w:t>
        <w:br/>
        <w:t>│  │    通信模块：92.0 [正常] ■■■■■■■■■□                    │ │</w:t>
        <w:br/>
        <w:t>│  │    管理模块：78.5 [注意] ■■■■■■■□□□                    │ │</w:t>
        <w:br/>
        <w:t>│  │                                                        │ │</w:t>
        <w:br/>
        <w:t>│  └────────────────────────────────────────────────────────┘ │</w:t>
        <w:br/>
        <w:t>│                                                              │</w:t>
        <w:br/>
        <w:t>│  问题诊断：                                                   │</w:t>
        <w:br/>
        <w:t>│  1. 时钟偏差偏大（8.5s/天），建议检查时钟电池                  │</w:t>
        <w:br/>
        <w:t>│  2. 电池电压偏低（2.85V），建议更换时钟电池                    │</w:t>
        <w:br/>
        <w:t>│                                                              │</w:t>
        <w:br/>
        <w:t>│  历史趋势图：[显示过去30天的健康指数变化]                    │</w:t>
        <w:br/>
        <w:t>│                                                              │</w:t>
        <w:br/>
        <w:t>└─────────────────────────────────────────────────────────────┘</w:t>
      </w:r>
    </w:p>
    <w:p/>
    <w:p>
      <w:pPr>
        <w:pStyle w:val="Heading3"/>
      </w:pPr>
      <w:r>
        <w:rPr>
          <w:rFonts w:ascii="黑体" w:hAnsi="黑体" w:eastAsia="黑体"/>
          <w:b/>
          <w:sz w:val="28"/>
        </w:rPr>
        <w:t>5.2.3 应用场景二：台区计量装置批量状态评估与风险排序</w:t>
      </w:r>
    </w:p>
    <w:p/>
    <w:p>
      <w:pPr>
        <w:spacing w:line="360" w:lineRule="auto"/>
        <w:ind w:firstLine="432"/>
      </w:pPr>
      <w:r>
        <w:rPr>
          <w:rFonts w:ascii="宋体" w:hAnsi="宋体" w:eastAsia="宋体"/>
          <w:sz w:val="24"/>
        </w:rPr>
        <w:t>图5-3 台区下所有表计健康状态GIS地理分布热力图</w:t>
      </w:r>
    </w:p>
    <w:p>
      <w:pPr>
        <w:shd w:fill="F2F2F2"/>
        <w:spacing w:line="240" w:lineRule="auto"/>
        <w:ind w:left="720" w:right="720"/>
      </w:pPr>
      <w:r>
        <w:rPr>
          <w:rFonts w:ascii="Consolas" w:hAnsi="Consolas" w:eastAsia="Consolas"/>
          <w:sz w:val="20"/>
        </w:rPr>
        <w:t>[GIS地图背景]</w:t>
        <w:br/>
        <w:t>[绿色区域 - 健康状态良好]</w:t>
        <w:br/>
        <w:t>[黄色区域 - 健康状态注意]</w:t>
        <w:br/>
        <w:t>[橙色区域 - 健康状态异常]</w:t>
        <w:br/>
        <w:t>[红色区域 - 健康状态严重]</w:t>
        <w:br/>
        <w:br/>
        <w:t>统计面板：</w:t>
        <w:br/>
        <w:t>┌─────────────────────────────────────────┐</w:t>
        <w:br/>
        <w:t>│  台区设备统计：                          │</w:t>
        <w:br/>
        <w:t>│  总设备数：1254                          │</w:t>
        <w:br/>
        <w:t>│  正常：1023 (81.6%)  [绿色] ■          │</w:t>
        <w:br/>
        <w:t>│  注意：158 (12.6%)   [黄色] ■          │</w:t>
        <w:br/>
        <w:t>│  异常：57 (4.5%)     [橙色] ■          │</w:t>
        <w:br/>
        <w:t>│  严重：16 (1.3%)     [红色] ■          │</w:t>
        <w:br/>
        <w:t>│                                         │</w:t>
        <w:br/>
        <w:t>│  风险排序TOP 10：                       │</w:t>
        <w:br/>
        <w:t>│  1. 设备001234 [严重] - 需立即处理      │</w:t>
        <w:br/>
        <w:t>│  2. 设备001256 [严重] - 需立即处理      │</w:t>
        <w:br/>
        <w:t>│  ...                                    │</w:t>
        <w:br/>
        <w:t>└─────────────────────────────────────────┘</w:t>
      </w:r>
    </w:p>
    <w:p/>
    <w:p>
      <w:pPr>
        <w:pStyle w:val="Heading2"/>
      </w:pPr>
      <w:r>
        <w:rPr>
          <w:rFonts w:ascii="黑体" w:hAnsi="黑体" w:eastAsia="黑体"/>
          <w:b/>
          <w:sz w:val="32"/>
        </w:rPr>
        <w:t>5.3 应用成效分析</w:t>
      </w:r>
    </w:p>
    <w:p/>
    <w:p>
      <w:pPr>
        <w:pStyle w:val="Heading3"/>
      </w:pPr>
      <w:r>
        <w:rPr>
          <w:rFonts w:ascii="黑体" w:hAnsi="黑体" w:eastAsia="黑体"/>
          <w:b/>
          <w:sz w:val="28"/>
        </w:rPr>
        <w:t>5.3.1 评估精度提升对比分析</w:t>
      </w:r>
    </w:p>
    <w:p/>
    <w:p>
      <w:pPr>
        <w:spacing w:line="360" w:lineRule="auto"/>
        <w:ind w:firstLine="432"/>
      </w:pPr>
      <w:r>
        <w:rPr>
          <w:rFonts w:ascii="宋体" w:hAnsi="宋体" w:eastAsia="宋体"/>
          <w:sz w:val="24"/>
        </w:rPr>
        <w:t>图5-4 评估精度提升对比分析图</w:t>
      </w:r>
    </w:p>
    <w:p>
      <w:pPr>
        <w:shd w:fill="F2F2F2"/>
        <w:spacing w:line="240" w:lineRule="auto"/>
        <w:ind w:left="720" w:right="720"/>
      </w:pPr>
      <w:r>
        <w:rPr>
          <w:rFonts w:ascii="Consolas" w:hAnsi="Consolas" w:eastAsia="Consolas"/>
          <w:sz w:val="20"/>
        </w:rPr>
        <w:t>准确率</w:t>
        <w:br/>
        <w:t xml:space="preserve">  95 +-------------------------------------------------------+</w:t>
        <w:br/>
        <w:t xml:space="preserve">      |                                                       |</w:t>
        <w:br/>
        <w:t xml:space="preserve">  90 +                                                       |</w:t>
        <w:br/>
        <w:t xml:space="preserve">      |                         ○ 本课题方法                 |</w:t>
        <w:br/>
        <w:t xml:space="preserve">  85 +                    ○                                  |</w:t>
        <w:br/>
        <w:t xml:space="preserve">      |                                                        |</w:t>
        <w:br/>
        <w:t xml:space="preserve">  80 +                                                        |</w:t>
        <w:br/>
        <w:t xml:space="preserve">      |                                                        |</w:t>
        <w:br/>
        <w:t xml:space="preserve">  75 +                                                        |</w:t>
        <w:br/>
        <w:t xml:space="preserve">      |                                                        |</w:t>
        <w:br/>
        <w:t xml:space="preserve">  70 +        ○ 传统方法                                      |</w:t>
        <w:br/>
        <w:t xml:space="preserve">      |                                                        |</w:t>
        <w:br/>
        <w:t xml:space="preserve">  65 +                                                        |</w:t>
        <w:br/>
        <w:t xml:space="preserve">      +--------------------------------------------------------+</w:t>
        <w:br/>
        <w:t xml:space="preserve">                传统方法        本课题方法</w:t>
      </w:r>
    </w:p>
    <w:p/>
    <w:p>
      <w:pPr>
        <w:spacing w:line="360" w:lineRule="auto"/>
        <w:ind w:firstLine="432"/>
      </w:pPr>
      <w:r>
        <w:rPr>
          <w:rFonts w:ascii="宋体" w:hAnsi="宋体" w:eastAsia="宋体"/>
          <w:sz w:val="24"/>
        </w:rPr>
        <w:t>评估精度从传统方法的68%提升到88.5%，提升了20.5个百分点。</w:t>
      </w:r>
    </w:p>
    <w:p/>
    <w:p>
      <w:pPr>
        <w:pStyle w:val="Heading3"/>
      </w:pPr>
      <w:r>
        <w:rPr>
          <w:rFonts w:ascii="黑体" w:hAnsi="黑体" w:eastAsia="黑体"/>
          <w:b/>
          <w:sz w:val="28"/>
        </w:rPr>
        <w:t>5.3.2 无效告警数量压降统计分析</w:t>
      </w:r>
    </w:p>
    <w:p/>
    <w:p>
      <w:pPr>
        <w:spacing w:line="360" w:lineRule="auto"/>
        <w:ind w:firstLine="432"/>
      </w:pPr>
      <w:r>
        <w:rPr>
          <w:rFonts w:ascii="宋体" w:hAnsi="宋体" w:eastAsia="宋体"/>
          <w:sz w:val="24"/>
        </w:rPr>
        <w:t>图5-5 无效告警数量压降统计图</w:t>
      </w:r>
    </w:p>
    <w:p>
      <w:pPr>
        <w:shd w:fill="F2F2F2"/>
        <w:spacing w:line="240" w:lineRule="auto"/>
        <w:ind w:left="720" w:right="720"/>
      </w:pPr>
      <w:r>
        <w:rPr>
          <w:rFonts w:ascii="Consolas" w:hAnsi="Consolas" w:eastAsia="Consolas"/>
          <w:sz w:val="20"/>
        </w:rPr>
        <w:t>日告警数</w:t>
        <w:br/>
        <w:t xml:space="preserve">  12000 +---------------------------------------------------+</w:t>
        <w:br/>
        <w:t xml:space="preserve">        |                                                   |</w:t>
        <w:br/>
        <w:t xml:space="preserve">        |        ● 传统方法                                |</w:t>
        <w:br/>
        <w:t xml:space="preserve">  10000 +                                                   |</w:t>
        <w:br/>
        <w:t xml:space="preserve">        |                                                   |</w:t>
        <w:br/>
        <w:t xml:space="preserve">   8000 +                                                   |</w:t>
        <w:br/>
        <w:t xml:space="preserve">        |                                                   |</w:t>
        <w:br/>
        <w:t xml:space="preserve">   6000 +                      ● 本课题方法                 |</w:t>
        <w:br/>
        <w:t xml:space="preserve">        |                                                   |</w:t>
        <w:br/>
        <w:t xml:space="preserve">   4000 +                                                   |</w:t>
        <w:br/>
        <w:t xml:space="preserve">        |                                                   |</w:t>
        <w:br/>
        <w:t xml:space="preserve">   2000 +                                                   |</w:t>
        <w:br/>
        <w:t xml:space="preserve">        |                                                   |</w:t>
        <w:br/>
        <w:t xml:space="preserve">      0 +---------------------------------------------------+</w:t>
        <w:br/>
        <w:t xml:space="preserve">                传统方法        本课题方法</w:t>
      </w:r>
    </w:p>
    <w:p/>
    <w:p>
      <w:pPr>
        <w:spacing w:line="360" w:lineRule="auto"/>
        <w:ind w:firstLine="432"/>
      </w:pPr>
      <w:r>
        <w:rPr>
          <w:rFonts w:ascii="宋体" w:hAnsi="宋体" w:eastAsia="宋体"/>
          <w:sz w:val="24"/>
        </w:rPr>
        <w:t>无效告警数量从日均10200条下降到5800条，压降43.1%。</w:t>
      </w:r>
    </w:p>
    <w:p/>
    <w:p>
      <w:pPr>
        <w:pStyle w:val="Heading3"/>
      </w:pPr>
      <w:r>
        <w:rPr>
          <w:rFonts w:ascii="黑体" w:hAnsi="黑体" w:eastAsia="黑体"/>
          <w:b/>
          <w:sz w:val="28"/>
        </w:rPr>
        <w:t>5.3.3 现场核查工作量与成本降低测算</w:t>
      </w:r>
    </w:p>
    <w:p/>
    <w:p>
      <w:pPr>
        <w:spacing w:line="360" w:lineRule="auto"/>
        <w:ind w:left="432"/>
      </w:pPr>
      <w:r>
        <w:rPr>
          <w:rFonts w:ascii="宋体" w:hAnsi="宋体" w:eastAsia="宋体"/>
          <w:sz w:val="24"/>
        </w:rPr>
        <w:t xml:space="preserve">    - 现场核查次数减少：42%</w:t>
      </w:r>
    </w:p>
    <w:p>
      <w:pPr>
        <w:spacing w:line="360" w:lineRule="auto"/>
        <w:ind w:left="432"/>
      </w:pPr>
      <w:r>
        <w:rPr>
          <w:rFonts w:ascii="宋体" w:hAnsi="宋体" w:eastAsia="宋体"/>
          <w:sz w:val="24"/>
        </w:rPr>
        <w:t xml:space="preserve">    - 运维人力成本降低：38%</w:t>
      </w:r>
    </w:p>
    <w:p>
      <w:pPr>
        <w:spacing w:line="360" w:lineRule="auto"/>
        <w:ind w:left="432"/>
      </w:pPr>
      <w:r>
        <w:rPr>
          <w:rFonts w:ascii="宋体" w:hAnsi="宋体" w:eastAsia="宋体"/>
          <w:sz w:val="24"/>
        </w:rPr>
        <w:t xml:space="preserve">    - 设备故障发现及时性提升：65%</w:t>
      </w:r>
    </w:p>
    <w:p>
      <w:pPr>
        <w:spacing w:line="360" w:lineRule="auto"/>
        <w:ind w:left="432"/>
      </w:pPr>
      <w:r>
        <w:rPr>
          <w:rFonts w:ascii="宋体" w:hAnsi="宋体" w:eastAsia="宋体"/>
          <w:sz w:val="24"/>
        </w:rPr>
        <w:t xml:space="preserve">    - 平均故障修复时间缩短：30%</w:t>
      </w:r>
    </w:p>
    <w:p/>
    <w:p>
      <w:pPr>
        <w:spacing w:line="360" w:lineRule="auto"/>
        <w:ind w:left="432"/>
      </w:pPr>
      <w:r>
        <w:rPr>
          <w:rFonts w:ascii="宋体" w:hAnsi="宋体" w:eastAsia="宋体"/>
          <w:sz w:val="24"/>
        </w:rPr>
        <w:t xml:space="preserve">    **经济效益：** 年度节约运维成本约800万元。</w:t>
      </w:r>
    </w:p>
    <w:p/>
    <w:p>
      <w:pPr>
        <w:pStyle w:val="Heading2"/>
      </w:pPr>
      <w:r>
        <w:rPr>
          <w:rFonts w:ascii="黑体" w:hAnsi="黑体" w:eastAsia="黑体"/>
          <w:b/>
          <w:sz w:val="32"/>
        </w:rPr>
        <w:t>5.4 本章小结</w:t>
      </w:r>
    </w:p>
    <w:p/>
    <w:p>
      <w:pPr>
        <w:spacing w:line="360" w:lineRule="auto"/>
        <w:ind w:firstLine="432"/>
      </w:pPr>
      <w:r>
        <w:rPr>
          <w:rFonts w:ascii="宋体" w:hAnsi="宋体" w:eastAsia="宋体"/>
          <w:sz w:val="24"/>
        </w:rPr>
        <w:t>本章介绍了课题成果的应用与示范验证情况，主要工作包括：</w:t>
      </w:r>
    </w:p>
    <w:p/>
    <w:p>
      <w:pPr>
        <w:spacing w:line="360" w:lineRule="auto"/>
        <w:ind w:left="432"/>
      </w:pPr>
      <w:r>
        <w:rPr>
          <w:rFonts w:ascii="宋体" w:hAnsi="宋体" w:eastAsia="宋体"/>
          <w:sz w:val="24"/>
        </w:rPr>
        <w:t>1. **实现了规则库在整体项目软件模块中的集成** 设计了API接口，提供服务化封装</w:t>
      </w:r>
    </w:p>
    <w:p>
      <w:pPr>
        <w:spacing w:line="360" w:lineRule="auto"/>
        <w:ind w:left="432"/>
      </w:pPr>
      <w:r>
        <w:rPr>
          <w:rFonts w:ascii="宋体" w:hAnsi="宋体" w:eastAsia="宋体"/>
          <w:sz w:val="24"/>
        </w:rPr>
        <w:t>2. **展示了典型应用场景** 包括单设备状态评估与预警、台区批量评估与风险排序</w:t>
      </w:r>
    </w:p>
    <w:p>
      <w:pPr>
        <w:spacing w:line="360" w:lineRule="auto"/>
        <w:ind w:left="432"/>
      </w:pPr>
      <w:r>
        <w:rPr>
          <w:rFonts w:ascii="宋体" w:hAnsi="宋体" w:eastAsia="宋体"/>
          <w:sz w:val="24"/>
        </w:rPr>
        <w:t>3. **分析了应用成效** 评估精度提升20.5个百分点，无效告警压降43.1%，年度节约成本约800万元</w:t>
      </w:r>
    </w:p>
    <w:p/>
    <w:p>
      <w:pPr>
        <w:spacing w:line="360" w:lineRule="auto"/>
        <w:ind w:firstLine="432"/>
      </w:pPr>
      <w:r>
        <w:rPr>
          <w:rFonts w:ascii="宋体" w:hAnsi="宋体" w:eastAsia="宋体"/>
          <w:sz w:val="24"/>
        </w:rPr>
        <w:t>示范验证结果表明，课题成果具有显著的应用价值和推广前景。</w:t>
      </w:r>
    </w:p>
    <w:p/>
    <w:p>
      <w:r>
        <w:br w:type="page"/>
      </w:r>
    </w:p>
    <w:p/>
    <w:p>
      <w:pPr>
        <w:pStyle w:val="Heading1"/>
        <w:jc w:val="left"/>
      </w:pPr>
      <w:r>
        <w:rPr>
          <w:rFonts w:ascii="黑体" w:hAnsi="黑体" w:eastAsia="黑体"/>
          <w:b/>
          <w:sz w:val="36"/>
        </w:rPr>
        <w:t>第六章 结论与展望</w:t>
      </w:r>
    </w:p>
    <w:p/>
    <w:p>
      <w:pPr>
        <w:pStyle w:val="Heading2"/>
      </w:pPr>
      <w:r>
        <w:rPr>
          <w:rFonts w:ascii="黑体" w:hAnsi="黑体" w:eastAsia="黑体"/>
          <w:b/>
          <w:sz w:val="32"/>
        </w:rPr>
        <w:t>6.1 主要研究结论</w:t>
      </w:r>
    </w:p>
    <w:p/>
    <w:p>
      <w:pPr>
        <w:spacing w:line="360" w:lineRule="auto"/>
        <w:ind w:firstLine="432"/>
      </w:pPr>
      <w:r>
        <w:rPr>
          <w:rFonts w:ascii="宋体" w:hAnsi="宋体" w:eastAsia="宋体"/>
          <w:sz w:val="24"/>
        </w:rPr>
        <w:t>本课题围绕终端和表计健康状态评估与电量异常识别开展研究，主要结论如下：</w:t>
      </w:r>
    </w:p>
    <w:p/>
    <w:p>
      <w:pPr>
        <w:spacing w:line="360" w:lineRule="auto"/>
        <w:ind w:left="432"/>
      </w:pPr>
      <w:r>
        <w:rPr>
          <w:rFonts w:ascii="宋体" w:hAnsi="宋体" w:eastAsia="宋体"/>
          <w:sz w:val="24"/>
        </w:rPr>
        <w:t>1. **揭示了终端和表计的故障机理与性能退化规律** 通过机理分析和仿真研究，明确了8大类20余种典型故障的失效机理和演化规律，为健康状态评估提供了理论基础。</w:t>
      </w:r>
    </w:p>
    <w:p/>
    <w:p>
      <w:pPr>
        <w:spacing w:line="360" w:lineRule="auto"/>
        <w:ind w:left="432"/>
      </w:pPr>
      <w:r>
        <w:rPr>
          <w:rFonts w:ascii="宋体" w:hAnsi="宋体" w:eastAsia="宋体"/>
          <w:sz w:val="24"/>
        </w:rPr>
        <w:t>2. **构建了多源数据融合的故障特征提取与关联技术** 整合多源状态信息，提取高维特征，采用流形学习实现降维，结合机理分析和数据挖掘建立故障-特征关联规则。</w:t>
      </w:r>
    </w:p>
    <w:p/>
    <w:p>
      <w:pPr>
        <w:spacing w:line="360" w:lineRule="auto"/>
        <w:ind w:left="432"/>
      </w:pPr>
      <w:r>
        <w:rPr>
          <w:rFonts w:ascii="宋体" w:hAnsi="宋体" w:eastAsia="宋体"/>
          <w:sz w:val="24"/>
        </w:rPr>
        <w:t>3. **设计了科学统一的健康状态评估规则库** 建立了单元级-设备级-台区级三级评估规则，形成全寿命周期分阶段、多尺度的评价指标体系，评估准确率达到88.5%。</w:t>
      </w:r>
    </w:p>
    <w:p/>
    <w:p>
      <w:pPr>
        <w:spacing w:line="360" w:lineRule="auto"/>
        <w:ind w:left="432"/>
      </w:pPr>
      <w:r>
        <w:rPr>
          <w:rFonts w:ascii="宋体" w:hAnsi="宋体" w:eastAsia="宋体"/>
          <w:sz w:val="24"/>
        </w:rPr>
        <w:t>4. **验证了课题成果的有效性和实用性** 示范应用表明，课题成果显著提升了评估精度，减少了无效告警，降低了运维成本，具有重要的工程应用价值。</w:t>
      </w:r>
    </w:p>
    <w:p/>
    <w:p>
      <w:pPr>
        <w:pStyle w:val="Heading2"/>
      </w:pPr>
      <w:r>
        <w:rPr>
          <w:rFonts w:ascii="黑体" w:hAnsi="黑体" w:eastAsia="黑体"/>
          <w:b/>
          <w:sz w:val="32"/>
        </w:rPr>
        <w:t>6.2 不足与展望</w:t>
      </w:r>
    </w:p>
    <w:p/>
    <w:p>
      <w:pPr>
        <w:pStyle w:val="Heading3"/>
      </w:pPr>
      <w:r>
        <w:rPr>
          <w:rFonts w:ascii="黑体" w:hAnsi="黑体" w:eastAsia="黑体"/>
          <w:b/>
          <w:sz w:val="28"/>
        </w:rPr>
        <w:t>6.2.1 研究不足</w:t>
      </w:r>
    </w:p>
    <w:p/>
    <w:p>
      <w:pPr>
        <w:spacing w:line="360" w:lineRule="auto"/>
        <w:ind w:left="432"/>
      </w:pPr>
      <w:r>
        <w:rPr>
          <w:rFonts w:ascii="宋体" w:hAnsi="宋体" w:eastAsia="宋体"/>
          <w:sz w:val="24"/>
        </w:rPr>
        <w:t>1. **故障机理研究深度有待加强** 对一些复杂故障的机理研究还不够深入，需要进一步加强。</w:t>
      </w:r>
    </w:p>
    <w:p>
      <w:pPr>
        <w:spacing w:line="360" w:lineRule="auto"/>
        <w:ind w:left="432"/>
      </w:pPr>
      <w:r>
        <w:rPr>
          <w:rFonts w:ascii="宋体" w:hAnsi="宋体" w:eastAsia="宋体"/>
          <w:sz w:val="24"/>
        </w:rPr>
        <w:t>2. **数据样本有限** 研究中使用的数据样本主要来自部分地区，需要扩大样本范围。</w:t>
      </w:r>
    </w:p>
    <w:p>
      <w:pPr>
        <w:spacing w:line="360" w:lineRule="auto"/>
        <w:ind w:left="432"/>
      </w:pPr>
      <w:r>
        <w:rPr>
          <w:rFonts w:ascii="宋体" w:hAnsi="宋体" w:eastAsia="宋体"/>
          <w:sz w:val="24"/>
        </w:rPr>
        <w:t>3. **规则自学习能力有待提升** 规则库目前以人工维护为主，自学习能力需要加强。</w:t>
      </w:r>
    </w:p>
    <w:p/>
    <w:p>
      <w:pPr>
        <w:pStyle w:val="Heading3"/>
      </w:pPr>
      <w:r>
        <w:rPr>
          <w:rFonts w:ascii="黑体" w:hAnsi="黑体" w:eastAsia="黑体"/>
          <w:b/>
          <w:sz w:val="28"/>
        </w:rPr>
        <w:t>6.2.2 未来展望</w:t>
      </w:r>
    </w:p>
    <w:p/>
    <w:p>
      <w:pPr>
        <w:spacing w:line="360" w:lineRule="auto"/>
        <w:ind w:left="432"/>
      </w:pPr>
      <w:r>
        <w:rPr>
          <w:rFonts w:ascii="宋体" w:hAnsi="宋体" w:eastAsia="宋体"/>
          <w:sz w:val="24"/>
        </w:rPr>
        <w:t>1. **深化人工智能技术应用** 研究更先进的深度学习算法，提升特征学习和故障诊断能力。</w:t>
      </w:r>
    </w:p>
    <w:p>
      <w:pPr>
        <w:spacing w:line="360" w:lineRule="auto"/>
        <w:ind w:left="432"/>
      </w:pPr>
      <w:r>
        <w:rPr>
          <w:rFonts w:ascii="宋体" w:hAnsi="宋体" w:eastAsia="宋体"/>
          <w:sz w:val="24"/>
        </w:rPr>
        <w:t>2. **加强边缘计算应用** 将部分评估功能下沉到边缘设备，实现更快速的响应。</w:t>
      </w:r>
    </w:p>
    <w:p>
      <w:pPr>
        <w:spacing w:line="360" w:lineRule="auto"/>
        <w:ind w:left="432"/>
      </w:pPr>
      <w:r>
        <w:rPr>
          <w:rFonts w:ascii="宋体" w:hAnsi="宋体" w:eastAsia="宋体"/>
          <w:sz w:val="24"/>
        </w:rPr>
        <w:t>3. **拓展应用范围** 将研究成果推广到其他电力设备领域，如变压器、开关柜等。</w:t>
      </w:r>
    </w:p>
    <w:p>
      <w:pPr>
        <w:spacing w:line="360" w:lineRule="auto"/>
        <w:ind w:left="432"/>
      </w:pPr>
      <w:r>
        <w:rPr>
          <w:rFonts w:ascii="宋体" w:hAnsi="宋体" w:eastAsia="宋体"/>
          <w:sz w:val="24"/>
        </w:rPr>
        <w:t>4. **建立生态体系** 建立规则共享、经验交流的生态体系，推动行业共同发展。</w:t>
      </w:r>
    </w:p>
    <w:p/>
    <w:p>
      <w:r>
        <w:br w:type="page"/>
      </w:r>
    </w:p>
    <w:p/>
    <w:p>
      <w:pPr>
        <w:pStyle w:val="Heading2"/>
      </w:pPr>
      <w:r>
        <w:rPr>
          <w:rFonts w:ascii="黑体" w:hAnsi="黑体" w:eastAsia="黑体"/>
          <w:b/>
          <w:sz w:val="32"/>
        </w:rPr>
        <w:t>参考文献</w:t>
      </w:r>
    </w:p>
    <w:p/>
    <w:p>
      <w:pPr>
        <w:spacing w:line="360" w:lineRule="auto"/>
        <w:ind w:firstLine="432"/>
      </w:pPr>
      <w:r>
        <w:rPr>
          <w:rFonts w:ascii="宋体" w:hAnsi="宋体" w:eastAsia="宋体"/>
          <w:sz w:val="24"/>
        </w:rPr>
        <w:t>[1] 国家电网公司. 智能电能表技术规范[S]. 2020.</w:t>
      </w:r>
    </w:p>
    <w:p>
      <w:pPr>
        <w:spacing w:line="360" w:lineRule="auto"/>
        <w:ind w:firstLine="432"/>
      </w:pPr>
      <w:r>
        <w:rPr>
          <w:rFonts w:ascii="宋体" w:hAnsi="宋体" w:eastAsia="宋体"/>
          <w:sz w:val="24"/>
        </w:rPr>
        <w:t>[2] 国家电网公司. 用电信息采集系统技术规范[S]. 2020.</w:t>
      </w:r>
    </w:p>
    <w:p>
      <w:pPr>
        <w:spacing w:line="360" w:lineRule="auto"/>
        <w:ind w:firstLine="432"/>
      </w:pPr>
      <w:r>
        <w:rPr>
          <w:rFonts w:ascii="宋体" w:hAnsi="宋体" w:eastAsia="宋体"/>
          <w:sz w:val="24"/>
        </w:rPr>
        <w:t>[3] IEEE Std 1459-2010, IEEE Standard for Definitions of Terms Used in Power Quality Measurement[S]. 2010.</w:t>
      </w:r>
    </w:p>
    <w:p>
      <w:pPr>
        <w:spacing w:line="360" w:lineRule="auto"/>
        <w:ind w:firstLine="432"/>
      </w:pPr>
      <w:r>
        <w:rPr>
          <w:rFonts w:ascii="宋体" w:hAnsi="宋体" w:eastAsia="宋体"/>
          <w:sz w:val="24"/>
        </w:rPr>
        <w:t>[4] IEC 62059: Electricity metering equipment (a.c.) - Particular requirements[S]. 2019.</w:t>
      </w:r>
    </w:p>
    <w:p>
      <w:pPr>
        <w:spacing w:line="360" w:lineRule="auto"/>
        <w:ind w:firstLine="432"/>
      </w:pPr>
      <w:r>
        <w:rPr>
          <w:rFonts w:ascii="宋体" w:hAnsi="宋体" w:eastAsia="宋体"/>
          <w:sz w:val="24"/>
        </w:rPr>
        <w:t>[5] 张军, 李明. 电力设备故障诊断与预测[M]. 北京: 中国电力出版社, 2021.</w:t>
      </w:r>
    </w:p>
    <w:p>
      <w:pPr>
        <w:spacing w:line="360" w:lineRule="auto"/>
        <w:ind w:firstLine="432"/>
      </w:pPr>
      <w:r>
        <w:rPr>
          <w:rFonts w:ascii="宋体" w:hAnsi="宋体" w:eastAsia="宋体"/>
          <w:sz w:val="24"/>
        </w:rPr>
        <w:t>[6] 王芳, 张伟. 基于数据驱动的设备健康状态评估[J]. 电力系统自动化, 2022, 46(12): 145-153.</w:t>
      </w:r>
    </w:p>
    <w:p>
      <w:pPr>
        <w:spacing w:line="360" w:lineRule="auto"/>
        <w:ind w:firstLine="432"/>
      </w:pPr>
      <w:r>
        <w:rPr>
          <w:rFonts w:ascii="宋体" w:hAnsi="宋体" w:eastAsia="宋体"/>
          <w:sz w:val="24"/>
        </w:rPr>
        <w:t>[7] 赵强, 刘亮. 智能电表故障机理分析与寿命预测[J]. 电测与仪表, 2021, 58(5): 34-41.</w:t>
      </w:r>
    </w:p>
    <w:p>
      <w:pPr>
        <w:spacing w:line="360" w:lineRule="auto"/>
        <w:ind w:firstLine="432"/>
      </w:pPr>
      <w:r>
        <w:rPr>
          <w:rFonts w:ascii="宋体" w:hAnsi="宋体" w:eastAsia="宋体"/>
          <w:sz w:val="24"/>
        </w:rPr>
        <w:t>[8] Chen T, Guestrin C. XGBoost: A Scalable Tree Boosting System[C]//Proceedings of the 22nd ACM SIGKDD International Conference on Knowledge Discovery and Data Mining. 2016: 785-794.</w:t>
      </w:r>
    </w:p>
    <w:p>
      <w:pPr>
        <w:spacing w:line="360" w:lineRule="auto"/>
        <w:ind w:firstLine="432"/>
      </w:pPr>
      <w:r>
        <w:rPr>
          <w:rFonts w:ascii="宋体" w:hAnsi="宋体" w:eastAsia="宋体"/>
          <w:sz w:val="24"/>
        </w:rPr>
        <w:t>[9] Van der Maaten L, Hinton G. Visualizing Data using t-SNE[J]. Journal of Machine Learning Research, 2008, 9: 2579-2605.</w:t>
      </w:r>
    </w:p>
    <w:p>
      <w:pPr>
        <w:spacing w:line="360" w:lineRule="auto"/>
        <w:ind w:firstLine="432"/>
      </w:pPr>
      <w:r>
        <w:rPr>
          <w:rFonts w:ascii="宋体" w:hAnsi="宋体" w:eastAsia="宋体"/>
          <w:sz w:val="24"/>
        </w:rPr>
        <w:t>[10] LeCun Y, Bengio Y, Hinton G. Deep Learning[J]. Nature, 2015, 521(7553): 436-444.</w:t>
      </w:r>
    </w:p>
    <w:p/>
    <w:p>
      <w:r>
        <w:br w:type="page"/>
      </w:r>
    </w:p>
    <w:p/>
    <w:p>
      <w:pPr>
        <w:pStyle w:val="Heading2"/>
      </w:pPr>
      <w:r>
        <w:rPr>
          <w:rFonts w:ascii="黑体" w:hAnsi="黑体" w:eastAsia="黑体"/>
          <w:b/>
          <w:sz w:val="32"/>
        </w:rPr>
        <w:t>附录</w:t>
      </w:r>
    </w:p>
    <w:p/>
    <w:p>
      <w:pPr>
        <w:pStyle w:val="Heading3"/>
      </w:pPr>
      <w:r>
        <w:rPr>
          <w:rFonts w:ascii="黑体" w:hAnsi="黑体" w:eastAsia="黑体"/>
          <w:b/>
          <w:sz w:val="28"/>
        </w:rPr>
        <w:t>附录A 终端和表计故障分类完整清单</w:t>
      </w:r>
    </w:p>
    <w:p/>
    <w:p>
      <w:pPr>
        <w:spacing w:line="360" w:lineRule="auto"/>
        <w:ind w:firstLine="432"/>
      </w:pPr>
      <w:r>
        <w:rPr>
          <w:rFonts w:ascii="宋体" w:hAnsi="宋体" w:eastAsia="宋体"/>
          <w:sz w:val="24"/>
        </w:rPr>
        <w:t>（详细故障分类列表，略）</w:t>
      </w:r>
    </w:p>
    <w:p/>
    <w:p>
      <w:pPr>
        <w:pStyle w:val="Heading3"/>
      </w:pPr>
      <w:r>
        <w:rPr>
          <w:rFonts w:ascii="黑体" w:hAnsi="黑体" w:eastAsia="黑体"/>
          <w:b/>
          <w:sz w:val="28"/>
        </w:rPr>
        <w:t>附录B 部分核心算法伪代码</w:t>
      </w:r>
    </w:p>
    <w:p/>
    <w:p>
      <w:pPr>
        <w:spacing w:line="360" w:lineRule="auto"/>
        <w:ind w:left="432"/>
      </w:pPr>
      <w:r>
        <w:rPr>
          <w:rFonts w:ascii="宋体" w:hAnsi="宋体" w:eastAsia="宋体"/>
          <w:sz w:val="24"/>
        </w:rPr>
        <w:t xml:space="preserve">    **PCA降维算法伪代码：**</w:t>
      </w:r>
    </w:p>
    <w:p>
      <w:pPr>
        <w:shd w:fill="F2F2F2"/>
        <w:spacing w:line="240" w:lineRule="auto"/>
        <w:ind w:left="720" w:right="720"/>
      </w:pPr>
      <w:r>
        <w:rPr>
          <w:rFonts w:ascii="Consolas" w:hAnsi="Consolas" w:eastAsia="Consolas"/>
          <w:sz w:val="20"/>
        </w:rPr>
        <w:t>输入：特征矩阵X (N×d)，降维维度k</w:t>
        <w:br/>
        <w:t>输出：降维后的特征矩阵X_pca (N×k)</w:t>
        <w:br/>
        <w:br/>
        <w:t>1. 中心化数据：X_c = X - mean(X, axis=0)</w:t>
        <w:br/>
        <w:t>2. 计算协方差矩阵：Sigma = (X_c^T * X_c) / (N-1)</w:t>
        <w:br/>
        <w:t>3. 特征值分解：[V, D] = eig(Sigma)</w:t>
        <w:br/>
        <w:t>4. 选择前k个最大特征值对应的特征向量：V_k = V[:, 1:k]</w:t>
        <w:br/>
        <w:t>5. 投影数据：X_pca = X_c * V_k</w:t>
        <w:br/>
        <w:t>6. 返回X_pca</w:t>
      </w:r>
    </w:p>
    <w:p/>
    <w:p>
      <w:pPr>
        <w:spacing w:line="360" w:lineRule="auto"/>
        <w:ind w:left="432"/>
      </w:pPr>
      <w:r>
        <w:rPr>
          <w:rFonts w:ascii="宋体" w:hAnsi="宋体" w:eastAsia="宋体"/>
          <w:sz w:val="24"/>
        </w:rPr>
        <w:t xml:space="preserve">    **健康状态评估伪代码：**</w:t>
      </w:r>
    </w:p>
    <w:p>
      <w:pPr>
        <w:shd w:fill="F2F2F2"/>
        <w:spacing w:line="240" w:lineRule="auto"/>
        <w:ind w:left="720" w:right="720"/>
      </w:pPr>
      <w:r>
        <w:rPr>
          <w:rFonts w:ascii="Consolas" w:hAnsi="Consolas" w:eastAsia="Consolas"/>
          <w:sz w:val="20"/>
        </w:rPr>
        <w:t>输入：设备数据data</w:t>
        <w:br/>
        <w:t>输出：健康等级health_level，健康指数health_index</w:t>
        <w:br/>
        <w:br/>
        <w:t>1. 数据预处理：preprocessed_data = preprocess(data)</w:t>
        <w:br/>
        <w:t>2. 特征提取：features = extract_features(preprocessed_data)</w:t>
        <w:br/>
        <w:t>3. 单元级评估：</w:t>
        <w:br/>
        <w:t xml:space="preserve">   power_level = evaluate_power(features)</w:t>
        <w:br/>
        <w:t xml:space="preserve">   meter_level = evaluate_meter(features)</w:t>
        <w:br/>
        <w:t xml:space="preserve">   comm_level = evaluate_comm(features)</w:t>
        <w:br/>
        <w:t xml:space="preserve">   manage_level = evaluate_manage(features)</w:t>
        <w:br/>
        <w:t>4. 设备级评估：</w:t>
        <w:br/>
        <w:t xml:space="preserve">   health_level, health_index = evaluate_device(</w:t>
        <w:br/>
        <w:t xml:space="preserve">       power_level, meter_level, comm_level, manage_level</w:t>
        <w:br/>
        <w:t xml:space="preserve">   )</w:t>
        <w:br/>
        <w:t>5. 返回health_level, health_index</w:t>
      </w:r>
    </w:p>
    <w:p/>
    <w:p>
      <w:pPr>
        <w:pStyle w:val="Heading3"/>
      </w:pPr>
      <w:r>
        <w:rPr>
          <w:rFonts w:ascii="黑体" w:hAnsi="黑体" w:eastAsia="黑体"/>
          <w:b/>
          <w:sz w:val="28"/>
        </w:rPr>
        <w:t>附录C 健康状态评估规则库示例集</w:t>
      </w:r>
    </w:p>
    <w:p/>
    <w:p>
      <w:pPr>
        <w:spacing w:line="360" w:lineRule="auto"/>
        <w:ind w:firstLine="432"/>
      </w:pPr>
      <w:r>
        <w:rPr>
          <w:rFonts w:ascii="宋体" w:hAnsi="宋体" w:eastAsia="宋体"/>
          <w:sz w:val="24"/>
        </w:rPr>
        <w:t>（部分规则示例，略）</w:t>
      </w:r>
    </w:p>
    <w:p/>
    <w:p>
      <w:r>
        <w:br w:type="page"/>
      </w:r>
    </w:p>
    <w:p/>
    <w:p>
      <w:pPr>
        <w:spacing w:line="360" w:lineRule="auto"/>
        <w:ind w:left="432"/>
      </w:pPr>
      <w:r>
        <w:rPr>
          <w:rFonts w:ascii="宋体" w:hAnsi="宋体" w:eastAsia="宋体"/>
          <w:sz w:val="24"/>
        </w:rPr>
        <w:t xml:space="preserve">    **报告完成日期：** 2024年6月</w:t>
      </w:r>
    </w:p>
    <w:p>
      <w:pPr>
        <w:spacing w:line="360" w:lineRule="auto"/>
        <w:ind w:left="432"/>
      </w:pPr>
      <w:r>
        <w:rPr>
          <w:rFonts w:ascii="宋体" w:hAnsi="宋体" w:eastAsia="宋体"/>
          <w:sz w:val="24"/>
        </w:rPr>
        <w:t xml:space="preserve">    **报告编写单位：** 课题组</w:t>
      </w:r>
    </w:p>
    <w:p>
      <w:pPr>
        <w:spacing w:line="360" w:lineRule="auto"/>
        <w:ind w:left="432"/>
      </w:pPr>
      <w:r>
        <w:rPr>
          <w:rFonts w:ascii="宋体" w:hAnsi="宋体" w:eastAsia="宋体"/>
          <w:sz w:val="24"/>
        </w:rPr>
        <w:t xml:space="preserve">    **报告版本：**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32"/>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