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440" w:lineRule="exact"/>
      </w:pPr>
      <w:r>
        <w:rPr>
          <w:rFonts w:ascii="FangSong" w:hAnsi="FangSong" w:eastAsia="FangSong"/>
          <w:sz w:val="12"/>
        </w:rPr>
      </w:r>
    </w:p>
    <w:p>
      <w:pPr>
        <w:spacing w:after="240" w:line="440" w:lineRule="exact"/>
        <w:jc w:val="center"/>
      </w:pPr>
      <w:r>
        <w:rPr>
          <w:rFonts w:ascii="SimHei" w:hAnsi="SimHei" w:eastAsia="SimHei"/>
          <w:b/>
          <w:sz w:val="44"/>
        </w:rPr>
        <w:t>“人工智能+”能源高价值场景试点建设方案</w:t>
      </w:r>
    </w:p>
    <w:p>
      <w:pPr>
        <w:spacing w:after="0" w:line="440" w:lineRule="exact"/>
      </w:pPr>
      <w:r>
        <w:rPr>
          <w:rFonts w:ascii="FangSong" w:hAnsi="FangSong" w:eastAsia="FangSong"/>
          <w:sz w:val="20"/>
        </w:rPr>
      </w:r>
    </w:p>
    <w:p>
      <w:pPr>
        <w:spacing w:after="240" w:line="440" w:lineRule="exact"/>
        <w:jc w:val="center"/>
      </w:pPr>
      <w:r>
        <w:rPr>
          <w:rFonts w:ascii="KaiTi" w:hAnsi="KaiTi" w:eastAsia="KaiTi"/>
          <w:b/>
          <w:sz w:val="36"/>
        </w:rPr>
        <w:t>虚拟电厂多时空尺度智能协同运营</w:t>
      </w:r>
    </w:p>
    <w:p>
      <w:pPr>
        <w:spacing w:after="0" w:line="440" w:lineRule="exact"/>
      </w:pPr>
      <w:r>
        <w:rPr>
          <w:rFonts w:ascii="FangSong" w:hAnsi="FangSong" w:eastAsia="FangSong"/>
          <w:sz w:val="20"/>
        </w:rPr>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4150"/>
        <w:gridCol w:w="4150"/>
      </w:tblGrid>
      <w:tr>
        <w:tc>
          <w:tcPr>
            <w:tcW w:type="dxa" w:w="1984"/>
            <w:shd w:fill="E8EAF6" w:val="clear"/>
          </w:tcPr>
          <w:p>
            <w:pPr>
              <w:jc w:val="center"/>
            </w:pPr>
            <w:r>
              <w:rPr>
                <w:rFonts w:ascii="SimHei" w:hAnsi="SimHei" w:eastAsia="SimHei"/>
                <w:b/>
                <w:sz w:val="24"/>
              </w:rPr>
              <w:t>场景名称</w:t>
            </w:r>
          </w:p>
        </w:tc>
        <w:tc>
          <w:tcPr>
            <w:tcW w:type="dxa" w:w="6236"/>
          </w:tcPr>
          <w:p>
            <w:pPr>
              <w:jc w:val="center"/>
            </w:pPr>
            <w:r>
              <w:rPr>
                <w:rFonts w:ascii="FangSong" w:hAnsi="FangSong" w:eastAsia="FangSong"/>
                <w:sz w:val="22"/>
              </w:rPr>
              <w:t>虚拟电厂多时空尺度智能协同运营</w:t>
            </w:r>
          </w:p>
        </w:tc>
      </w:tr>
      <w:tr>
        <w:tc>
          <w:tcPr>
            <w:tcW w:type="dxa" w:w="1984"/>
            <w:shd w:fill="E8EAF6" w:val="clear"/>
          </w:tcPr>
          <w:p>
            <w:pPr>
              <w:jc w:val="center"/>
            </w:pPr>
            <w:r>
              <w:rPr>
                <w:rFonts w:ascii="SimHei" w:hAnsi="SimHei" w:eastAsia="SimHei"/>
                <w:b/>
                <w:sz w:val="24"/>
              </w:rPr>
              <w:t>申报单位</w:t>
            </w:r>
          </w:p>
        </w:tc>
        <w:tc>
          <w:tcPr>
            <w:tcW w:type="dxa" w:w="6236"/>
          </w:tcPr>
          <w:p>
            <w:pPr>
              <w:jc w:val="center"/>
            </w:pPr>
            <w:r>
              <w:rPr>
                <w:rFonts w:ascii="FangSong" w:hAnsi="FangSong" w:eastAsia="FangSong"/>
                <w:sz w:val="22"/>
              </w:rPr>
              <w:t>（待填写）</w:t>
            </w:r>
          </w:p>
        </w:tc>
      </w:tr>
      <w:tr>
        <w:tc>
          <w:tcPr>
            <w:tcW w:type="dxa" w:w="1984"/>
            <w:shd w:fill="E8EAF6" w:val="clear"/>
          </w:tcPr>
          <w:p>
            <w:pPr>
              <w:jc w:val="center"/>
            </w:pPr>
            <w:r>
              <w:rPr>
                <w:rFonts w:ascii="SimHei" w:hAnsi="SimHei" w:eastAsia="SimHei"/>
                <w:b/>
                <w:sz w:val="24"/>
              </w:rPr>
              <w:t>联合申报单位</w:t>
            </w:r>
          </w:p>
        </w:tc>
        <w:tc>
          <w:tcPr>
            <w:tcW w:type="dxa" w:w="6236"/>
          </w:tcPr>
          <w:p>
            <w:pPr>
              <w:jc w:val="center"/>
            </w:pPr>
            <w:r>
              <w:rPr>
                <w:rFonts w:ascii="FangSong" w:hAnsi="FangSong" w:eastAsia="FangSong"/>
                <w:sz w:val="22"/>
              </w:rPr>
              <w:t>贵州电网有限责任公司、朗新科技集团股份有限公司</w:t>
              <w:br/>
              <w:t>贵州矿能集团有限公司、贵州国能科技有限公司</w:t>
              <w:br/>
              <w:t>潜能三安新能源科技有限公司</w:t>
            </w:r>
          </w:p>
        </w:tc>
      </w:tr>
      <w:tr>
        <w:tc>
          <w:tcPr>
            <w:tcW w:type="dxa" w:w="1984"/>
            <w:shd w:fill="E8EAF6" w:val="clear"/>
          </w:tcPr>
          <w:p>
            <w:pPr>
              <w:jc w:val="center"/>
            </w:pPr>
            <w:r>
              <w:rPr>
                <w:rFonts w:ascii="SimHei" w:hAnsi="SimHei" w:eastAsia="SimHei"/>
                <w:b/>
                <w:sz w:val="24"/>
              </w:rPr>
              <w:t>项目负责人</w:t>
            </w:r>
          </w:p>
        </w:tc>
        <w:tc>
          <w:tcPr>
            <w:tcW w:type="dxa" w:w="6236"/>
          </w:tcPr>
          <w:p>
            <w:pPr>
              <w:jc w:val="center"/>
            </w:pPr>
            <w:r>
              <w:rPr>
                <w:rFonts w:ascii="FangSong" w:hAnsi="FangSong" w:eastAsia="FangSong"/>
                <w:sz w:val="22"/>
              </w:rPr>
              <w:t>（待填写）</w:t>
            </w:r>
          </w:p>
        </w:tc>
      </w:tr>
      <w:tr>
        <w:tc>
          <w:tcPr>
            <w:tcW w:type="dxa" w:w="1984"/>
            <w:shd w:fill="E8EAF6" w:val="clear"/>
          </w:tcPr>
          <w:p>
            <w:pPr>
              <w:jc w:val="center"/>
            </w:pPr>
            <w:r>
              <w:rPr>
                <w:rFonts w:ascii="SimHei" w:hAnsi="SimHei" w:eastAsia="SimHei"/>
                <w:b/>
                <w:sz w:val="24"/>
              </w:rPr>
              <w:t>联系方式</w:t>
            </w:r>
          </w:p>
        </w:tc>
        <w:tc>
          <w:tcPr>
            <w:tcW w:type="dxa" w:w="6236"/>
          </w:tcPr>
          <w:p>
            <w:pPr>
              <w:jc w:val="center"/>
            </w:pPr>
            <w:r>
              <w:rPr>
                <w:rFonts w:ascii="FangSong" w:hAnsi="FangSong" w:eastAsia="FangSong"/>
                <w:sz w:val="22"/>
              </w:rPr>
              <w:t>（待填写）</w:t>
            </w:r>
          </w:p>
        </w:tc>
      </w:tr>
      <w:tr>
        <w:tc>
          <w:tcPr>
            <w:tcW w:type="dxa" w:w="1984"/>
            <w:shd w:fill="E8EAF6" w:val="clear"/>
          </w:tcPr>
          <w:p>
            <w:pPr>
              <w:jc w:val="center"/>
            </w:pPr>
            <w:r>
              <w:rPr>
                <w:rFonts w:ascii="SimHei" w:hAnsi="SimHei" w:eastAsia="SimHei"/>
                <w:b/>
                <w:sz w:val="24"/>
              </w:rPr>
              <w:t>申报日期</w:t>
            </w:r>
          </w:p>
        </w:tc>
        <w:tc>
          <w:tcPr>
            <w:tcW w:type="dxa" w:w="6236"/>
          </w:tcPr>
          <w:p>
            <w:pPr>
              <w:jc w:val="center"/>
            </w:pPr>
            <w:r>
              <w:rPr>
                <w:rFonts w:ascii="FangSong" w:hAnsi="FangSong" w:eastAsia="FangSong"/>
                <w:sz w:val="22"/>
              </w:rPr>
              <w:t>2026年6月</w:t>
            </w:r>
          </w:p>
        </w:tc>
      </w:tr>
    </w:tbl>
    <w:p>
      <w:r>
        <w:br w:type="page"/>
      </w:r>
    </w:p>
    <w:p>
      <w:pPr>
        <w:spacing w:before="320" w:after="160" w:line="520" w:lineRule="exact"/>
      </w:pPr>
      <w:r>
        <w:rPr>
          <w:rFonts w:ascii="SimHei" w:hAnsi="SimHei" w:eastAsia="SimHei"/>
          <w:b/>
          <w:sz w:val="32"/>
        </w:rPr>
        <w:t>一、项目背景与意义</w:t>
      </w:r>
    </w:p>
    <w:p>
      <w:pPr>
        <w:spacing w:before="240" w:after="160" w:line="520" w:lineRule="exact"/>
      </w:pPr>
      <w:r>
        <w:rPr>
          <w:rFonts w:ascii="KaiTi" w:hAnsi="KaiTi" w:eastAsia="KaiTi"/>
          <w:b/>
          <w:sz w:val="30"/>
        </w:rPr>
        <w:t>（一）行业背景与政策环境</w:t>
      </w:r>
    </w:p>
    <w:p>
      <w:pPr>
        <w:spacing w:after="120" w:line="440" w:lineRule="exact"/>
        <w:ind w:firstLine="480"/>
      </w:pPr>
      <w:r>
        <w:rPr>
          <w:rFonts w:ascii="FangSong" w:hAnsi="FangSong" w:eastAsia="FangSong"/>
          <w:sz w:val="24"/>
        </w:rPr>
        <w:t>当前，全球能源体系正经历以“清洁化、数字化、智能化”为核心特征的深度变革。随着“双碳”目标的深入推进，我国新能源装机规模持续快速增长，截至2025年底，风电、光伏装机容量已突破14亿千瓦，新能源发电量占比超过20%。然而，新能源的高波动性和间歇性对电力系统灵活调节能力提出了更高要求，虚拟电厂（Virtual Power Plant, VPP）作为聚合分布式能源资源、参与电网协同调控的关键技术手段，已成为新型电力系统建设的核心方向之一。</w:t>
      </w:r>
    </w:p>
    <w:p>
      <w:pPr>
        <w:spacing w:after="120" w:line="440" w:lineRule="exact"/>
        <w:ind w:firstLine="480"/>
      </w:pPr>
      <w:r>
        <w:rPr>
          <w:rFonts w:ascii="FangSong" w:hAnsi="FangSong" w:eastAsia="FangSong"/>
          <w:sz w:val="24"/>
        </w:rPr>
        <w:t>贵州省作为国家“西电东送”工程的重要能源基地，拥有丰富的清洁能源资源禀赋。全省水电技术可开发量约2300万千瓦，已建成光伏装机超2000万千瓦，同时拥有电解铝、磷化工、铁合金等高载能工业园区，负荷规模超500万千瓦，具备构建大规模虚拟电厂的天然条件。贵州电网作为南方电网的重要组成部分，已建成覆盖全省的HPLC高速电力线载波通信网络和省级负荷管理系统，为虚拟电厂的智能化运营奠定了坚实的数据和通信基础。</w:t>
      </w:r>
    </w:p>
    <w:p>
      <w:pPr>
        <w:spacing w:after="120" w:line="440" w:lineRule="exact"/>
        <w:ind w:firstLine="480"/>
      </w:pPr>
      <w:r>
        <w:rPr>
          <w:rFonts w:ascii="FangSong" w:hAnsi="FangSong" w:eastAsia="FangSong"/>
          <w:sz w:val="24"/>
        </w:rPr>
        <w:t>2025年，国家能源局启动“人工智能+”能源高价值场景建设工作，将虚拟电厂列为重点培育场景，明确提出“利用人工智能技术提升分布式资源聚合调控能力、电力市场交易辅助决策能力和源网荷储协同优化能力”的要求。与此同时，贵州省“十四五”能源发展规划将虚拟电厂列为新型电力系统建设重点工程，省发改委出台了《贵州省虚拟电厂建设管理工作方案（试行）》等政策文件，为虚拟电厂的发展提供了有力的政策引导和市场机制保障。</w:t>
      </w:r>
    </w:p>
    <w:p>
      <w:pPr>
        <w:spacing w:after="120" w:line="440" w:lineRule="exact"/>
        <w:ind w:firstLine="480"/>
      </w:pPr>
      <w:r>
        <w:rPr>
          <w:rFonts w:ascii="FangSong" w:hAnsi="FangSong" w:eastAsia="FangSong"/>
          <w:sz w:val="24"/>
        </w:rPr>
        <w:t>在人工智能赋能方面，当前虚拟电厂领域正经历从“经验驱动”向“数据+模型双驱动”的范式转变。以多智能体强化学习（MARL）为代表的群体智能算法在分布式资源协同调控中展现出显著优势，物理信息神经网络（PINN）实现了设备物理模型与数据驱动模型的深度融合，大语言模型（LLM）为电力市场交易策略生成和风险识别提供了新的技术路径。上述技术的发展成熟为虚拟电厂的智能化运营提供了前所未有的技术条件，本项目正是顺应这一技术发展趋势，面向贵州实际应用场景，开展虚拟电厂多时空尺度智能协同运营关键技术研究与应用示范。</w:t>
      </w:r>
    </w:p>
    <w:p>
      <w:pPr>
        <w:jc w:val="center"/>
      </w:pPr>
      <w:r>
        <w:drawing>
          <wp:inline xmlns:a="http://schemas.openxmlformats.org/drawingml/2006/main" xmlns:pic="http://schemas.openxmlformats.org/drawingml/2006/picture">
            <wp:extent cx="5303520" cy="3541553"/>
            <wp:docPr id="1" name="Picture 1"/>
            <wp:cNvGraphicFramePr>
              <a:graphicFrameLocks noChangeAspect="1"/>
            </wp:cNvGraphicFramePr>
            <a:graphic>
              <a:graphicData uri="http://schemas.openxmlformats.org/drawingml/2006/picture">
                <pic:pic>
                  <pic:nvPicPr>
                    <pic:cNvPr id="0" name="fig_vpp_arch.png"/>
                    <pic:cNvPicPr/>
                  </pic:nvPicPr>
                  <pic:blipFill>
                    <a:blip r:embed="rId9"/>
                    <a:stretch>
                      <a:fillRect/>
                    </a:stretch>
                  </pic:blipFill>
                  <pic:spPr>
                    <a:xfrm>
                      <a:off x="0" y="0"/>
                      <a:ext cx="5303520" cy="3541553"/>
                    </a:xfrm>
                    <a:prstGeom prst="rect"/>
                  </pic:spPr>
                </pic:pic>
              </a:graphicData>
            </a:graphic>
          </wp:inline>
        </w:drawing>
      </w:r>
    </w:p>
    <w:p>
      <w:pPr>
        <w:jc w:val="center"/>
      </w:pPr>
      <w:r>
        <w:rPr>
          <w:rFonts w:ascii="SimSun" w:hAnsi="SimSun" w:eastAsia="SimSun"/>
          <w:color w:val="666666"/>
          <w:sz w:val="18"/>
        </w:rPr>
        <w:t>图1-1  虚拟电厂多时空尺度智能协同运营技术架构</w:t>
      </w:r>
    </w:p>
    <w:p>
      <w:pPr>
        <w:spacing w:before="240" w:after="160" w:line="520" w:lineRule="exact"/>
      </w:pPr>
      <w:r>
        <w:rPr>
          <w:rFonts w:ascii="KaiTi" w:hAnsi="KaiTi" w:eastAsia="KaiTi"/>
          <w:b/>
          <w:sz w:val="30"/>
        </w:rPr>
        <w:t>（二）问题分析与需求痛点</w:t>
      </w:r>
    </w:p>
    <w:p>
      <w:pPr>
        <w:spacing w:after="120" w:line="440" w:lineRule="exact"/>
        <w:ind w:firstLine="480"/>
      </w:pPr>
      <w:r>
        <w:rPr>
          <w:rFonts w:ascii="FangSong" w:hAnsi="FangSong" w:eastAsia="FangSong"/>
          <w:sz w:val="24"/>
        </w:rPr>
        <w:t>虚拟电厂多时空尺度智能协同运营面临“看不清、联不通、调不准、算不快”四大核心痛点：</w:t>
      </w:r>
    </w:p>
    <w:p>
      <w:pPr>
        <w:spacing w:after="120" w:line="440" w:lineRule="exact"/>
        <w:ind w:firstLine="480"/>
      </w:pPr>
      <w:r>
        <w:rPr>
          <w:rFonts w:ascii="FangSong" w:hAnsi="FangSong" w:eastAsia="FangSong"/>
          <w:sz w:val="24"/>
        </w:rPr>
        <w:t>一是分布式资源信息碎片化，“看不清”。贵州地处云贵高原，地形复杂多变，分布式资源呈现“点多面广、类型多样、信息孤岛”的特点。工业园区、商业楼宇、居民用户等需求侧资源的设备台账、运行参数、合同条款、市场规则等数据分散于不同系统，格式异构、语义不一，缺乏统一的数据治理和特征提取机制。以电解铝负荷为例，整流机组用电特性、工艺约束、检修计划等关键信息分散在SCADA系统、生产MES系统和维护工单中，难以形成完整的资源画像。现有数据整合方式依赖人工梳理，效率低、错误率高，严重制约了虚拟电厂资源池的精准构建。</w:t>
      </w:r>
    </w:p>
    <w:p>
      <w:pPr>
        <w:spacing w:after="120" w:line="440" w:lineRule="exact"/>
        <w:ind w:firstLine="480"/>
      </w:pPr>
      <w:r>
        <w:rPr>
          <w:rFonts w:ascii="FangSong" w:hAnsi="FangSong" w:eastAsia="FangSong"/>
          <w:sz w:val="24"/>
        </w:rPr>
        <w:t>二是多时空尺度耦合复杂，“联不通”。虚拟电厂运营涉及“日前市场申报—日内滚动优化—实时偏差控制—秒级安全校正”等多个时间尺度的决策耦合，同时需要协调“单设备—站内—园区—区域—省级”的多层空间尺度。不同时间尺度的优化目标和约束条件相互嵌套，不同空间尺度的聚合粒度差异显著，传统优化算法难以在高维混合整数规划问题下兼顾求解精度和计算效率。贵州的山区地形进一步增加了通信延迟和分布式资源的空间离散度，使得多时空协同调控的技术难度更加突出。</w:t>
      </w:r>
    </w:p>
    <w:p>
      <w:pPr>
        <w:spacing w:after="120" w:line="440" w:lineRule="exact"/>
        <w:ind w:firstLine="480"/>
      </w:pPr>
      <w:r>
        <w:rPr>
          <w:rFonts w:ascii="FangSong" w:hAnsi="FangSong" w:eastAsia="FangSong"/>
          <w:sz w:val="24"/>
        </w:rPr>
        <w:t>三是聚合资源响应不确定性高，“调不准”。分布式光伏、小水电等新能源出力受气象因素影响具有显著的随机性和间歇性，而电炉、充电桩等柔性负荷的响应行为受生产工艺、用户习惯等多因素影响，存在较大的行为偏差。当前负荷预测方法在常规工况下精度较高，但在极端气象条件（如持续阴雨导致光伏出力骤降、寒潮导致负荷激增）和节假日等特殊时段的预测偏差显著增大，直接影响虚拟电厂的调控执行效果。贵州“天无三日晴”的气候特点进一步增加了新能源出力的预测难度。</w:t>
      </w:r>
    </w:p>
    <w:p>
      <w:pPr>
        <w:spacing w:after="120" w:line="440" w:lineRule="exact"/>
        <w:ind w:firstLine="480"/>
      </w:pPr>
      <w:r>
        <w:rPr>
          <w:rFonts w:ascii="FangSong" w:hAnsi="FangSong" w:eastAsia="FangSong"/>
          <w:sz w:val="24"/>
        </w:rPr>
        <w:t>四是电力市场参与机制不完善，“算不快”。南方区域电力现货市场已进入连续结算试运行阶段，市场出清价格波动加剧，日前/实时价差扩大，虚拟电厂参与市场交易的收益机会与风险并存。然而，当前交易策略生成仍主要依赖人工经验，缺乏AI驱动的自动化决策工具支持，策略生成周期长、市场响应不及时。同时，虚拟电厂参与调频、备用等辅助服务市场的品种选择和容量分配缺乏系统化的“产调销”一体化优化模型，制约了虚拟电厂的总体经济效益和资源利用效率。</w:t>
      </w:r>
    </w:p>
    <w:p>
      <w:pPr>
        <w:spacing w:after="120" w:line="440" w:lineRule="exact"/>
        <w:ind w:firstLine="480"/>
      </w:pPr>
      <w:r>
        <w:rPr>
          <w:rFonts w:ascii="FangSong" w:hAnsi="FangSong" w:eastAsia="FangSong"/>
          <w:sz w:val="24"/>
        </w:rPr>
        <w:t>本项目旨在攻克虚拟电厂多时空尺度智能协同运营的关键技术瓶颈，构建覆盖“数据治理—资源评估—协同调控—市场交易—一体化运营”全链条的AI赋能体系，对于贵州乃至全国新型电力系统建设具有以下重要意义：</w:t>
      </w:r>
    </w:p>
    <w:p>
      <w:pPr>
        <w:spacing w:after="120" w:line="440" w:lineRule="exact"/>
        <w:ind w:firstLine="480"/>
      </w:pPr>
      <w:r>
        <w:rPr>
          <w:rFonts w:ascii="FangSong" w:hAnsi="FangSong" w:eastAsia="FangSong"/>
          <w:sz w:val="24"/>
        </w:rPr>
        <w:t>一是推动能源行业数字化智能化转型升级。项目将AI大模型、多智能体强化学习、知识图谱等前沿技术与虚拟电厂业务深度融合，实现从“人工经验决策”向“AI数据驱动”的范式跃迁，为能源行业AI规模化应用提供可复制、可推广的示范样本。</w:t>
      </w:r>
    </w:p>
    <w:p>
      <w:pPr>
        <w:spacing w:after="120" w:line="440" w:lineRule="exact"/>
        <w:ind w:firstLine="480"/>
      </w:pPr>
      <w:r>
        <w:rPr>
          <w:rFonts w:ascii="FangSong" w:hAnsi="FangSong" w:eastAsia="FangSong"/>
          <w:sz w:val="24"/>
        </w:rPr>
        <w:t>二是提升电力系统安全性和韧性。通过精准的资源潜力评估和智能协同调控，项目将有效提升贵州电网在极端天气、负荷高峰等场景下的灵活调节能力，将高载能负荷从“被动受限”转变为“主动协同”，降低系统运行风险，增强电网韧性。</w:t>
      </w:r>
    </w:p>
    <w:p>
      <w:pPr>
        <w:spacing w:after="120" w:line="440" w:lineRule="exact"/>
        <w:ind w:firstLine="480"/>
      </w:pPr>
      <w:r>
        <w:rPr>
          <w:rFonts w:ascii="FangSong" w:hAnsi="FangSong" w:eastAsia="FangSong"/>
          <w:sz w:val="24"/>
        </w:rPr>
        <w:t>三是助力“双碳”目标实现与新能源消纳。项目通过聚合贵州丰富的小水电、分布式光伏和柔性负荷资源，形成高质量可调节能力池，可有效提升新能源就地消纳水平，减少弃水弃光，助推贵州省建设新型综合能源基地的战略目标。</w:t>
      </w:r>
    </w:p>
    <w:p>
      <w:pPr>
        <w:spacing w:after="120" w:line="440" w:lineRule="exact"/>
        <w:ind w:firstLine="480"/>
      </w:pPr>
      <w:r>
        <w:rPr>
          <w:rFonts w:ascii="FangSong" w:hAnsi="FangSong" w:eastAsia="FangSong"/>
          <w:sz w:val="24"/>
        </w:rPr>
        <w:t>四是创造显著的经济社会效益。项目预期将聚合形成不少于30万千瓦的可调节资源池，年调节电量超1亿千瓦时，为参与企业创造需求响应收益、峰谷套利收益和辅助服务收益，同时降低企业用能成本，形成多方共赢的可持续商业模式。</w:t>
      </w:r>
    </w:p>
    <w:p>
      <w:r>
        <w:br w:type="page"/>
      </w:r>
    </w:p>
    <w:p>
      <w:pPr>
        <w:spacing w:before="320" w:after="160" w:line="520" w:lineRule="exact"/>
      </w:pPr>
      <w:r>
        <w:rPr>
          <w:rFonts w:ascii="SimHei" w:hAnsi="SimHei" w:eastAsia="SimHei"/>
          <w:b/>
          <w:sz w:val="32"/>
        </w:rPr>
        <w:t>二、主要研究内容</w:t>
      </w:r>
    </w:p>
    <w:p>
      <w:pPr>
        <w:spacing w:after="120" w:line="440" w:lineRule="exact"/>
        <w:ind w:firstLine="480"/>
      </w:pPr>
      <w:r>
        <w:rPr>
          <w:rFonts w:ascii="FangSong" w:hAnsi="FangSong" w:eastAsia="FangSong"/>
          <w:sz w:val="24"/>
        </w:rPr>
        <w:t>本项目围绕虚拟电厂多时空尺度智能协同运营的核心目标，设置六大课题、十八项子任务，具体分工如下：</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2075"/>
        <w:gridCol w:w="2075"/>
        <w:gridCol w:w="2075"/>
        <w:gridCol w:w="2075"/>
      </w:tblGrid>
      <w:tr>
        <w:tc>
          <w:tcPr>
            <w:tcW w:type="dxa" w:w="2551"/>
            <w:shd w:fill="1A237E" w:val="clear"/>
          </w:tcPr>
          <w:p>
            <w:pPr>
              <w:jc w:val="center"/>
            </w:pPr>
            <w:r/>
            <w:r>
              <w:rPr>
                <w:rFonts w:ascii="SimHei" w:hAnsi="SimHei" w:eastAsia="SimHei"/>
                <w:b/>
                <w:color w:val="FFFFFF"/>
                <w:sz w:val="20"/>
              </w:rPr>
              <w:t>课题/子任务</w:t>
            </w:r>
          </w:p>
        </w:tc>
        <w:tc>
          <w:tcPr>
            <w:tcW w:type="dxa" w:w="2551"/>
            <w:shd w:fill="1A237E" w:val="clear"/>
          </w:tcPr>
          <w:p>
            <w:pPr>
              <w:jc w:val="center"/>
            </w:pPr>
            <w:r/>
            <w:r>
              <w:rPr>
                <w:rFonts w:ascii="SimHei" w:hAnsi="SimHei" w:eastAsia="SimHei"/>
                <w:b/>
                <w:color w:val="FFFFFF"/>
                <w:sz w:val="20"/>
              </w:rPr>
              <w:t>子任务名称</w:t>
            </w:r>
          </w:p>
        </w:tc>
        <w:tc>
          <w:tcPr>
            <w:tcW w:type="dxa" w:w="1417"/>
            <w:shd w:fill="1A237E" w:val="clear"/>
          </w:tcPr>
          <w:p>
            <w:pPr>
              <w:jc w:val="center"/>
            </w:pPr>
            <w:r/>
            <w:r>
              <w:rPr>
                <w:rFonts w:ascii="SimHei" w:hAnsi="SimHei" w:eastAsia="SimHei"/>
                <w:b/>
                <w:color w:val="FFFFFF"/>
                <w:sz w:val="20"/>
              </w:rPr>
              <w:t>牵头方</w:t>
            </w:r>
          </w:p>
        </w:tc>
        <w:tc>
          <w:tcPr>
            <w:tcW w:type="dxa" w:w="2551"/>
            <w:shd w:fill="1A237E" w:val="clear"/>
          </w:tcPr>
          <w:p>
            <w:pPr>
              <w:jc w:val="center"/>
            </w:pPr>
            <w:r/>
            <w:r>
              <w:rPr>
                <w:rFonts w:ascii="SimHei" w:hAnsi="SimHei" w:eastAsia="SimHei"/>
                <w:b/>
                <w:color w:val="FFFFFF"/>
                <w:sz w:val="20"/>
              </w:rPr>
              <w:t>参与方</w:t>
            </w:r>
          </w:p>
        </w:tc>
      </w:tr>
      <w:tr>
        <w:tc>
          <w:tcPr>
            <w:tcW w:type="dxa" w:w="8300"/>
            <w:gridSpan w:val="4"/>
            <w:shd w:fill="E8EAF6" w:val="clear"/>
          </w:tcPr>
          <w:p>
            <w:pPr>
              <w:jc w:val="left"/>
            </w:pPr>
            <w:r/>
            <w:r>
              <w:rPr>
                <w:rFonts w:ascii="KaiTi" w:hAnsi="KaiTi" w:eastAsia="KaiTi"/>
                <w:b/>
                <w:sz w:val="20"/>
              </w:rPr>
              <w:t>课题一：多源异构数据特征治理与资源画像</w:t>
            </w:r>
          </w:p>
        </w:tc>
      </w:tr>
      <w:tr>
        <w:tc>
          <w:tcPr>
            <w:tcW w:type="dxa" w:w="2551"/>
          </w:tcPr>
          <w:p>
            <w:pPr>
              <w:jc w:val="left"/>
            </w:pPr>
            <w:r/>
            <w:r>
              <w:rPr>
                <w:rFonts w:ascii="FangSong" w:hAnsi="FangSong" w:eastAsia="FangSong"/>
                <w:sz w:val="18"/>
              </w:rPr>
              <w:t>子任务1.1：多模态数据语义理解与结构化提取</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贵州电网公司、朗新科技</w:t>
            </w:r>
          </w:p>
        </w:tc>
        <w:tc>
          <w:tcPr>
            <w:tcW w:type="dxa" w:w="2075"/>
          </w:tcPr>
          <w:p/>
        </w:tc>
      </w:tr>
      <w:tr>
        <w:tc>
          <w:tcPr>
            <w:tcW w:type="dxa" w:w="2551"/>
          </w:tcPr>
          <w:p>
            <w:pPr>
              <w:jc w:val="left"/>
            </w:pPr>
            <w:r/>
            <w:r>
              <w:rPr>
                <w:rFonts w:ascii="FangSong" w:hAnsi="FangSong" w:eastAsia="FangSong"/>
                <w:sz w:val="18"/>
              </w:rPr>
              <w:t>子任务1.2：设备级数字孪生与资源画像构建</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贵州电网公司、矿能集团</w:t>
            </w:r>
          </w:p>
        </w:tc>
        <w:tc>
          <w:tcPr>
            <w:tcW w:type="dxa" w:w="2075"/>
          </w:tcPr>
          <w:p/>
        </w:tc>
      </w:tr>
      <w:tr>
        <w:tc>
          <w:tcPr>
            <w:tcW w:type="dxa" w:w="2551"/>
          </w:tcPr>
          <w:p>
            <w:pPr>
              <w:jc w:val="left"/>
            </w:pPr>
            <w:r/>
            <w:r>
              <w:rPr>
                <w:rFonts w:ascii="FangSong" w:hAnsi="FangSong" w:eastAsia="FangSong"/>
                <w:sz w:val="18"/>
              </w:rPr>
              <w:t>子任务1.3：数据质量管控与异常检测修复</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贵州电网公司</w:t>
            </w:r>
          </w:p>
        </w:tc>
        <w:tc>
          <w:tcPr>
            <w:tcW w:type="dxa" w:w="2075"/>
          </w:tcPr>
          <w:p/>
        </w:tc>
      </w:tr>
      <w:tr>
        <w:tc>
          <w:tcPr>
            <w:tcW w:type="dxa" w:w="8300"/>
            <w:gridSpan w:val="4"/>
            <w:shd w:fill="E8EAF6" w:val="clear"/>
          </w:tcPr>
          <w:p>
            <w:pPr>
              <w:jc w:val="left"/>
            </w:pPr>
            <w:r/>
            <w:r>
              <w:rPr>
                <w:rFonts w:ascii="KaiTi" w:hAnsi="KaiTi" w:eastAsia="KaiTi"/>
                <w:b/>
                <w:sz w:val="20"/>
              </w:rPr>
              <w:t>课题二：聚合资源多时空尺度负荷预测</w:t>
            </w:r>
          </w:p>
        </w:tc>
      </w:tr>
      <w:tr>
        <w:tc>
          <w:tcPr>
            <w:tcW w:type="dxa" w:w="2551"/>
          </w:tcPr>
          <w:p>
            <w:pPr>
              <w:jc w:val="left"/>
            </w:pPr>
            <w:r/>
            <w:r>
              <w:rPr>
                <w:rFonts w:ascii="FangSong" w:hAnsi="FangSong" w:eastAsia="FangSong"/>
                <w:sz w:val="18"/>
              </w:rPr>
              <w:t>子任务2.1：极端工况下新能源出力预测模型</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贵州电网公司、潜能三安</w:t>
            </w:r>
          </w:p>
        </w:tc>
        <w:tc>
          <w:tcPr>
            <w:tcW w:type="dxa" w:w="2075"/>
          </w:tcPr>
          <w:p/>
        </w:tc>
      </w:tr>
      <w:tr>
        <w:tc>
          <w:tcPr>
            <w:tcW w:type="dxa" w:w="2551"/>
          </w:tcPr>
          <w:p>
            <w:pPr>
              <w:jc w:val="left"/>
            </w:pPr>
            <w:r/>
            <w:r>
              <w:rPr>
                <w:rFonts w:ascii="FangSong" w:hAnsi="FangSong" w:eastAsia="FangSong"/>
                <w:sz w:val="18"/>
              </w:rPr>
              <w:t>子任务2.2：柔性负荷响应行为建模与预测</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贵州国能</w:t>
            </w:r>
          </w:p>
        </w:tc>
        <w:tc>
          <w:tcPr>
            <w:tcW w:type="dxa" w:w="2075"/>
          </w:tcPr>
          <w:p/>
        </w:tc>
      </w:tr>
      <w:tr>
        <w:tc>
          <w:tcPr>
            <w:tcW w:type="dxa" w:w="2551"/>
          </w:tcPr>
          <w:p>
            <w:pPr>
              <w:jc w:val="left"/>
            </w:pPr>
            <w:r/>
            <w:r>
              <w:rPr>
                <w:rFonts w:ascii="FangSong" w:hAnsi="FangSong" w:eastAsia="FangSong"/>
                <w:sz w:val="18"/>
              </w:rPr>
              <w:t>子任务2.3：多模态时序大模型融合预测框架</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贵州电网公司</w:t>
            </w:r>
          </w:p>
        </w:tc>
        <w:tc>
          <w:tcPr>
            <w:tcW w:type="dxa" w:w="2075"/>
          </w:tcPr>
          <w:p/>
        </w:tc>
      </w:tr>
      <w:tr>
        <w:tc>
          <w:tcPr>
            <w:tcW w:type="dxa" w:w="8300"/>
            <w:gridSpan w:val="4"/>
            <w:shd w:fill="E8EAF6" w:val="clear"/>
          </w:tcPr>
          <w:p>
            <w:pPr>
              <w:jc w:val="left"/>
            </w:pPr>
            <w:r/>
            <w:r>
              <w:rPr>
                <w:rFonts w:ascii="KaiTi" w:hAnsi="KaiTi" w:eastAsia="KaiTi"/>
                <w:b/>
                <w:sz w:val="20"/>
              </w:rPr>
              <w:t>课题三：分布式资源调节潜力智能评估</w:t>
            </w:r>
          </w:p>
        </w:tc>
      </w:tr>
      <w:tr>
        <w:tc>
          <w:tcPr>
            <w:tcW w:type="dxa" w:w="2551"/>
          </w:tcPr>
          <w:p>
            <w:pPr>
              <w:jc w:val="left"/>
            </w:pPr>
            <w:r/>
            <w:r>
              <w:rPr>
                <w:rFonts w:ascii="FangSong" w:hAnsi="FangSong" w:eastAsia="FangSong"/>
                <w:sz w:val="18"/>
              </w:rPr>
              <w:t>子任务3.1：物理机理+数据驱动的PINN混合建模</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矿能集团</w:t>
            </w:r>
          </w:p>
        </w:tc>
        <w:tc>
          <w:tcPr>
            <w:tcW w:type="dxa" w:w="2075"/>
          </w:tcPr>
          <w:p/>
        </w:tc>
      </w:tr>
      <w:tr>
        <w:tc>
          <w:tcPr>
            <w:tcW w:type="dxa" w:w="2551"/>
          </w:tcPr>
          <w:p>
            <w:pPr>
              <w:jc w:val="left"/>
            </w:pPr>
            <w:r/>
            <w:r>
              <w:rPr>
                <w:rFonts w:ascii="FangSong" w:hAnsi="FangSong" w:eastAsia="FangSong"/>
                <w:sz w:val="18"/>
              </w:rPr>
              <w:t>子任务3.2：多维约束下可调节潜力量化评估</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贵州电网公司</w:t>
            </w:r>
          </w:p>
        </w:tc>
        <w:tc>
          <w:tcPr>
            <w:tcW w:type="dxa" w:w="2075"/>
          </w:tcPr>
          <w:p/>
        </w:tc>
      </w:tr>
      <w:tr>
        <w:tc>
          <w:tcPr>
            <w:tcW w:type="dxa" w:w="2551"/>
          </w:tcPr>
          <w:p>
            <w:pPr>
              <w:jc w:val="left"/>
            </w:pPr>
            <w:r/>
            <w:r>
              <w:rPr>
                <w:rFonts w:ascii="FangSong" w:hAnsi="FangSong" w:eastAsia="FangSong"/>
                <w:sz w:val="18"/>
              </w:rPr>
              <w:t>子任务3.3：调节成本函数与响应包线自动生成</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贵州国能</w:t>
            </w:r>
          </w:p>
        </w:tc>
        <w:tc>
          <w:tcPr>
            <w:tcW w:type="dxa" w:w="2075"/>
          </w:tcPr>
          <w:p/>
        </w:tc>
      </w:tr>
      <w:tr>
        <w:tc>
          <w:tcPr>
            <w:tcW w:type="dxa" w:w="8300"/>
            <w:gridSpan w:val="4"/>
            <w:shd w:fill="E8EAF6" w:val="clear"/>
          </w:tcPr>
          <w:p>
            <w:pPr>
              <w:jc w:val="left"/>
            </w:pPr>
            <w:r/>
            <w:r>
              <w:rPr>
                <w:rFonts w:ascii="KaiTi" w:hAnsi="KaiTi" w:eastAsia="KaiTi"/>
                <w:b/>
                <w:sz w:val="20"/>
              </w:rPr>
              <w:t>课题四：多智能体协同调控与优化决策</w:t>
            </w:r>
          </w:p>
        </w:tc>
      </w:tr>
      <w:tr>
        <w:tc>
          <w:tcPr>
            <w:tcW w:type="dxa" w:w="2551"/>
          </w:tcPr>
          <w:p>
            <w:pPr>
              <w:jc w:val="left"/>
            </w:pPr>
            <w:r/>
            <w:r>
              <w:rPr>
                <w:rFonts w:ascii="FangSong" w:hAnsi="FangSong" w:eastAsia="FangSong"/>
                <w:sz w:val="18"/>
              </w:rPr>
              <w:t>子任务4.1：分层多智能体强化学习（MARL）调控算法</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贵州电网公司</w:t>
            </w:r>
          </w:p>
        </w:tc>
        <w:tc>
          <w:tcPr>
            <w:tcW w:type="dxa" w:w="2075"/>
          </w:tcPr>
          <w:p/>
        </w:tc>
      </w:tr>
      <w:tr>
        <w:tc>
          <w:tcPr>
            <w:tcW w:type="dxa" w:w="2551"/>
          </w:tcPr>
          <w:p>
            <w:pPr>
              <w:jc w:val="left"/>
            </w:pPr>
            <w:r/>
            <w:r>
              <w:rPr>
                <w:rFonts w:ascii="FangSong" w:hAnsi="FangSong" w:eastAsia="FangSong"/>
                <w:sz w:val="18"/>
              </w:rPr>
              <w:t>子任务4.2：GNN知识图谱驱动的调控经验推理</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朗新科技</w:t>
            </w:r>
          </w:p>
        </w:tc>
        <w:tc>
          <w:tcPr>
            <w:tcW w:type="dxa" w:w="2075"/>
          </w:tcPr>
          <w:p/>
        </w:tc>
      </w:tr>
      <w:tr>
        <w:tc>
          <w:tcPr>
            <w:tcW w:type="dxa" w:w="2551"/>
          </w:tcPr>
          <w:p>
            <w:pPr>
              <w:jc w:val="left"/>
            </w:pPr>
            <w:r/>
            <w:r>
              <w:rPr>
                <w:rFonts w:ascii="FangSong" w:hAnsi="FangSong" w:eastAsia="FangSong"/>
                <w:sz w:val="18"/>
              </w:rPr>
              <w:t>子任务4.3：多目标安全约束优化与实时滚动调控</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贵州电网公司、潜能三安</w:t>
            </w:r>
          </w:p>
        </w:tc>
        <w:tc>
          <w:tcPr>
            <w:tcW w:type="dxa" w:w="2075"/>
          </w:tcPr>
          <w:p/>
        </w:tc>
      </w:tr>
      <w:tr>
        <w:tc>
          <w:tcPr>
            <w:tcW w:type="dxa" w:w="8300"/>
            <w:gridSpan w:val="4"/>
            <w:shd w:fill="E8EAF6" w:val="clear"/>
          </w:tcPr>
          <w:p>
            <w:pPr>
              <w:jc w:val="left"/>
            </w:pPr>
            <w:r/>
            <w:r>
              <w:rPr>
                <w:rFonts w:ascii="KaiTi" w:hAnsi="KaiTi" w:eastAsia="KaiTi"/>
                <w:b/>
                <w:sz w:val="20"/>
              </w:rPr>
              <w:t>课题五：电力市场智能交易辅助决策</w:t>
            </w:r>
          </w:p>
        </w:tc>
      </w:tr>
      <w:tr>
        <w:tc>
          <w:tcPr>
            <w:tcW w:type="dxa" w:w="2551"/>
          </w:tcPr>
          <w:p>
            <w:pPr>
              <w:jc w:val="left"/>
            </w:pPr>
            <w:r/>
            <w:r>
              <w:rPr>
                <w:rFonts w:ascii="FangSong" w:hAnsi="FangSong" w:eastAsia="FangSong"/>
                <w:sz w:val="18"/>
              </w:rPr>
              <w:t>子任务5.1：现货电价LLM时序预测与风险识别</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贵州电网公司</w:t>
            </w:r>
          </w:p>
        </w:tc>
        <w:tc>
          <w:tcPr>
            <w:tcW w:type="dxa" w:w="2075"/>
          </w:tcPr>
          <w:p/>
        </w:tc>
      </w:tr>
      <w:tr>
        <w:tc>
          <w:tcPr>
            <w:tcW w:type="dxa" w:w="2551"/>
          </w:tcPr>
          <w:p>
            <w:pPr>
              <w:jc w:val="left"/>
            </w:pPr>
            <w:r/>
            <w:r>
              <w:rPr>
                <w:rFonts w:ascii="FangSong" w:hAnsi="FangSong" w:eastAsia="FangSong"/>
                <w:sz w:val="18"/>
              </w:rPr>
              <w:t>子任务5.2：多市场品种组合优化与自动申报</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贵州国能</w:t>
            </w:r>
          </w:p>
        </w:tc>
        <w:tc>
          <w:tcPr>
            <w:tcW w:type="dxa" w:w="2075"/>
          </w:tcPr>
          <w:p/>
        </w:tc>
      </w:tr>
      <w:tr>
        <w:tc>
          <w:tcPr>
            <w:tcW w:type="dxa" w:w="2551"/>
          </w:tcPr>
          <w:p>
            <w:pPr>
              <w:jc w:val="left"/>
            </w:pPr>
            <w:r/>
            <w:r>
              <w:rPr>
                <w:rFonts w:ascii="FangSong" w:hAnsi="FangSong" w:eastAsia="FangSong"/>
                <w:sz w:val="18"/>
              </w:rPr>
              <w:t>子任务5.3：交易复盘与策略持续学习进化</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朗新科技</w:t>
            </w:r>
          </w:p>
        </w:tc>
        <w:tc>
          <w:tcPr>
            <w:tcW w:type="dxa" w:w="2075"/>
          </w:tcPr>
          <w:p/>
        </w:tc>
      </w:tr>
      <w:tr>
        <w:tc>
          <w:tcPr>
            <w:tcW w:type="dxa" w:w="8300"/>
            <w:gridSpan w:val="4"/>
            <w:shd w:fill="E8EAF6" w:val="clear"/>
          </w:tcPr>
          <w:p>
            <w:pPr>
              <w:jc w:val="left"/>
            </w:pPr>
            <w:r/>
            <w:r>
              <w:rPr>
                <w:rFonts w:ascii="KaiTi" w:hAnsi="KaiTi" w:eastAsia="KaiTi"/>
                <w:b/>
                <w:sz w:val="20"/>
              </w:rPr>
              <w:t>课题六：“产调销”一体化智能运营平台</w:t>
            </w:r>
          </w:p>
        </w:tc>
      </w:tr>
      <w:tr>
        <w:tc>
          <w:tcPr>
            <w:tcW w:type="dxa" w:w="2551"/>
          </w:tcPr>
          <w:p>
            <w:pPr>
              <w:jc w:val="left"/>
            </w:pPr>
            <w:r/>
            <w:r>
              <w:rPr>
                <w:rFonts w:ascii="FangSong" w:hAnsi="FangSong" w:eastAsia="FangSong"/>
                <w:sz w:val="18"/>
              </w:rPr>
              <w:t>子任务6.1：生产-调控-交易全链路闭环集成</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贵州电网公司</w:t>
            </w:r>
          </w:p>
        </w:tc>
        <w:tc>
          <w:tcPr>
            <w:tcW w:type="dxa" w:w="2075"/>
          </w:tcPr>
          <w:p/>
        </w:tc>
      </w:tr>
      <w:tr>
        <w:tc>
          <w:tcPr>
            <w:tcW w:type="dxa" w:w="2551"/>
          </w:tcPr>
          <w:p>
            <w:pPr>
              <w:jc w:val="left"/>
            </w:pPr>
            <w:r/>
            <w:r>
              <w:rPr>
                <w:rFonts w:ascii="FangSong" w:hAnsi="FangSong" w:eastAsia="FangSong"/>
                <w:sz w:val="18"/>
              </w:rPr>
              <w:t>子任务6.2：联邦学习驱动的跨园区协同训练</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矿能集团</w:t>
            </w:r>
          </w:p>
        </w:tc>
        <w:tc>
          <w:tcPr>
            <w:tcW w:type="dxa" w:w="2075"/>
          </w:tcPr>
          <w:p/>
        </w:tc>
      </w:tr>
      <w:tr>
        <w:tc>
          <w:tcPr>
            <w:tcW w:type="dxa" w:w="2551"/>
          </w:tcPr>
          <w:p>
            <w:pPr>
              <w:jc w:val="left"/>
            </w:pPr>
            <w:r/>
            <w:r>
              <w:rPr>
                <w:rFonts w:ascii="FangSong" w:hAnsi="FangSong" w:eastAsia="FangSong"/>
                <w:sz w:val="18"/>
              </w:rPr>
              <w:t>子任务6.3：可视化驾驶舱与人机协同运营</w:t>
            </w:r>
          </w:p>
        </w:tc>
        <w:tc>
          <w:tcPr>
            <w:tcW w:type="dxa" w:w="2551"/>
          </w:tcPr>
          <w:p>
            <w:pPr>
              <w:jc w:val="left"/>
            </w:pPr>
            <w:r/>
            <w:r>
              <w:rPr>
                <w:rFonts w:ascii="FangSong" w:hAnsi="FangSong" w:eastAsia="FangSong"/>
                <w:sz w:val="18"/>
              </w:rPr>
              <w:t>XX单位</w:t>
            </w:r>
          </w:p>
        </w:tc>
        <w:tc>
          <w:tcPr>
            <w:tcW w:type="dxa" w:w="1417"/>
          </w:tcPr>
          <w:p>
            <w:pPr>
              <w:jc w:val="center"/>
            </w:pPr>
            <w:r/>
            <w:r>
              <w:rPr>
                <w:rFonts w:ascii="FangSong" w:hAnsi="FangSong" w:eastAsia="FangSong"/>
                <w:sz w:val="18"/>
              </w:rPr>
              <w:t>贵州电网公司、朗新科技</w:t>
            </w:r>
          </w:p>
        </w:tc>
        <w:tc>
          <w:tcPr>
            <w:tcW w:type="dxa" w:w="2075"/>
          </w:tcPr>
          <w:p/>
        </w:tc>
      </w:tr>
    </w:tbl>
    <w:p>
      <w:r>
        <w:br w:type="page"/>
      </w:r>
    </w:p>
    <w:p>
      <w:pPr>
        <w:spacing w:before="320" w:after="160" w:line="520" w:lineRule="exact"/>
      </w:pPr>
      <w:r>
        <w:rPr>
          <w:rFonts w:ascii="SimHei" w:hAnsi="SimHei" w:eastAsia="SimHei"/>
          <w:b/>
          <w:sz w:val="32"/>
        </w:rPr>
        <w:t>三、创新点</w:t>
      </w:r>
    </w:p>
    <w:p>
      <w:pPr>
        <w:spacing w:before="240" w:after="160" w:line="520" w:lineRule="exact"/>
      </w:pPr>
      <w:r>
        <w:rPr>
          <w:rFonts w:ascii="KaiTi" w:hAnsi="KaiTi" w:eastAsia="KaiTi"/>
          <w:b/>
          <w:sz w:val="26"/>
        </w:rPr>
        <w:t>创新点一：基于PINN物理信息神经网络的分布式资源“数字孪生+可调节潜力”混合建模技术</w:t>
      </w:r>
    </w:p>
    <w:p>
      <w:pPr>
        <w:spacing w:after="120" w:line="440" w:lineRule="exact"/>
        <w:ind w:firstLine="480"/>
      </w:pPr>
      <w:r>
        <w:rPr>
          <w:rFonts w:ascii="FangSong" w:hAnsi="FangSong" w:eastAsia="FangSong"/>
          <w:sz w:val="24"/>
        </w:rPr>
        <w:t>现有技术主要采用纯数据驱动或纯物理建模方式评估分布式资源的可调节潜力。纯数据驱动方法在新场景泛化能力不足，纯物理建模方法参数标定复杂且精度受限。本项目创新性地提出物理信息神经网络（PINN）与深度学习的混合建模框架，将设备的热力学方程、电气约束、工艺安全边界等物理先验知识嵌入神经网络损失函数，实现数据驱动与物理机理的有机融合。该技术可在数据稀疏场景下保持高精度，显著降低训练数据需求（减少60%以上），同时将“无感调节窗口”识别准确率提升至85%以上，为海量异构资源的规模化潜力评估提供可落地技术路径。</w:t>
      </w:r>
    </w:p>
    <w:p>
      <w:pPr>
        <w:spacing w:after="200" w:line="440" w:lineRule="exact"/>
        <w:ind w:firstLine="480"/>
      </w:pPr>
      <w:r>
        <w:rPr>
          <w:rFonts w:ascii="FangSong" w:hAnsi="FangSong" w:eastAsia="FangSong"/>
          <w:color w:val="1565C0"/>
          <w:sz w:val="20"/>
        </w:rPr>
        <w:t>[ ] 现有方法：纯数据驱动泛化差、纯物理模型精度低；本项目：PINN混合建模，物理先验+数据驱动融合，训练数据需求降低60%，识别准确率≥85%</w:t>
      </w:r>
    </w:p>
    <w:p>
      <w:pPr>
        <w:spacing w:before="240" w:after="160" w:line="520" w:lineRule="exact"/>
      </w:pPr>
      <w:r>
        <w:rPr>
          <w:rFonts w:ascii="KaiTi" w:hAnsi="KaiTi" w:eastAsia="KaiTi"/>
          <w:b/>
          <w:sz w:val="26"/>
        </w:rPr>
        <w:t>创新点二：基于分层多智能体深度强化学习（Hierarchical MARL）的多时空尺度协同调控算法</w:t>
      </w:r>
    </w:p>
    <w:p>
      <w:pPr>
        <w:spacing w:after="120" w:line="440" w:lineRule="exact"/>
        <w:ind w:firstLine="480"/>
      </w:pPr>
      <w:r>
        <w:rPr>
          <w:rFonts w:ascii="FangSong" w:hAnsi="FangSong" w:eastAsia="FangSong"/>
          <w:sz w:val="24"/>
        </w:rPr>
        <w:t>传统虚拟电厂调控多采用集中式优化或简单规则控制，面对数百个分布式资源的实时协同优化时，存在“维数灾难”和“实时性”双重挑战。本项目创新性地提出分层多智能体强化学习（H-MARL）架构：上层采用MA-PPO实现园区级的日前-日内协同决策，中层采用Q-Mix实现资源簇级的分钟级滚动优化，底层采用轻量化策略网络实现设备级的秒级安全校正。通过注意力机制（Attention）实现智能体间的自适应通信，通过课程学习（Curriculum Learning）实现从仿真到真实的渐进式策略迁移。该算法响应速度≤5分钟，策略执行成功率≥98%，显著优于现有集中式优化方案。</w:t>
      </w:r>
    </w:p>
    <w:p>
      <w:pPr>
        <w:spacing w:after="200" w:line="440" w:lineRule="exact"/>
        <w:ind w:firstLine="480"/>
      </w:pPr>
      <w:r>
        <w:rPr>
          <w:rFonts w:ascii="FangSong" w:hAnsi="FangSong" w:eastAsia="FangSong"/>
          <w:color w:val="1565C0"/>
          <w:sz w:val="20"/>
        </w:rPr>
        <w:t>[ ] 现有方法：集中式优化“维数灾难”、规则控制精度低；本项目：H-MARL三层架构（MA-PPO+Q-Mix+轻量策略），响应≤5min，成功率≥98%</w:t>
      </w:r>
    </w:p>
    <w:p>
      <w:pPr>
        <w:spacing w:before="240" w:after="160" w:line="520" w:lineRule="exact"/>
      </w:pPr>
      <w:r>
        <w:rPr>
          <w:rFonts w:ascii="KaiTi" w:hAnsi="KaiTi" w:eastAsia="KaiTi"/>
          <w:b/>
          <w:sz w:val="26"/>
        </w:rPr>
        <w:t>创新点三：基于图神经网络（GNN）与知识图谱的虚拟电厂调度经验知识推理引擎</w:t>
      </w:r>
    </w:p>
    <w:p>
      <w:pPr>
        <w:spacing w:after="120" w:line="440" w:lineRule="exact"/>
        <w:ind w:firstLine="480"/>
      </w:pPr>
      <w:r>
        <w:rPr>
          <w:rFonts w:ascii="FangSong" w:hAnsi="FangSong" w:eastAsia="FangSong"/>
          <w:sz w:val="24"/>
        </w:rPr>
        <w:t>虚拟电厂调度领域积累了大量的历史运行数据、专家经验、事故案例和调控规程，但这些知识以非结构化形式存在，难以被计算机有效利用。本项目创新性地构建虚拟电厂领域知识图谱，将“设备—拓扑—规则—事件—策略”等实体及其关系进行结构化建模。在此基础上，设计图神经网络（GNN）推理引擎，实现基于图谱的调度方案推荐、异常根因分析和经验知识迁移。该技术可实现跨园区、跨场景的调控知识复用，将新场景适配时间从“周级”缩短至“天级”，显著降低对高级调度专家的依赖。</w:t>
      </w:r>
    </w:p>
    <w:p>
      <w:pPr>
        <w:spacing w:after="200" w:line="440" w:lineRule="exact"/>
        <w:ind w:firstLine="480"/>
      </w:pPr>
      <w:r>
        <w:rPr>
          <w:rFonts w:ascii="FangSong" w:hAnsi="FangSong" w:eastAsia="FangSong"/>
          <w:color w:val="1565C0"/>
          <w:sz w:val="20"/>
        </w:rPr>
        <w:t>[ ] 现有方法：经验依赖人工传承、知识无法复用；本项目：GNN知识图谱推理引擎，新场景适配从“周级”→“天级”</w:t>
      </w:r>
    </w:p>
    <w:p>
      <w:pPr>
        <w:spacing w:before="240" w:after="160" w:line="520" w:lineRule="exact"/>
      </w:pPr>
      <w:r>
        <w:rPr>
          <w:rFonts w:ascii="KaiTi" w:hAnsi="KaiTi" w:eastAsia="KaiTi"/>
          <w:b/>
          <w:sz w:val="26"/>
        </w:rPr>
        <w:t>创新点四：基于大语言模型（LLM）智能体的电力市场交易辅助决策系统</w:t>
      </w:r>
    </w:p>
    <w:p>
      <w:pPr>
        <w:spacing w:after="120" w:line="440" w:lineRule="exact"/>
        <w:ind w:firstLine="480"/>
      </w:pPr>
      <w:r>
        <w:rPr>
          <w:rFonts w:ascii="FangSong" w:hAnsi="FangSong" w:eastAsia="FangSong"/>
          <w:sz w:val="24"/>
        </w:rPr>
        <w:t>电力现货市场出清价格受新能源出力、负荷变化、网络拓扑、机组检修、政策调整等多因素耦合影响，价格预测和交易决策高度依赖专家经验和市场直觉。本项目创新性地将大语言模型（LLM）智能体引入电力市场交易场景，利用LLM强大的语义理解和多模态推理能力，实现对市场公告、政策文件、检修计划等非结构化信息的智能解读，结合时序预测模型输出多模态融合的电价预测与风险预警。同时，基于ReAct（Reasoning + Acting）框架设计的交易智能体能够自动生成交易策略、执行申报操作并进行复盘学习，将交易策略生成时间压缩至15分钟以内，日前交易策略命中率提升至65%以上。</w:t>
      </w:r>
    </w:p>
    <w:p>
      <w:pPr>
        <w:spacing w:after="200" w:line="440" w:lineRule="exact"/>
        <w:ind w:firstLine="480"/>
      </w:pPr>
      <w:r>
        <w:rPr>
          <w:rFonts w:ascii="FangSong" w:hAnsi="FangSong" w:eastAsia="FangSong"/>
          <w:color w:val="1565C0"/>
          <w:sz w:val="20"/>
        </w:rPr>
        <w:t>[ ] 现有方法：交易依赖人工经验、策略生成周期长；本项目：LLM+ReAct智能体，策略生成≤15min，命中率≥65%</w:t>
      </w:r>
    </w:p>
    <w:p>
      <w:pPr>
        <w:spacing w:before="240" w:after="160" w:line="520" w:lineRule="exact"/>
      </w:pPr>
      <w:r>
        <w:rPr>
          <w:rFonts w:ascii="KaiTi" w:hAnsi="KaiTi" w:eastAsia="KaiTi"/>
          <w:b/>
          <w:sz w:val="26"/>
        </w:rPr>
        <w:t>创新点五：基于联邦学习与差分隐私的跨虚拟电厂协同训练框架</w:t>
      </w:r>
    </w:p>
    <w:p>
      <w:pPr>
        <w:spacing w:after="120" w:line="440" w:lineRule="exact"/>
        <w:ind w:firstLine="480"/>
      </w:pPr>
      <w:r>
        <w:rPr>
          <w:rFonts w:ascii="FangSong" w:hAnsi="FangSong" w:eastAsia="FangSong"/>
          <w:sz w:val="24"/>
        </w:rPr>
        <w:t>虚拟电厂运营涉及企业核心生产数据和用电行为数据，传统中心化模型训练模式要求数据集中存储和共享，面临严重的数据安全和隐私保护挑战。本项目创新性地提出联邦学习（Federated Learning）+ 差分隐私（Differential Privacy）双层保护架构：各园区在本地训练模型，仅上传加密梯度至中心服务器进行聚合；差分隐私机制在梯度中添加受控噪声，确保单个园区的数据不可从聚合模型中反推。该框架首次将“数据可用不可见”理念应用于虚拟电厂领域，在保证模型性能不显著下降的前提下（精度损失≤3%），实现跨园区协同优化和模型安全共享，为虚拟电厂运营商之间的数据合作提供技术保障。</w:t>
      </w:r>
    </w:p>
    <w:p>
      <w:pPr>
        <w:spacing w:after="200" w:line="440" w:lineRule="exact"/>
        <w:ind w:firstLine="480"/>
      </w:pPr>
      <w:r>
        <w:rPr>
          <w:rFonts w:ascii="FangSong" w:hAnsi="FangSong" w:eastAsia="FangSong"/>
          <w:color w:val="1565C0"/>
          <w:sz w:val="20"/>
        </w:rPr>
        <w:t>[ ] 现有方法：中心化训练数据安全风险高；本项目：联邦学习+差分隐私，“数据可用不可见”，精度损失≤3%</w:t>
      </w:r>
    </w:p>
    <w:p>
      <w:pPr>
        <w:jc w:val="center"/>
      </w:pPr>
      <w:r>
        <w:drawing>
          <wp:inline xmlns:a="http://schemas.openxmlformats.org/drawingml/2006/main" xmlns:pic="http://schemas.openxmlformats.org/drawingml/2006/picture">
            <wp:extent cx="5303520" cy="3247892"/>
            <wp:docPr id="2" name="Picture 2"/>
            <wp:cNvGraphicFramePr>
              <a:graphicFrameLocks noChangeAspect="1"/>
            </wp:cNvGraphicFramePr>
            <a:graphic>
              <a:graphicData uri="http://schemas.openxmlformats.org/drawingml/2006/picture">
                <pic:pic>
                  <pic:nvPicPr>
                    <pic:cNvPr id="0" name="fig_vpp_sysarch.png"/>
                    <pic:cNvPicPr/>
                  </pic:nvPicPr>
                  <pic:blipFill>
                    <a:blip r:embed="rId10"/>
                    <a:stretch>
                      <a:fillRect/>
                    </a:stretch>
                  </pic:blipFill>
                  <pic:spPr>
                    <a:xfrm>
                      <a:off x="0" y="0"/>
                      <a:ext cx="5303520" cy="3247892"/>
                    </a:xfrm>
                    <a:prstGeom prst="rect"/>
                  </pic:spPr>
                </pic:pic>
              </a:graphicData>
            </a:graphic>
          </wp:inline>
        </w:drawing>
      </w:r>
    </w:p>
    <w:p>
      <w:pPr>
        <w:jc w:val="center"/>
      </w:pPr>
      <w:r>
        <w:rPr>
          <w:rFonts w:ascii="SimSun" w:hAnsi="SimSun" w:eastAsia="SimSun"/>
          <w:color w:val="666666"/>
          <w:sz w:val="18"/>
        </w:rPr>
        <w:t>图3-1  虚拟电厂多时空尺度智能协同运营系统总体架构</w:t>
      </w:r>
    </w:p>
    <w:p>
      <w:r>
        <w:br w:type="page"/>
      </w:r>
    </w:p>
    <w:p>
      <w:pPr>
        <w:spacing w:before="320" w:after="160" w:line="520" w:lineRule="exact"/>
      </w:pPr>
      <w:r>
        <w:rPr>
          <w:rFonts w:ascii="SimHei" w:hAnsi="SimHei" w:eastAsia="SimHei"/>
          <w:b/>
          <w:sz w:val="32"/>
        </w:rPr>
        <w:t>四、资金情况</w:t>
      </w:r>
    </w:p>
    <w:p>
      <w:pPr>
        <w:spacing w:after="240" w:line="440" w:lineRule="exact"/>
      </w:pPr>
      <w:r>
        <w:rPr>
          <w:rFonts w:ascii="SimHei" w:hAnsi="SimHei" w:eastAsia="SimHei"/>
          <w:b/>
          <w:sz w:val="28"/>
        </w:rPr>
        <w:t>项目总投资约 1,800万元</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4150"/>
        <w:gridCol w:w="4150"/>
      </w:tblGrid>
      <w:tr>
        <w:tc>
          <w:tcPr>
            <w:tcW w:type="dxa" w:w="4150"/>
            <w:shd w:fill="1A237E" w:val="clear"/>
          </w:tcPr>
          <w:p>
            <w:pPr>
              <w:jc w:val="center"/>
            </w:pPr>
            <w:r/>
            <w:r>
              <w:rPr>
                <w:rFonts w:ascii="SimHei" w:hAnsi="SimHei" w:eastAsia="SimHei"/>
                <w:b/>
                <w:color w:val="FFFFFF"/>
                <w:sz w:val="22"/>
              </w:rPr>
              <w:t>项目</w:t>
            </w:r>
          </w:p>
        </w:tc>
        <w:tc>
          <w:tcPr>
            <w:tcW w:type="dxa" w:w="4150"/>
            <w:shd w:fill="1A237E" w:val="clear"/>
          </w:tcPr>
          <w:p>
            <w:pPr>
              <w:jc w:val="center"/>
            </w:pPr>
            <w:r/>
            <w:r>
              <w:rPr>
                <w:rFonts w:ascii="SimHei" w:hAnsi="SimHei" w:eastAsia="SimHei"/>
                <w:b/>
                <w:color w:val="FFFFFF"/>
                <w:sz w:val="22"/>
              </w:rPr>
              <w:t>内容</w:t>
            </w:r>
          </w:p>
        </w:tc>
      </w:tr>
      <w:tr>
        <w:tc>
          <w:tcPr>
            <w:tcW w:type="dxa" w:w="2268"/>
            <w:shd w:fill="E8EAF6" w:val="clear"/>
          </w:tcPr>
          <w:p>
            <w:pPr>
              <w:jc w:val="center"/>
            </w:pPr>
            <w:r/>
            <w:r>
              <w:rPr>
                <w:rFonts w:ascii="SimHei" w:hAnsi="SimHei" w:eastAsia="SimHei"/>
                <w:b/>
                <w:sz w:val="20"/>
              </w:rPr>
              <w:t>总投资规模</w:t>
            </w:r>
          </w:p>
        </w:tc>
        <w:tc>
          <w:tcPr>
            <w:tcW w:type="dxa" w:w="6803"/>
          </w:tcPr>
          <w:p>
            <w:pPr>
              <w:jc w:val="left"/>
            </w:pPr>
            <w:r/>
            <w:r>
              <w:rPr>
                <w:rFonts w:ascii="FangSong" w:hAnsi="FangSong" w:eastAsia="FangSong"/>
                <w:sz w:val="20"/>
              </w:rPr>
              <w:t>1,800万元（暂估）</w:t>
            </w:r>
          </w:p>
        </w:tc>
      </w:tr>
      <w:tr>
        <w:tc>
          <w:tcPr>
            <w:tcW w:type="dxa" w:w="2268"/>
            <w:shd w:fill="E8EAF6" w:val="clear"/>
          </w:tcPr>
          <w:p>
            <w:pPr>
              <w:jc w:val="center"/>
            </w:pPr>
            <w:r/>
            <w:r>
              <w:rPr>
                <w:rFonts w:ascii="SimHei" w:hAnsi="SimHei" w:eastAsia="SimHei"/>
                <w:b/>
                <w:sz w:val="20"/>
              </w:rPr>
              <w:t>资金来源</w:t>
            </w:r>
          </w:p>
        </w:tc>
        <w:tc>
          <w:tcPr>
            <w:tcW w:type="dxa" w:w="6803"/>
          </w:tcPr>
          <w:p>
            <w:pPr>
              <w:jc w:val="left"/>
            </w:pPr>
            <w:r/>
            <w:r>
              <w:rPr>
                <w:rFonts w:ascii="FangSong" w:hAnsi="FangSong" w:eastAsia="FangSong"/>
                <w:sz w:val="20"/>
              </w:rPr>
              <w:t>国家能源局专项资金：800万元</w:t>
              <w:br/>
              <w:t>贵州电网公司配套：500万元</w:t>
              <w:br/>
              <w:t>联合申报单位自筹：500万元</w:t>
            </w:r>
          </w:p>
        </w:tc>
      </w:tr>
      <w:tr>
        <w:tc>
          <w:tcPr>
            <w:tcW w:type="dxa" w:w="2268"/>
            <w:shd w:fill="E8EAF6" w:val="clear"/>
          </w:tcPr>
          <w:p>
            <w:pPr>
              <w:jc w:val="center"/>
            </w:pPr>
            <w:r/>
            <w:r>
              <w:rPr>
                <w:rFonts w:ascii="SimHei" w:hAnsi="SimHei" w:eastAsia="SimHei"/>
                <w:b/>
                <w:sz w:val="20"/>
              </w:rPr>
              <w:t>资金用途分类</w:t>
            </w:r>
          </w:p>
        </w:tc>
        <w:tc>
          <w:tcPr>
            <w:tcW w:type="dxa" w:w="6803"/>
          </w:tcPr>
          <w:p>
            <w:pPr>
              <w:jc w:val="left"/>
            </w:pPr>
            <w:r/>
            <w:r>
              <w:rPr>
                <w:rFonts w:ascii="FangSong" w:hAnsi="FangSong" w:eastAsia="FangSong"/>
                <w:sz w:val="20"/>
              </w:rPr>
              <w:t>AI模型研发与训练：约600万元（33%）</w:t>
              <w:br/>
              <w:t>软件平台开发与集成：约450万元（25%）</w:t>
              <w:br/>
              <w:t>硬件/算力资源采购：约350万元（20%）</w:t>
              <w:br/>
              <w:t>试点部署与验证：约250万元（14%）</w:t>
              <w:br/>
              <w:t>项目管理与其他：约150万元（8%）</w:t>
            </w:r>
          </w:p>
        </w:tc>
      </w:tr>
      <w:tr>
        <w:tc>
          <w:tcPr>
            <w:tcW w:type="dxa" w:w="2268"/>
            <w:shd w:fill="E8EAF6" w:val="clear"/>
          </w:tcPr>
          <w:p>
            <w:pPr>
              <w:jc w:val="center"/>
            </w:pPr>
            <w:r/>
            <w:r>
              <w:rPr>
                <w:rFonts w:ascii="SimHei" w:hAnsi="SimHei" w:eastAsia="SimHei"/>
                <w:b/>
                <w:sz w:val="20"/>
              </w:rPr>
              <w:t>技术方经费分配</w:t>
            </w:r>
          </w:p>
        </w:tc>
        <w:tc>
          <w:tcPr>
            <w:tcW w:type="dxa" w:w="6803"/>
          </w:tcPr>
          <w:p>
            <w:pPr>
              <w:jc w:val="left"/>
            </w:pPr>
            <w:r/>
            <w:r>
              <w:rPr>
                <w:rFonts w:ascii="FangSong" w:hAnsi="FangSong" w:eastAsia="FangSong"/>
                <w:sz w:val="20"/>
              </w:rPr>
              <w:t>牵头申报单位（XX机构）：约700万元（AI算法研发+平台开发）</w:t>
              <w:br/>
              <w:t>贵州电网公司：约500万元（场景提供+数据接入+试点验证）</w:t>
              <w:br/>
              <w:t>朗新科技：约250万元（软件平台开发+系统集成）</w:t>
              <w:br/>
              <w:t>矿能集团/贵州国能/潜能三安：各约100万元（资源接入+现场配合）</w:t>
            </w:r>
          </w:p>
        </w:tc>
      </w:tr>
      <w:tr>
        <w:tc>
          <w:tcPr>
            <w:tcW w:type="dxa" w:w="2268"/>
            <w:shd w:fill="E8EAF6" w:val="clear"/>
          </w:tcPr>
          <w:p>
            <w:pPr>
              <w:jc w:val="center"/>
            </w:pPr>
            <w:r/>
            <w:r>
              <w:rPr>
                <w:rFonts w:ascii="SimHei" w:hAnsi="SimHei" w:eastAsia="SimHei"/>
                <w:b/>
                <w:sz w:val="20"/>
              </w:rPr>
              <w:t>投资类型</w:t>
            </w:r>
          </w:p>
        </w:tc>
        <w:tc>
          <w:tcPr>
            <w:tcW w:type="dxa" w:w="6803"/>
          </w:tcPr>
          <w:p>
            <w:pPr>
              <w:jc w:val="left"/>
            </w:pPr>
            <w:r/>
            <w:r>
              <w:rPr>
                <w:rFonts w:ascii="FangSong" w:hAnsi="FangSong" w:eastAsia="FangSong"/>
                <w:sz w:val="20"/>
              </w:rPr>
              <w:t>研发类项目投资</w:t>
            </w:r>
          </w:p>
        </w:tc>
      </w:tr>
    </w:tbl>
    <w:p>
      <w:r>
        <w:br w:type="page"/>
      </w:r>
    </w:p>
    <w:p>
      <w:pPr>
        <w:spacing w:before="320" w:after="160" w:line="520" w:lineRule="exact"/>
      </w:pPr>
      <w:r>
        <w:rPr>
          <w:rFonts w:ascii="SimHei" w:hAnsi="SimHei" w:eastAsia="SimHei"/>
          <w:b/>
          <w:sz w:val="32"/>
        </w:rPr>
        <w:t>五、项目整体计划（包含主要阶段）</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1660"/>
        <w:gridCol w:w="1660"/>
        <w:gridCol w:w="1660"/>
        <w:gridCol w:w="1660"/>
        <w:gridCol w:w="1660"/>
      </w:tblGrid>
      <w:tr>
        <w:tc>
          <w:tcPr>
            <w:tcW w:type="dxa" w:w="680"/>
            <w:shd w:fill="1A237E" w:val="clear"/>
          </w:tcPr>
          <w:p>
            <w:pPr>
              <w:jc w:val="center"/>
            </w:pPr>
            <w:r/>
            <w:r>
              <w:rPr>
                <w:rFonts w:ascii="SimHei" w:hAnsi="SimHei" w:eastAsia="SimHei"/>
                <w:b/>
                <w:color w:val="FFFFFF"/>
                <w:sz w:val="20"/>
              </w:rPr>
              <w:t>序号</w:t>
            </w:r>
          </w:p>
        </w:tc>
        <w:tc>
          <w:tcPr>
            <w:tcW w:type="dxa" w:w="2154"/>
            <w:shd w:fill="1A237E" w:val="clear"/>
          </w:tcPr>
          <w:p>
            <w:pPr>
              <w:jc w:val="center"/>
            </w:pPr>
            <w:r/>
            <w:r>
              <w:rPr>
                <w:rFonts w:ascii="SimHei" w:hAnsi="SimHei" w:eastAsia="SimHei"/>
                <w:b/>
                <w:color w:val="FFFFFF"/>
                <w:sz w:val="20"/>
              </w:rPr>
              <w:t>任务名称</w:t>
            </w:r>
          </w:p>
        </w:tc>
        <w:tc>
          <w:tcPr>
            <w:tcW w:type="dxa" w:w="1134"/>
            <w:shd w:fill="1A237E" w:val="clear"/>
          </w:tcPr>
          <w:p>
            <w:pPr>
              <w:jc w:val="center"/>
            </w:pPr>
            <w:r/>
            <w:r>
              <w:rPr>
                <w:rFonts w:ascii="SimHei" w:hAnsi="SimHei" w:eastAsia="SimHei"/>
                <w:b/>
                <w:color w:val="FFFFFF"/>
                <w:sz w:val="20"/>
              </w:rPr>
              <w:t>计划开始时间</w:t>
            </w:r>
          </w:p>
        </w:tc>
        <w:tc>
          <w:tcPr>
            <w:tcW w:type="dxa" w:w="1020"/>
            <w:shd w:fill="1A237E" w:val="clear"/>
          </w:tcPr>
          <w:p>
            <w:pPr>
              <w:jc w:val="center"/>
            </w:pPr>
            <w:r/>
            <w:r>
              <w:rPr>
                <w:rFonts w:ascii="SimHei" w:hAnsi="SimHei" w:eastAsia="SimHei"/>
                <w:b/>
                <w:color w:val="FFFFFF"/>
                <w:sz w:val="20"/>
              </w:rPr>
              <w:t>预计工期</w:t>
            </w:r>
          </w:p>
        </w:tc>
        <w:tc>
          <w:tcPr>
            <w:tcW w:type="dxa" w:w="4082"/>
            <w:shd w:fill="1A237E" w:val="clear"/>
          </w:tcPr>
          <w:p>
            <w:pPr>
              <w:jc w:val="center"/>
            </w:pPr>
            <w:r/>
            <w:r>
              <w:rPr>
                <w:rFonts w:ascii="SimHei" w:hAnsi="SimHei" w:eastAsia="SimHei"/>
                <w:b/>
                <w:color w:val="FFFFFF"/>
                <w:sz w:val="20"/>
              </w:rPr>
              <w:t>任务描述</w:t>
            </w:r>
          </w:p>
        </w:tc>
      </w:tr>
      <w:tr>
        <w:tc>
          <w:tcPr>
            <w:tcW w:type="dxa" w:w="680"/>
          </w:tcPr>
          <w:p>
            <w:pPr>
              <w:jc w:val="center"/>
            </w:pPr>
            <w:r/>
            <w:r>
              <w:rPr>
                <w:rFonts w:ascii="FangSong" w:hAnsi="FangSong" w:eastAsia="FangSong"/>
                <w:sz w:val="18"/>
              </w:rPr>
              <w:t>1</w:t>
            </w:r>
          </w:p>
        </w:tc>
        <w:tc>
          <w:tcPr>
            <w:tcW w:type="dxa" w:w="2154"/>
          </w:tcPr>
          <w:p>
            <w:pPr>
              <w:jc w:val="center"/>
            </w:pPr>
            <w:r/>
            <w:r>
              <w:rPr>
                <w:rFonts w:ascii="FangSong" w:hAnsi="FangSong" w:eastAsia="FangSong"/>
                <w:sz w:val="18"/>
              </w:rPr>
              <w:t>需求调研与分布式资源普查</w:t>
            </w:r>
          </w:p>
        </w:tc>
        <w:tc>
          <w:tcPr>
            <w:tcW w:type="dxa" w:w="1134"/>
          </w:tcPr>
          <w:p>
            <w:pPr>
              <w:jc w:val="center"/>
            </w:pPr>
            <w:r/>
            <w:r>
              <w:rPr>
                <w:rFonts w:ascii="FangSong" w:hAnsi="FangSong" w:eastAsia="FangSong"/>
                <w:sz w:val="18"/>
              </w:rPr>
              <w:t>第1月</w:t>
            </w:r>
          </w:p>
        </w:tc>
        <w:tc>
          <w:tcPr>
            <w:tcW w:type="dxa" w:w="1020"/>
          </w:tcPr>
          <w:p>
            <w:pPr>
              <w:jc w:val="center"/>
            </w:pPr>
            <w:r/>
            <w:r>
              <w:rPr>
                <w:rFonts w:ascii="FangSong" w:hAnsi="FangSong" w:eastAsia="FangSong"/>
                <w:sz w:val="18"/>
              </w:rPr>
              <w:t>2个月</w:t>
            </w:r>
          </w:p>
        </w:tc>
        <w:tc>
          <w:tcPr>
            <w:tcW w:type="dxa" w:w="4082"/>
          </w:tcPr>
          <w:p>
            <w:pPr>
              <w:jc w:val="left"/>
            </w:pPr>
            <w:r/>
            <w:r>
              <w:rPr>
                <w:rFonts w:ascii="FangSong" w:hAnsi="FangSong" w:eastAsia="FangSong"/>
                <w:sz w:val="18"/>
              </w:rPr>
              <w:t>完成贵州典型工业园区、商业楼宇、分布式能源站的需求调研；开展可调节资源普查与分类；编制详细技术方案</w:t>
            </w:r>
          </w:p>
        </w:tc>
      </w:tr>
      <w:tr>
        <w:tc>
          <w:tcPr>
            <w:tcW w:type="dxa" w:w="680"/>
          </w:tcPr>
          <w:p>
            <w:pPr>
              <w:jc w:val="center"/>
            </w:pPr>
            <w:r/>
            <w:r>
              <w:rPr>
                <w:rFonts w:ascii="FangSong" w:hAnsi="FangSong" w:eastAsia="FangSong"/>
                <w:sz w:val="18"/>
              </w:rPr>
              <w:t>2</w:t>
            </w:r>
          </w:p>
        </w:tc>
        <w:tc>
          <w:tcPr>
            <w:tcW w:type="dxa" w:w="2154"/>
          </w:tcPr>
          <w:p>
            <w:pPr>
              <w:jc w:val="center"/>
            </w:pPr>
            <w:r/>
            <w:r>
              <w:rPr>
                <w:rFonts w:ascii="FangSong" w:hAnsi="FangSong" w:eastAsia="FangSong"/>
                <w:sz w:val="18"/>
              </w:rPr>
              <w:t>多源异构数据治理平台开发</w:t>
            </w:r>
          </w:p>
        </w:tc>
        <w:tc>
          <w:tcPr>
            <w:tcW w:type="dxa" w:w="1134"/>
          </w:tcPr>
          <w:p>
            <w:pPr>
              <w:jc w:val="center"/>
            </w:pPr>
            <w:r/>
            <w:r>
              <w:rPr>
                <w:rFonts w:ascii="FangSong" w:hAnsi="FangSong" w:eastAsia="FangSong"/>
                <w:sz w:val="18"/>
              </w:rPr>
              <w:t>第2月</w:t>
            </w:r>
          </w:p>
        </w:tc>
        <w:tc>
          <w:tcPr>
            <w:tcW w:type="dxa" w:w="1020"/>
          </w:tcPr>
          <w:p>
            <w:pPr>
              <w:jc w:val="center"/>
            </w:pPr>
            <w:r/>
            <w:r>
              <w:rPr>
                <w:rFonts w:ascii="FangSong" w:hAnsi="FangSong" w:eastAsia="FangSong"/>
                <w:sz w:val="18"/>
              </w:rPr>
              <w:t>3个月</w:t>
            </w:r>
          </w:p>
        </w:tc>
        <w:tc>
          <w:tcPr>
            <w:tcW w:type="dxa" w:w="4082"/>
          </w:tcPr>
          <w:p>
            <w:pPr>
              <w:jc w:val="left"/>
            </w:pPr>
            <w:r/>
            <w:r>
              <w:rPr>
                <w:rFonts w:ascii="FangSong" w:hAnsi="FangSong" w:eastAsia="FangSong"/>
                <w:sz w:val="18"/>
              </w:rPr>
              <w:t>开发基于RAG的多模态数据语义理解模块；完成SCADA/MES/用采等多系统数据接入；构建数据质量管控与特征工程工厂</w:t>
            </w:r>
          </w:p>
        </w:tc>
      </w:tr>
      <w:tr>
        <w:tc>
          <w:tcPr>
            <w:tcW w:type="dxa" w:w="680"/>
          </w:tcPr>
          <w:p>
            <w:pPr>
              <w:jc w:val="center"/>
            </w:pPr>
            <w:r/>
            <w:r>
              <w:rPr>
                <w:rFonts w:ascii="FangSong" w:hAnsi="FangSong" w:eastAsia="FangSong"/>
                <w:sz w:val="18"/>
              </w:rPr>
              <w:t>3</w:t>
            </w:r>
          </w:p>
        </w:tc>
        <w:tc>
          <w:tcPr>
            <w:tcW w:type="dxa" w:w="2154"/>
          </w:tcPr>
          <w:p>
            <w:pPr>
              <w:jc w:val="center"/>
            </w:pPr>
            <w:r/>
            <w:r>
              <w:rPr>
                <w:rFonts w:ascii="FangSong" w:hAnsi="FangSong" w:eastAsia="FangSong"/>
                <w:sz w:val="18"/>
              </w:rPr>
              <w:t>AI核心算法模型研发</w:t>
            </w:r>
          </w:p>
        </w:tc>
        <w:tc>
          <w:tcPr>
            <w:tcW w:type="dxa" w:w="1134"/>
          </w:tcPr>
          <w:p>
            <w:pPr>
              <w:jc w:val="center"/>
            </w:pPr>
            <w:r/>
            <w:r>
              <w:rPr>
                <w:rFonts w:ascii="FangSong" w:hAnsi="FangSong" w:eastAsia="FangSong"/>
                <w:sz w:val="18"/>
              </w:rPr>
              <w:t>第3月</w:t>
            </w:r>
          </w:p>
        </w:tc>
        <w:tc>
          <w:tcPr>
            <w:tcW w:type="dxa" w:w="1020"/>
          </w:tcPr>
          <w:p>
            <w:pPr>
              <w:jc w:val="center"/>
            </w:pPr>
            <w:r/>
            <w:r>
              <w:rPr>
                <w:rFonts w:ascii="FangSong" w:hAnsi="FangSong" w:eastAsia="FangSong"/>
                <w:sz w:val="18"/>
              </w:rPr>
              <w:t>7个月</w:t>
            </w:r>
          </w:p>
        </w:tc>
        <w:tc>
          <w:tcPr>
            <w:tcW w:type="dxa" w:w="4082"/>
          </w:tcPr>
          <w:p>
            <w:pPr>
              <w:jc w:val="left"/>
            </w:pPr>
            <w:r/>
            <w:r>
              <w:rPr>
                <w:rFonts w:ascii="FangSong" w:hAnsi="FangSong" w:eastAsia="FangSong"/>
                <w:sz w:val="18"/>
              </w:rPr>
              <w:t>含PINN潜力评估模型、时序大模型、MARL协同调控算法、GNN知识图谱、LLM交易智能体、联邦学习框架的研究开发</w:t>
            </w:r>
          </w:p>
        </w:tc>
      </w:tr>
      <w:tr>
        <w:tc>
          <w:tcPr>
            <w:tcW w:type="dxa" w:w="680"/>
          </w:tcPr>
          <w:p>
            <w:pPr>
              <w:jc w:val="center"/>
            </w:pPr>
            <w:r/>
            <w:r>
              <w:rPr>
                <w:rFonts w:ascii="FangSong" w:hAnsi="FangSong" w:eastAsia="FangSong"/>
                <w:sz w:val="18"/>
              </w:rPr>
              <w:t>4</w:t>
            </w:r>
          </w:p>
        </w:tc>
        <w:tc>
          <w:tcPr>
            <w:tcW w:type="dxa" w:w="2154"/>
          </w:tcPr>
          <w:p>
            <w:pPr>
              <w:jc w:val="center"/>
            </w:pPr>
            <w:r/>
            <w:r>
              <w:rPr>
                <w:rFonts w:ascii="FangSong" w:hAnsi="FangSong" w:eastAsia="FangSong"/>
                <w:sz w:val="18"/>
              </w:rPr>
              <w:t>软件功能模块开发与系统集成</w:t>
            </w:r>
          </w:p>
        </w:tc>
        <w:tc>
          <w:tcPr>
            <w:tcW w:type="dxa" w:w="1134"/>
          </w:tcPr>
          <w:p>
            <w:pPr>
              <w:jc w:val="center"/>
            </w:pPr>
            <w:r/>
            <w:r>
              <w:rPr>
                <w:rFonts w:ascii="FangSong" w:hAnsi="FangSong" w:eastAsia="FangSong"/>
                <w:sz w:val="18"/>
              </w:rPr>
              <w:t>第8月</w:t>
            </w:r>
          </w:p>
        </w:tc>
        <w:tc>
          <w:tcPr>
            <w:tcW w:type="dxa" w:w="1020"/>
          </w:tcPr>
          <w:p>
            <w:pPr>
              <w:jc w:val="center"/>
            </w:pPr>
            <w:r/>
            <w:r>
              <w:rPr>
                <w:rFonts w:ascii="FangSong" w:hAnsi="FangSong" w:eastAsia="FangSong"/>
                <w:sz w:val="18"/>
              </w:rPr>
              <w:t>4个月</w:t>
            </w:r>
          </w:p>
        </w:tc>
        <w:tc>
          <w:tcPr>
            <w:tcW w:type="dxa" w:w="4082"/>
          </w:tcPr>
          <w:p>
            <w:pPr>
              <w:jc w:val="left"/>
            </w:pPr>
            <w:r/>
            <w:r>
              <w:rPr>
                <w:rFonts w:ascii="FangSong" w:hAnsi="FangSong" w:eastAsia="FangSong"/>
                <w:sz w:val="18"/>
              </w:rPr>
              <w:t>完成六大功能模块的前后端开发；开展系统联调与集成测试；部署至省级平台测试环境</w:t>
            </w:r>
          </w:p>
        </w:tc>
      </w:tr>
      <w:tr>
        <w:tc>
          <w:tcPr>
            <w:tcW w:type="dxa" w:w="680"/>
          </w:tcPr>
          <w:p>
            <w:pPr>
              <w:jc w:val="center"/>
            </w:pPr>
            <w:r/>
            <w:r>
              <w:rPr>
                <w:rFonts w:ascii="FangSong" w:hAnsi="FangSong" w:eastAsia="FangSong"/>
                <w:sz w:val="18"/>
              </w:rPr>
              <w:t>5</w:t>
            </w:r>
          </w:p>
        </w:tc>
        <w:tc>
          <w:tcPr>
            <w:tcW w:type="dxa" w:w="2154"/>
          </w:tcPr>
          <w:p>
            <w:pPr>
              <w:jc w:val="center"/>
            </w:pPr>
            <w:r/>
            <w:r>
              <w:rPr>
                <w:rFonts w:ascii="FangSong" w:hAnsi="FangSong" w:eastAsia="FangSong"/>
                <w:sz w:val="18"/>
              </w:rPr>
              <w:t>贵州典型工业园区试点部署</w:t>
            </w:r>
          </w:p>
        </w:tc>
        <w:tc>
          <w:tcPr>
            <w:tcW w:type="dxa" w:w="1134"/>
          </w:tcPr>
          <w:p>
            <w:pPr>
              <w:jc w:val="center"/>
            </w:pPr>
            <w:r/>
            <w:r>
              <w:rPr>
                <w:rFonts w:ascii="FangSong" w:hAnsi="FangSong" w:eastAsia="FangSong"/>
                <w:sz w:val="18"/>
              </w:rPr>
              <w:t>第11月</w:t>
            </w:r>
          </w:p>
        </w:tc>
        <w:tc>
          <w:tcPr>
            <w:tcW w:type="dxa" w:w="1020"/>
          </w:tcPr>
          <w:p>
            <w:pPr>
              <w:jc w:val="center"/>
            </w:pPr>
            <w:r/>
            <w:r>
              <w:rPr>
                <w:rFonts w:ascii="FangSong" w:hAnsi="FangSong" w:eastAsia="FangSong"/>
                <w:sz w:val="18"/>
              </w:rPr>
              <w:t>4个月</w:t>
            </w:r>
          </w:p>
        </w:tc>
        <w:tc>
          <w:tcPr>
            <w:tcW w:type="dxa" w:w="4082"/>
          </w:tcPr>
          <w:p>
            <w:pPr>
              <w:jc w:val="left"/>
            </w:pPr>
            <w:r/>
            <w:r>
              <w:rPr>
                <w:rFonts w:ascii="FangSong" w:hAnsi="FangSong" w:eastAsia="FangSong"/>
                <w:sz w:val="18"/>
              </w:rPr>
              <w:t>在贵州省2-3个典型工业园区（含电解铝/磷化工/铁合金等）开展试点部署；完成现场数据接入与联调</w:t>
            </w:r>
          </w:p>
        </w:tc>
      </w:tr>
      <w:tr>
        <w:tc>
          <w:tcPr>
            <w:tcW w:type="dxa" w:w="680"/>
          </w:tcPr>
          <w:p>
            <w:pPr>
              <w:jc w:val="center"/>
            </w:pPr>
            <w:r/>
            <w:r>
              <w:rPr>
                <w:rFonts w:ascii="FangSong" w:hAnsi="FangSong" w:eastAsia="FangSong"/>
                <w:sz w:val="18"/>
              </w:rPr>
              <w:t>6</w:t>
            </w:r>
          </w:p>
        </w:tc>
        <w:tc>
          <w:tcPr>
            <w:tcW w:type="dxa" w:w="2154"/>
          </w:tcPr>
          <w:p>
            <w:pPr>
              <w:jc w:val="center"/>
            </w:pPr>
            <w:r/>
            <w:r>
              <w:rPr>
                <w:rFonts w:ascii="FangSong" w:hAnsi="FangSong" w:eastAsia="FangSong"/>
                <w:sz w:val="18"/>
              </w:rPr>
              <w:t>策略验证与效果评估</w:t>
            </w:r>
          </w:p>
        </w:tc>
        <w:tc>
          <w:tcPr>
            <w:tcW w:type="dxa" w:w="1134"/>
          </w:tcPr>
          <w:p>
            <w:pPr>
              <w:jc w:val="center"/>
            </w:pPr>
            <w:r/>
            <w:r>
              <w:rPr>
                <w:rFonts w:ascii="FangSong" w:hAnsi="FangSong" w:eastAsia="FangSong"/>
                <w:sz w:val="18"/>
              </w:rPr>
              <w:t>第13月</w:t>
            </w:r>
          </w:p>
        </w:tc>
        <w:tc>
          <w:tcPr>
            <w:tcW w:type="dxa" w:w="1020"/>
          </w:tcPr>
          <w:p>
            <w:pPr>
              <w:jc w:val="center"/>
            </w:pPr>
            <w:r/>
            <w:r>
              <w:rPr>
                <w:rFonts w:ascii="FangSong" w:hAnsi="FangSong" w:eastAsia="FangSong"/>
                <w:sz w:val="18"/>
              </w:rPr>
              <w:t>2个月</w:t>
            </w:r>
          </w:p>
        </w:tc>
        <w:tc>
          <w:tcPr>
            <w:tcW w:type="dxa" w:w="4082"/>
          </w:tcPr>
          <w:p>
            <w:pPr>
              <w:jc w:val="left"/>
            </w:pPr>
            <w:r/>
            <w:r>
              <w:rPr>
                <w:rFonts w:ascii="FangSong" w:hAnsi="FangSong" w:eastAsia="FangSong"/>
                <w:sz w:val="18"/>
              </w:rPr>
              <w:t>开展调控策略现场验证；采集运行数据；完成考核指标测算与效果评估报告</w:t>
            </w:r>
          </w:p>
        </w:tc>
      </w:tr>
      <w:tr>
        <w:tc>
          <w:tcPr>
            <w:tcW w:type="dxa" w:w="680"/>
          </w:tcPr>
          <w:p>
            <w:pPr>
              <w:jc w:val="center"/>
            </w:pPr>
            <w:r/>
            <w:r>
              <w:rPr>
                <w:rFonts w:ascii="FangSong" w:hAnsi="FangSong" w:eastAsia="FangSong"/>
                <w:sz w:val="18"/>
              </w:rPr>
              <w:t>7</w:t>
            </w:r>
          </w:p>
        </w:tc>
        <w:tc>
          <w:tcPr>
            <w:tcW w:type="dxa" w:w="2154"/>
          </w:tcPr>
          <w:p>
            <w:pPr>
              <w:jc w:val="center"/>
            </w:pPr>
            <w:r/>
            <w:r>
              <w:rPr>
                <w:rFonts w:ascii="FangSong" w:hAnsi="FangSong" w:eastAsia="FangSong"/>
                <w:sz w:val="18"/>
              </w:rPr>
              <w:t>项目验收与成果固化</w:t>
            </w:r>
          </w:p>
        </w:tc>
        <w:tc>
          <w:tcPr>
            <w:tcW w:type="dxa" w:w="1134"/>
          </w:tcPr>
          <w:p>
            <w:pPr>
              <w:jc w:val="center"/>
            </w:pPr>
            <w:r/>
            <w:r>
              <w:rPr>
                <w:rFonts w:ascii="FangSong" w:hAnsi="FangSong" w:eastAsia="FangSong"/>
                <w:sz w:val="18"/>
              </w:rPr>
              <w:t>第14月</w:t>
            </w:r>
          </w:p>
        </w:tc>
        <w:tc>
          <w:tcPr>
            <w:tcW w:type="dxa" w:w="1020"/>
          </w:tcPr>
          <w:p>
            <w:pPr>
              <w:jc w:val="center"/>
            </w:pPr>
            <w:r/>
            <w:r>
              <w:rPr>
                <w:rFonts w:ascii="FangSong" w:hAnsi="FangSong" w:eastAsia="FangSong"/>
                <w:sz w:val="18"/>
              </w:rPr>
              <w:t>2个月</w:t>
            </w:r>
          </w:p>
        </w:tc>
        <w:tc>
          <w:tcPr>
            <w:tcW w:type="dxa" w:w="4082"/>
          </w:tcPr>
          <w:p>
            <w:pPr>
              <w:jc w:val="left"/>
            </w:pPr>
            <w:r/>
            <w:r>
              <w:rPr>
                <w:rFonts w:ascii="FangSong" w:hAnsi="FangSong" w:eastAsia="FangSong"/>
                <w:sz w:val="18"/>
              </w:rPr>
              <w:t>编制验收材料；申报软件著作权、发明专利；编制标准化技术规范和推广方案</w:t>
            </w:r>
          </w:p>
        </w:tc>
      </w:tr>
    </w:tbl>
    <w:p>
      <w:pPr>
        <w:jc w:val="center"/>
      </w:pPr>
      <w:r>
        <w:drawing>
          <wp:inline xmlns:a="http://schemas.openxmlformats.org/drawingml/2006/main" xmlns:pic="http://schemas.openxmlformats.org/drawingml/2006/picture">
            <wp:extent cx="5303520" cy="2640100"/>
            <wp:docPr id="3" name="Picture 3"/>
            <wp:cNvGraphicFramePr>
              <a:graphicFrameLocks noChangeAspect="1"/>
            </wp:cNvGraphicFramePr>
            <a:graphic>
              <a:graphicData uri="http://schemas.openxmlformats.org/drawingml/2006/picture">
                <pic:pic>
                  <pic:nvPicPr>
                    <pic:cNvPr id="0" name="fig_vpp_gantt.png"/>
                    <pic:cNvPicPr/>
                  </pic:nvPicPr>
                  <pic:blipFill>
                    <a:blip r:embed="rId11"/>
                    <a:stretch>
                      <a:fillRect/>
                    </a:stretch>
                  </pic:blipFill>
                  <pic:spPr>
                    <a:xfrm>
                      <a:off x="0" y="0"/>
                      <a:ext cx="5303520" cy="2640100"/>
                    </a:xfrm>
                    <a:prstGeom prst="rect"/>
                  </pic:spPr>
                </pic:pic>
              </a:graphicData>
            </a:graphic>
          </wp:inline>
        </w:drawing>
      </w:r>
    </w:p>
    <w:p>
      <w:pPr>
        <w:jc w:val="center"/>
      </w:pPr>
      <w:r>
        <w:rPr>
          <w:rFonts w:ascii="SimSun" w:hAnsi="SimSun" w:eastAsia="SimSun"/>
          <w:color w:val="666666"/>
          <w:sz w:val="18"/>
        </w:rPr>
        <w:t>图5-1  虚拟电厂多时空尺度智能协同运营项目实施计划甘特图</w:t>
      </w:r>
    </w:p>
    <w:p>
      <w:r>
        <w:br w:type="page"/>
      </w:r>
    </w:p>
    <w:p>
      <w:pPr>
        <w:spacing w:before="320" w:after="160" w:line="520" w:lineRule="exact"/>
      </w:pPr>
      <w:r>
        <w:rPr>
          <w:rFonts w:ascii="SimHei" w:hAnsi="SimHei" w:eastAsia="SimHei"/>
          <w:b/>
          <w:sz w:val="32"/>
        </w:rPr>
        <w:t>六、待协调事项</w:t>
      </w:r>
    </w:p>
    <w:p>
      <w:pPr>
        <w:spacing w:after="120" w:line="440" w:lineRule="exact"/>
        <w:ind w:firstLine="480"/>
      </w:pPr>
      <w:r>
        <w:rPr>
          <w:rFonts w:ascii="FangSong" w:hAnsi="FangSong" w:eastAsia="FangSong"/>
          <w:sz w:val="24"/>
        </w:rPr>
        <w:t>为确保项目顺利推进和实施，以下事项需在项目启动前期重点协调落实：</w:t>
      </w:r>
    </w:p>
    <w:p>
      <w:pPr>
        <w:spacing w:before="240" w:after="160" w:line="520" w:lineRule="exact"/>
      </w:pPr>
      <w:r>
        <w:rPr>
          <w:rFonts w:ascii="KaiTi" w:hAnsi="KaiTi" w:eastAsia="KaiTi"/>
          <w:b/>
          <w:sz w:val="26"/>
        </w:rPr>
        <w:t>1. 跨部门数据共享协调</w:t>
      </w:r>
    </w:p>
    <w:p>
      <w:pPr>
        <w:spacing w:after="120" w:line="440" w:lineRule="exact"/>
        <w:ind w:firstLine="480"/>
      </w:pPr>
      <w:r>
        <w:rPr>
          <w:rFonts w:ascii="FangSong" w:hAnsi="FangSong" w:eastAsia="FangSong"/>
          <w:sz w:val="24"/>
        </w:rPr>
        <w:t>需协调贵州电网调度、营销、计量等多个业务部门开放用采数据、负荷数据、拓扑数据等接口权限。建议由省公司数字化部牵头建立数据共享工作机制，明确数据脱敏标准和安全管理规范。</w:t>
      </w:r>
    </w:p>
    <w:p>
      <w:pPr>
        <w:spacing w:before="240" w:after="160" w:line="520" w:lineRule="exact"/>
      </w:pPr>
      <w:r>
        <w:rPr>
          <w:rFonts w:ascii="KaiTi" w:hAnsi="KaiTi" w:eastAsia="KaiTi"/>
          <w:b/>
          <w:sz w:val="26"/>
        </w:rPr>
        <w:t>2. 工业园区现场试点准入</w:t>
      </w:r>
    </w:p>
    <w:p>
      <w:pPr>
        <w:spacing w:after="120" w:line="440" w:lineRule="exact"/>
        <w:ind w:firstLine="480"/>
      </w:pPr>
      <w:r>
        <w:rPr>
          <w:rFonts w:ascii="FangSong" w:hAnsi="FangSong" w:eastAsia="FangSong"/>
          <w:sz w:val="24"/>
        </w:rPr>
        <w:t>试点园区涉及电解铝、磷化工等高载能企业，需协调企业配合部署边缘计算设备和负荷控制终端。建议依托电网公司客户关系渠道，提前沟通签署试点合作协议，明确数据安全与生产保障条款。</w:t>
      </w:r>
    </w:p>
    <w:p>
      <w:pPr>
        <w:spacing w:before="240" w:after="160" w:line="520" w:lineRule="exact"/>
      </w:pPr>
      <w:r>
        <w:rPr>
          <w:rFonts w:ascii="KaiTi" w:hAnsi="KaiTi" w:eastAsia="KaiTi"/>
          <w:b/>
          <w:sz w:val="26"/>
        </w:rPr>
        <w:t>3. 电力现货市场交易资质</w:t>
      </w:r>
    </w:p>
    <w:p>
      <w:pPr>
        <w:spacing w:after="120" w:line="440" w:lineRule="exact"/>
        <w:ind w:firstLine="480"/>
      </w:pPr>
      <w:r>
        <w:rPr>
          <w:rFonts w:ascii="FangSong" w:hAnsi="FangSong" w:eastAsia="FangSong"/>
          <w:sz w:val="24"/>
        </w:rPr>
        <w:t>虚拟电厂参与现货市场交易需要取得相应准入资质，需协调贵州电力交易中心明确虚拟电厂市场主体的注册条件和交易规则。</w:t>
      </w:r>
    </w:p>
    <w:p>
      <w:pPr>
        <w:spacing w:before="240" w:after="160" w:line="520" w:lineRule="exact"/>
      </w:pPr>
      <w:r>
        <w:rPr>
          <w:rFonts w:ascii="KaiTi" w:hAnsi="KaiTi" w:eastAsia="KaiTi"/>
          <w:b/>
          <w:sz w:val="26"/>
        </w:rPr>
        <w:t>4. 算力资源保障</w:t>
      </w:r>
    </w:p>
    <w:p>
      <w:pPr>
        <w:spacing w:after="120" w:line="440" w:lineRule="exact"/>
        <w:ind w:firstLine="480"/>
      </w:pPr>
      <w:r>
        <w:rPr>
          <w:rFonts w:ascii="FangSong" w:hAnsi="FangSong" w:eastAsia="FangSong"/>
          <w:sz w:val="24"/>
        </w:rPr>
        <w:t>AI大模型训练需要高性能GPU算力资源，需协调公司信息中心或云平台提供A100/H100等GPU集群算力资源保障。</w:t>
      </w:r>
    </w:p>
    <w:p>
      <w:pPr>
        <w:spacing w:before="240" w:after="160" w:line="520" w:lineRule="exact"/>
      </w:pPr>
      <w:r>
        <w:rPr>
          <w:rFonts w:ascii="KaiTi" w:hAnsi="KaiTi" w:eastAsia="KaiTi"/>
          <w:b/>
          <w:sz w:val="26"/>
        </w:rPr>
        <w:t>5. 通信网络条件确认</w:t>
      </w:r>
    </w:p>
    <w:p>
      <w:pPr>
        <w:spacing w:after="120" w:line="440" w:lineRule="exact"/>
        <w:ind w:firstLine="480"/>
      </w:pPr>
      <w:r>
        <w:rPr>
          <w:rFonts w:ascii="FangSong" w:hAnsi="FangSong" w:eastAsia="FangSong"/>
          <w:sz w:val="24"/>
        </w:rPr>
        <w:t>需确认试点园区的HPLC覆盖率、4G/5G信号质量和边缘计算节点部署条件，提前评估网络改造需求。</w:t>
      </w:r>
    </w:p>
    <w:p>
      <w:pPr>
        <w:spacing w:before="240" w:after="160" w:line="520" w:lineRule="exact"/>
      </w:pPr>
      <w:r>
        <w:rPr>
          <w:rFonts w:ascii="KaiTi" w:hAnsi="KaiTi" w:eastAsia="KaiTi"/>
          <w:b/>
          <w:sz w:val="26"/>
        </w:rPr>
        <w:t>6. 联合申报单位协作机制</w:t>
      </w:r>
    </w:p>
    <w:p>
      <w:pPr>
        <w:spacing w:after="120" w:line="440" w:lineRule="exact"/>
        <w:ind w:firstLine="480"/>
      </w:pPr>
      <w:r>
        <w:rPr>
          <w:rFonts w:ascii="FangSong" w:hAnsi="FangSong" w:eastAsia="FangSong"/>
          <w:sz w:val="24"/>
        </w:rPr>
        <w:t>需明确各参与方（贵州电网、朗新、矿能、国能、潜能三安等）的权责分工、知识产权归属和经费拨付机制，签订联合申报协议。</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