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45060">
      <w:pPr>
        <w:spacing w:after="120" w:line="440" w:lineRule="exact"/>
      </w:pPr>
    </w:p>
    <w:p w14:paraId="1D081309">
      <w:pPr>
        <w:spacing w:after="120" w:line="440" w:lineRule="exact"/>
        <w:jc w:val="center"/>
      </w:pPr>
      <w:r>
        <w:rPr>
          <w:rFonts w:ascii="黑体" w:hAnsi="黑体" w:eastAsia="黑体"/>
          <w:b/>
          <w:sz w:val="44"/>
        </w:rPr>
        <w:t>国家能源局“人工智能+”能源高价值场景</w:t>
      </w:r>
    </w:p>
    <w:p w14:paraId="49A52C37">
      <w:pPr>
        <w:spacing w:after="120" w:line="440" w:lineRule="exact"/>
      </w:pPr>
    </w:p>
    <w:p w14:paraId="157DAF7F">
      <w:pPr>
        <w:spacing w:after="120" w:line="440" w:lineRule="exact"/>
        <w:jc w:val="center"/>
      </w:pPr>
      <w:r>
        <w:rPr>
          <w:rFonts w:ascii="楷体" w:hAnsi="楷体" w:eastAsia="楷体"/>
          <w:b/>
          <w:sz w:val="36"/>
        </w:rPr>
        <w:t>试点建设方案</w:t>
      </w:r>
    </w:p>
    <w:p w14:paraId="31829946">
      <w:pPr>
        <w:spacing w:after="120" w:line="440" w:lineRule="exact"/>
      </w:pPr>
    </w:p>
    <w:p w14:paraId="4DF88E21">
      <w:pPr>
        <w:spacing w:after="120" w:line="440" w:lineRule="exact"/>
        <w:jc w:val="center"/>
      </w:pPr>
      <w:r>
        <w:rPr>
          <w:rFonts w:ascii="仿宋" w:hAnsi="仿宋" w:eastAsia="仿宋"/>
          <w:b/>
          <w:sz w:val="28"/>
        </w:rPr>
        <w:t>场景名称：虚拟电厂多时空尺度智能协同运营</w:t>
      </w:r>
    </w:p>
    <w:p w14:paraId="00D2BE8D">
      <w:pPr>
        <w:spacing w:after="120" w:line="440" w:lineRule="exact"/>
      </w:pPr>
    </w:p>
    <w:tbl>
      <w:tblPr>
        <w:tblStyle w:val="32"/>
        <w:tblW w:w="0" w:type="auto"/>
        <w:jc w:val="center"/>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Layout w:type="autofit"/>
        <w:tblCellMar>
          <w:top w:w="0" w:type="dxa"/>
          <w:left w:w="108" w:type="dxa"/>
          <w:bottom w:w="0" w:type="dxa"/>
          <w:right w:w="108" w:type="dxa"/>
        </w:tblCellMar>
      </w:tblPr>
      <w:tblGrid>
        <w:gridCol w:w="1984"/>
        <w:gridCol w:w="6236"/>
      </w:tblGrid>
      <w:tr w14:paraId="78A61C69">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984" w:type="dxa"/>
            <w:shd w:val="clear" w:color="auto" w:fill="E8EAF6"/>
          </w:tcPr>
          <w:p w14:paraId="62EAF87C">
            <w:pPr>
              <w:jc w:val="center"/>
            </w:pPr>
            <w:r>
              <w:rPr>
                <w:rFonts w:ascii="黑体" w:hAnsi="黑体" w:eastAsia="黑体"/>
                <w:b/>
                <w:sz w:val="24"/>
              </w:rPr>
              <w:t>申报单位</w:t>
            </w:r>
          </w:p>
        </w:tc>
        <w:tc>
          <w:tcPr>
            <w:tcW w:w="6236" w:type="dxa"/>
          </w:tcPr>
          <w:p w14:paraId="0E1AD9FB">
            <w:pPr>
              <w:jc w:val="center"/>
            </w:pPr>
            <w:r>
              <w:rPr>
                <w:rFonts w:ascii="仿宋" w:hAnsi="仿宋" w:eastAsia="仿宋"/>
                <w:sz w:val="22"/>
              </w:rPr>
              <w:t>（待填写）</w:t>
            </w:r>
          </w:p>
        </w:tc>
      </w:tr>
      <w:tr w14:paraId="7CC7FE1A">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984" w:type="dxa"/>
            <w:shd w:val="clear" w:color="auto" w:fill="E8EAF6"/>
          </w:tcPr>
          <w:p w14:paraId="39BB572B">
            <w:pPr>
              <w:jc w:val="center"/>
            </w:pPr>
            <w:r>
              <w:rPr>
                <w:rFonts w:ascii="黑体" w:hAnsi="黑体" w:eastAsia="黑体"/>
                <w:b/>
                <w:sz w:val="24"/>
              </w:rPr>
              <w:t>联合申报单位</w:t>
            </w:r>
          </w:p>
        </w:tc>
        <w:tc>
          <w:tcPr>
            <w:tcW w:w="6236" w:type="dxa"/>
          </w:tcPr>
          <w:p w14:paraId="7F1B0968">
            <w:pPr>
              <w:jc w:val="center"/>
            </w:pPr>
            <w:r>
              <w:rPr>
                <w:rFonts w:ascii="仿宋" w:hAnsi="仿宋" w:eastAsia="仿宋"/>
                <w:sz w:val="22"/>
              </w:rPr>
              <w:t>贵州电网有限责任公司、贵州矿能集团有限公司、贵州国能科技有限公司</w:t>
            </w:r>
            <w:r>
              <w:rPr>
                <w:rFonts w:hint="eastAsia" w:ascii="仿宋" w:hAnsi="仿宋" w:eastAsia="仿宋"/>
                <w:sz w:val="22"/>
                <w:lang w:eastAsia="zh-CN"/>
              </w:rPr>
              <w:t>、</w:t>
            </w:r>
            <w:r>
              <w:rPr>
                <w:rFonts w:ascii="仿宋" w:hAnsi="仿宋" w:eastAsia="仿宋"/>
                <w:sz w:val="22"/>
              </w:rPr>
              <w:t>黔能公司</w:t>
            </w:r>
          </w:p>
        </w:tc>
      </w:tr>
      <w:tr w14:paraId="41E842DE">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984" w:type="dxa"/>
            <w:shd w:val="clear" w:color="auto" w:fill="E8EAF6"/>
          </w:tcPr>
          <w:p w14:paraId="026AB8FA">
            <w:pPr>
              <w:jc w:val="center"/>
            </w:pPr>
            <w:r>
              <w:rPr>
                <w:rFonts w:ascii="黑体" w:hAnsi="黑体" w:eastAsia="黑体"/>
                <w:b/>
                <w:sz w:val="24"/>
              </w:rPr>
              <w:t>项目负责人</w:t>
            </w:r>
          </w:p>
        </w:tc>
        <w:tc>
          <w:tcPr>
            <w:tcW w:w="6236" w:type="dxa"/>
          </w:tcPr>
          <w:p w14:paraId="3BAC20EB">
            <w:pPr>
              <w:jc w:val="center"/>
            </w:pPr>
            <w:r>
              <w:rPr>
                <w:rFonts w:ascii="仿宋" w:hAnsi="仿宋" w:eastAsia="仿宋"/>
                <w:sz w:val="22"/>
              </w:rPr>
              <w:t>（待填写）</w:t>
            </w:r>
          </w:p>
        </w:tc>
      </w:tr>
      <w:tr w14:paraId="1F69CCC0">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984" w:type="dxa"/>
            <w:shd w:val="clear" w:color="auto" w:fill="E8EAF6"/>
          </w:tcPr>
          <w:p w14:paraId="3919209A">
            <w:pPr>
              <w:jc w:val="center"/>
            </w:pPr>
            <w:r>
              <w:rPr>
                <w:rFonts w:ascii="黑体" w:hAnsi="黑体" w:eastAsia="黑体"/>
                <w:b/>
                <w:sz w:val="24"/>
              </w:rPr>
              <w:t>联系方式</w:t>
            </w:r>
          </w:p>
        </w:tc>
        <w:tc>
          <w:tcPr>
            <w:tcW w:w="6236" w:type="dxa"/>
          </w:tcPr>
          <w:p w14:paraId="14E3F204">
            <w:pPr>
              <w:jc w:val="center"/>
            </w:pPr>
            <w:r>
              <w:rPr>
                <w:rFonts w:ascii="仿宋" w:hAnsi="仿宋" w:eastAsia="仿宋"/>
                <w:sz w:val="22"/>
              </w:rPr>
              <w:t>（待填写）</w:t>
            </w:r>
          </w:p>
        </w:tc>
      </w:tr>
      <w:tr w14:paraId="3D21AA55">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984" w:type="dxa"/>
            <w:shd w:val="clear" w:color="auto" w:fill="E8EAF6"/>
          </w:tcPr>
          <w:p w14:paraId="04FFE38D">
            <w:pPr>
              <w:jc w:val="center"/>
            </w:pPr>
            <w:r>
              <w:rPr>
                <w:rFonts w:ascii="黑体" w:hAnsi="黑体" w:eastAsia="黑体"/>
                <w:b/>
                <w:sz w:val="24"/>
              </w:rPr>
              <w:t>申报日期</w:t>
            </w:r>
          </w:p>
        </w:tc>
        <w:tc>
          <w:tcPr>
            <w:tcW w:w="6236" w:type="dxa"/>
          </w:tcPr>
          <w:p w14:paraId="4CD5D3ED">
            <w:pPr>
              <w:jc w:val="center"/>
            </w:pPr>
            <w:r>
              <w:rPr>
                <w:rFonts w:ascii="仿宋" w:hAnsi="仿宋" w:eastAsia="仿宋"/>
                <w:sz w:val="22"/>
              </w:rPr>
              <w:t>2026年6月</w:t>
            </w:r>
          </w:p>
        </w:tc>
      </w:tr>
    </w:tbl>
    <w:p w14:paraId="69CBA9EA">
      <w:r>
        <w:br w:type="page"/>
      </w:r>
    </w:p>
    <w:p w14:paraId="6930966A">
      <w:pPr>
        <w:spacing w:before="320" w:after="160" w:line="520" w:lineRule="exact"/>
      </w:pPr>
      <w:r>
        <w:rPr>
          <w:rFonts w:ascii="黑体" w:hAnsi="黑体" w:eastAsia="黑体"/>
          <w:b/>
          <w:sz w:val="32"/>
        </w:rPr>
        <w:t>一、项目背景与意义</w:t>
      </w:r>
    </w:p>
    <w:p w14:paraId="3D16806F">
      <w:pPr>
        <w:spacing w:before="240" w:after="160" w:line="520" w:lineRule="exact"/>
      </w:pPr>
      <w:r>
        <w:rPr>
          <w:rFonts w:ascii="楷体" w:hAnsi="楷体" w:eastAsia="楷体"/>
          <w:b/>
          <w:sz w:val="30"/>
        </w:rPr>
        <w:t>（一）行业背景与政策环境</w:t>
      </w:r>
    </w:p>
    <w:p w14:paraId="5F700215">
      <w:pPr>
        <w:spacing w:after="120" w:line="440" w:lineRule="exact"/>
        <w:ind w:firstLine="480"/>
      </w:pPr>
      <w:r>
        <w:rPr>
          <w:rFonts w:ascii="仿宋" w:hAnsi="仿宋" w:eastAsia="仿宋"/>
          <w:sz w:val="24"/>
        </w:rPr>
        <w:t>当前，我国能源体系正经历以“清洁化、数字化、智能化”为核心特征的深度变革。随着“双碳”战略深入推进，新能源装机快速增长，新能源出力的波动性与间歇性使电力系统灵活调节能力面临巨大挑战，虚拟电厂（Virtual Power Plant, VPP）作为聚合分布式能源资源、参与电网协同调控的新型市场主体，已被纳入国家新型电力系统建设重点方向。国家能源局启动“人工智能+”能源高价值场景建设，将虚拟电厂明确列为重点培育场景，为虚拟电厂的智能化升级提供了战略指引。</w:t>
      </w:r>
    </w:p>
    <w:p w14:paraId="3763FCB1">
      <w:pPr>
        <w:spacing w:after="120" w:line="440" w:lineRule="exact"/>
        <w:ind w:firstLine="480"/>
      </w:pPr>
      <w:r>
        <w:rPr>
          <w:rFonts w:ascii="仿宋" w:hAnsi="仿宋" w:eastAsia="仿宋"/>
          <w:sz w:val="24"/>
        </w:rPr>
        <w:t>贵州省作为国家“西电东送”工程的重要能源枢纽，全省水电可开发量约2300万千瓦、光伏装机超2000万千瓦，同时拥有电解铝、磷化工、铁合金、数据中心等高载能产业园区，具备构建大规模虚拟电厂的独特资源禀赋，聚合潜力超500万千瓦。贵州省能源发展规划已将虚拟电厂纳入新型电力系统建设重点工程，省发改委印发虚拟电厂建设管理工作方案（试行），为虚拟电厂的市场化运营提供了基础制度框架。此外，贵州作为全国首个国家大数据综合试验区，在数据中心算力基础设施和数据治理能力方面具有先发优势。</w:t>
      </w:r>
    </w:p>
    <w:p w14:paraId="56314398">
      <w:pPr>
        <w:spacing w:after="120" w:line="440" w:lineRule="exact"/>
        <w:ind w:firstLine="480"/>
      </w:pPr>
      <w:r>
        <w:rPr>
          <w:rFonts w:ascii="仿宋" w:hAnsi="仿宋" w:eastAsia="仿宋"/>
          <w:sz w:val="24"/>
        </w:rPr>
        <w:t>从人工智能赋能趋势看，电力系统正从“经验调度”向“数据+AI双驱动”转型。大语言模型、多智能体强化学习、时序预测等技术的快速成熟，为虚拟电厂在大规模资源聚合、多市场协同报价、海量约束实时优化等核心业务环节提供了全新解决方案。然而，当前虚拟电厂在贵州及南方区域的落地应用仍以试点示范为主，尚未形成规模化、常态化的商业运营闭环，亟需通过本项目打通“技术可行→商业可用→规模可复制”的完整链路。</w:t>
      </w:r>
    </w:p>
    <w:p w14:paraId="700F8345">
      <w:pPr>
        <w:jc w:val="center"/>
      </w:pPr>
      <w:r>
        <w:drawing>
          <wp:inline distT="0" distB="0" distL="114300" distR="114300">
            <wp:extent cx="5029200" cy="3357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358370"/>
                    </a:xfrm>
                    <a:prstGeom prst="rect">
                      <a:avLst/>
                    </a:prstGeom>
                  </pic:spPr>
                </pic:pic>
              </a:graphicData>
            </a:graphic>
          </wp:inline>
        </w:drawing>
      </w:r>
    </w:p>
    <w:p w14:paraId="150F1008">
      <w:pPr>
        <w:jc w:val="center"/>
      </w:pPr>
      <w:r>
        <w:rPr>
          <w:rFonts w:ascii="宋体" w:hAnsi="宋体" w:eastAsia="宋体"/>
          <w:color w:val="666666"/>
          <w:sz w:val="18"/>
        </w:rPr>
        <w:t>图1-1  虚拟电厂“多时空尺度智能协同运营”业务架构</w:t>
      </w:r>
    </w:p>
    <w:p w14:paraId="2E4026D8">
      <w:pPr>
        <w:spacing w:before="240" w:after="160" w:line="520" w:lineRule="exact"/>
      </w:pPr>
      <w:r>
        <w:rPr>
          <w:rFonts w:ascii="楷体" w:hAnsi="楷体" w:eastAsia="楷体"/>
          <w:b/>
          <w:sz w:val="30"/>
        </w:rPr>
        <w:t>（二）问题分析与需求痛点</w:t>
      </w:r>
    </w:p>
    <w:p w14:paraId="4DBD21B9">
      <w:pPr>
        <w:spacing w:after="120" w:line="440" w:lineRule="exact"/>
        <w:ind w:firstLine="480"/>
      </w:pPr>
      <w:r>
        <w:rPr>
          <w:rFonts w:ascii="仿宋" w:hAnsi="仿宋" w:eastAsia="仿宋"/>
          <w:sz w:val="24"/>
        </w:rPr>
        <w:t>贵州虚拟电厂的发展在实践中面临“看得见聚不起来、聚起来调不精准、调得动赚不到钱”的现实困境，具体表现为四个层面的突出问题：</w:t>
      </w:r>
    </w:p>
    <w:p w14:paraId="5CE8F246">
      <w:pPr>
        <w:spacing w:before="240" w:after="160" w:line="520" w:lineRule="exact"/>
      </w:pPr>
      <w:r>
        <w:rPr>
          <w:rFonts w:ascii="楷体" w:hAnsi="楷体" w:eastAsia="楷体"/>
          <w:b/>
          <w:sz w:val="26"/>
        </w:rPr>
        <w:t>资源认知层面——可调潜力“看不清”</w:t>
      </w:r>
    </w:p>
    <w:p w14:paraId="3B857DDA">
      <w:pPr>
        <w:spacing w:after="120" w:line="440" w:lineRule="exact"/>
        <w:ind w:firstLine="480"/>
      </w:pPr>
      <w:r>
        <w:rPr>
          <w:rFonts w:ascii="仿宋" w:hAnsi="仿宋" w:eastAsia="仿宋"/>
          <w:sz w:val="24"/>
        </w:rPr>
        <w:t>贵州电网辖区内分布式资源种类繁多（工业负荷、小水电、分布式光伏、储能、充电桩等），各类资源的运行特性、工艺约束、市场参与意愿差异巨大，当前缺乏系统化的资源普查与可调潜力评估方法，导致“资源底数不清、调节能力不明”，无法形成高质量的规模化可调节资源池。</w:t>
      </w:r>
    </w:p>
    <w:p w14:paraId="55BE74DC">
      <w:pPr>
        <w:spacing w:before="240" w:after="160" w:line="520" w:lineRule="exact"/>
      </w:pPr>
      <w:r>
        <w:rPr>
          <w:rFonts w:ascii="楷体" w:hAnsi="楷体" w:eastAsia="楷体"/>
          <w:b/>
          <w:sz w:val="26"/>
        </w:rPr>
        <w:t>聚合运营层面——多市场协同“算不准”</w:t>
      </w:r>
    </w:p>
    <w:p w14:paraId="47DBC8F5">
      <w:pPr>
        <w:spacing w:after="120" w:line="440" w:lineRule="exact"/>
        <w:ind w:firstLine="480"/>
      </w:pPr>
      <w:r>
        <w:rPr>
          <w:rFonts w:ascii="仿宋" w:hAnsi="仿宋" w:eastAsia="仿宋"/>
          <w:sz w:val="24"/>
        </w:rPr>
        <w:t>虚拟电厂需要同时参与现货市场、辅助服务市场、需求响应等多个交易品种，各市场的价格信号、时间尺度、结算规则相互耦合，人工决策难以在短时间内完成多市场联合优化报价，导致“有资源参与不了、参与了收益不高”，聚合商和用户的积极性难以持续。</w:t>
      </w:r>
    </w:p>
    <w:p w14:paraId="107703C1">
      <w:pPr>
        <w:spacing w:before="240" w:after="160" w:line="520" w:lineRule="exact"/>
      </w:pPr>
      <w:r>
        <w:rPr>
          <w:rFonts w:ascii="楷体" w:hAnsi="楷体" w:eastAsia="楷体"/>
          <w:b/>
          <w:sz w:val="26"/>
        </w:rPr>
        <w:t>协同调控层面——海量资源“调不精”</w:t>
      </w:r>
    </w:p>
    <w:p w14:paraId="26470B84">
      <w:pPr>
        <w:spacing w:after="120" w:line="440" w:lineRule="exact"/>
        <w:ind w:firstLine="480"/>
      </w:pPr>
      <w:r>
        <w:rPr>
          <w:rFonts w:ascii="仿宋" w:hAnsi="仿宋" w:eastAsia="仿宋"/>
          <w:sz w:val="24"/>
        </w:rPr>
        <w:t>当聚合资源达到数万级别、调控时间窗口压缩至分钟级时，传统集中式优化算法面临维度爆炸，指令分解与执行反馈链路长、误差积累大，难以满足现货市场出清和实时调控的精度要求，制约了虚拟电厂从“邀约型响应”向“常态化运营”的跨越。</w:t>
      </w:r>
    </w:p>
    <w:p w14:paraId="53D60259">
      <w:pPr>
        <w:spacing w:before="240" w:after="160" w:line="520" w:lineRule="exact"/>
      </w:pPr>
      <w:r>
        <w:rPr>
          <w:rFonts w:ascii="楷体" w:hAnsi="楷体" w:eastAsia="楷体"/>
          <w:b/>
          <w:sz w:val="26"/>
        </w:rPr>
        <w:t>商业闭环层面——运营模式“转不动”</w:t>
      </w:r>
    </w:p>
    <w:p w14:paraId="0CFC7577">
      <w:pPr>
        <w:spacing w:after="120" w:line="440" w:lineRule="exact"/>
        <w:ind w:firstLine="480"/>
      </w:pPr>
      <w:r>
        <w:rPr>
          <w:rFonts w:ascii="仿宋" w:hAnsi="仿宋" w:eastAsia="仿宋"/>
          <w:sz w:val="24"/>
        </w:rPr>
        <w:t>目前贵州虚拟电厂整体处于“政策驱动、试点为主”的阶段，缺乏可持续的商业运营模式和收益分配机制。资源聚合商参与意愿不足、终端用户获得感不强，导致虚拟电厂的规模化推广缺乏内生动力，未能形成“用户获益-聚合商盈利-电网受益”的正向循环。</w:t>
      </w:r>
    </w:p>
    <w:p w14:paraId="12AE6E30">
      <w:pPr>
        <w:spacing w:before="240" w:after="160" w:line="520" w:lineRule="exact"/>
      </w:pPr>
      <w:r>
        <w:rPr>
          <w:rFonts w:ascii="楷体" w:hAnsi="楷体" w:eastAsia="楷体"/>
          <w:b/>
          <w:sz w:val="30"/>
        </w:rPr>
        <w:t>（三）项目建设的必要性与意义</w:t>
      </w:r>
    </w:p>
    <w:p w14:paraId="21C66E2B">
      <w:pPr>
        <w:spacing w:after="120" w:line="440" w:lineRule="exact"/>
        <w:ind w:firstLine="480"/>
      </w:pPr>
      <w:r>
        <w:rPr>
          <w:rFonts w:ascii="仿宋" w:hAnsi="仿宋" w:eastAsia="仿宋"/>
          <w:sz w:val="24"/>
        </w:rPr>
        <w:t>贵州电网作为南方电网西电东送的南部通道枢纽，承担着大规模清洁能源外送和省内负荷平衡的双重责任。一方面，贵州新能源装机快速增长，出力波动对电网安全运行构成挑战，亟需通过虚拟电厂聚合灵活负荷资源，提升系统灵活调节能力，保障清洁能源消纳；另一方面，贵州电解铝、磷化工、数据中心等高载能产业是全省经济支柱，在电力供需紧张时期，这些产业因刚性限电面临巨大经济损失，亟需通过虚拟电厂的柔性调控手段实现“削峰不减产”。</w:t>
      </w:r>
    </w:p>
    <w:p w14:paraId="3C3F06A9">
      <w:pPr>
        <w:spacing w:after="120" w:line="440" w:lineRule="exact"/>
        <w:ind w:firstLine="480"/>
      </w:pPr>
      <w:r>
        <w:rPr>
          <w:rFonts w:ascii="仿宋" w:hAnsi="仿宋" w:eastAsia="仿宋"/>
          <w:sz w:val="24"/>
        </w:rPr>
        <w:t>本项目的实施具有四方面重要意义：一是服务贵州电力保供大局，通过虚拟电厂聚合高载能工业园区可调资源，在供需紧张时段提供分钟级柔性调节能力，避免刚性拉闸限电；二是助力贵州清洁能源消纳，通过虚拟电厂引导负荷侧资源跟踪新能源出力曲线，减少弃风弃光；三是培育贵州电力市场新型经营主体，构建“资源聚合-交易辅助-调控执行-结算分配”全链路商业运营模式；四是促进贵州大数据+能源产业融合发展，发挥贵州国家大数据综合试验区的算力和数据治理优势，打造人工智能赋能能源行业的标杆场景，形成具有全国示范意义的“贵州模式”。</w:t>
      </w:r>
    </w:p>
    <w:p w14:paraId="2C7809BD">
      <w:r>
        <w:br w:type="page"/>
      </w:r>
    </w:p>
    <w:p w14:paraId="257C8405">
      <w:pPr>
        <w:spacing w:before="320" w:after="160" w:line="520" w:lineRule="exact"/>
      </w:pPr>
      <w:r>
        <w:rPr>
          <w:rFonts w:ascii="黑体" w:hAnsi="黑体" w:eastAsia="黑体"/>
          <w:b/>
          <w:sz w:val="32"/>
        </w:rPr>
        <w:t>二、主要研究内容</w:t>
      </w:r>
    </w:p>
    <w:p w14:paraId="5C0D2E11">
      <w:pPr>
        <w:spacing w:after="120" w:line="440" w:lineRule="exact"/>
        <w:ind w:firstLine="480"/>
      </w:pPr>
      <w:r>
        <w:rPr>
          <w:rFonts w:ascii="仿宋" w:hAnsi="仿宋" w:eastAsia="仿宋"/>
          <w:sz w:val="24"/>
        </w:rPr>
        <w:t>本项目以“业务场景驱动、价值闭环验证”为总体思路，围绕虚拟电厂在实际运营中面临的核心业务痛点，设置五大研究课题。课题设置原则为：每个课题对应一个明确的业务场景、解决一组实际运营问题、产出可量化的业务价值，确保研究成果能够直接转化为虚拟电厂的商业运营能力。</w:t>
      </w:r>
    </w:p>
    <w:tbl>
      <w:tblPr>
        <w:tblStyle w:val="32"/>
        <w:tblW w:w="0" w:type="auto"/>
        <w:jc w:val="center"/>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Layout w:type="autofit"/>
        <w:tblCellMar>
          <w:top w:w="0" w:type="dxa"/>
          <w:left w:w="108" w:type="dxa"/>
          <w:bottom w:w="0" w:type="dxa"/>
          <w:right w:w="108" w:type="dxa"/>
        </w:tblCellMar>
      </w:tblPr>
      <w:tblGrid>
        <w:gridCol w:w="1134"/>
        <w:gridCol w:w="2551"/>
        <w:gridCol w:w="1984"/>
        <w:gridCol w:w="2551"/>
      </w:tblGrid>
      <w:tr w14:paraId="00785845">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shd w:val="clear" w:color="auto" w:fill="1A237E"/>
          </w:tcPr>
          <w:p w14:paraId="69914F9A">
            <w:pPr>
              <w:jc w:val="center"/>
            </w:pPr>
            <w:r>
              <w:rPr>
                <w:rFonts w:ascii="黑体" w:hAnsi="黑体" w:eastAsia="黑体"/>
                <w:b/>
                <w:color w:val="FFFFFF"/>
                <w:sz w:val="20"/>
              </w:rPr>
              <w:t>子任务编号</w:t>
            </w:r>
          </w:p>
        </w:tc>
        <w:tc>
          <w:tcPr>
            <w:tcW w:w="2551" w:type="dxa"/>
            <w:shd w:val="clear" w:color="auto" w:fill="1A237E"/>
          </w:tcPr>
          <w:p w14:paraId="7AF5F41A">
            <w:pPr>
              <w:jc w:val="center"/>
            </w:pPr>
            <w:r>
              <w:rPr>
                <w:rFonts w:ascii="黑体" w:hAnsi="黑体" w:eastAsia="黑体"/>
                <w:b/>
                <w:color w:val="FFFFFF"/>
                <w:sz w:val="20"/>
              </w:rPr>
              <w:t>子任务名称</w:t>
            </w:r>
          </w:p>
        </w:tc>
        <w:tc>
          <w:tcPr>
            <w:tcW w:w="1984" w:type="dxa"/>
            <w:shd w:val="clear" w:color="auto" w:fill="1A237E"/>
          </w:tcPr>
          <w:p w14:paraId="6B0D24B8">
            <w:pPr>
              <w:jc w:val="center"/>
            </w:pPr>
            <w:r>
              <w:rPr>
                <w:rFonts w:ascii="黑体" w:hAnsi="黑体" w:eastAsia="黑体"/>
                <w:b/>
                <w:color w:val="FFFFFF"/>
                <w:sz w:val="20"/>
              </w:rPr>
              <w:t>牵头方</w:t>
            </w:r>
          </w:p>
        </w:tc>
        <w:tc>
          <w:tcPr>
            <w:tcW w:w="2551" w:type="dxa"/>
            <w:shd w:val="clear" w:color="auto" w:fill="1A237E"/>
          </w:tcPr>
          <w:p w14:paraId="314FD2CD">
            <w:pPr>
              <w:jc w:val="center"/>
            </w:pPr>
            <w:r>
              <w:rPr>
                <w:rFonts w:ascii="黑体" w:hAnsi="黑体" w:eastAsia="黑体"/>
                <w:b/>
                <w:color w:val="FFFFFF"/>
                <w:sz w:val="20"/>
              </w:rPr>
              <w:t>参与方</w:t>
            </w:r>
          </w:p>
        </w:tc>
      </w:tr>
      <w:tr w14:paraId="62E98794">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8220" w:type="dxa"/>
            <w:gridSpan w:val="4"/>
            <w:shd w:val="clear" w:color="auto" w:fill="E8EAF6"/>
          </w:tcPr>
          <w:p w14:paraId="23FB6DFF">
            <w:pPr>
              <w:jc w:val="left"/>
            </w:pPr>
            <w:r>
              <w:rPr>
                <w:rFonts w:ascii="楷体" w:hAnsi="楷体" w:eastAsia="楷体"/>
                <w:b/>
                <w:sz w:val="20"/>
              </w:rPr>
              <w:t>课题一：多类型资源普查与可调节能力评估</w:t>
            </w:r>
            <w:r>
              <w:rPr>
                <w:rFonts w:ascii="楷体" w:hAnsi="楷体" w:eastAsia="楷体"/>
                <w:b/>
                <w:sz w:val="20"/>
              </w:rPr>
              <w:br w:type="textWrapping"/>
            </w:r>
            <w:r>
              <w:rPr>
                <w:rFonts w:ascii="楷体" w:hAnsi="楷体" w:eastAsia="楷体"/>
                <w:b/>
                <w:sz w:val="20"/>
              </w:rPr>
              <w:t>（对应业务场景：虚拟电厂资源池构建与准入评估）</w:t>
            </w:r>
          </w:p>
        </w:tc>
      </w:tr>
      <w:tr w14:paraId="1CE70582">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1E5F244F">
            <w:pPr>
              <w:jc w:val="center"/>
            </w:pPr>
            <w:r>
              <w:rPr>
                <w:rFonts w:ascii="仿宋" w:hAnsi="仿宋" w:eastAsia="仿宋"/>
                <w:sz w:val="18"/>
              </w:rPr>
              <w:t>子任务1.1</w:t>
            </w:r>
          </w:p>
        </w:tc>
        <w:tc>
          <w:tcPr>
            <w:tcW w:w="2551" w:type="dxa"/>
          </w:tcPr>
          <w:p w14:paraId="302ED9A0">
            <w:pPr>
              <w:jc w:val="center"/>
            </w:pPr>
            <w:r>
              <w:rPr>
                <w:rFonts w:ascii="仿宋" w:hAnsi="仿宋" w:eastAsia="仿宋"/>
                <w:sz w:val="18"/>
              </w:rPr>
              <w:t>贵州省分布式可调资源普查方法与标准规范</w:t>
            </w:r>
          </w:p>
        </w:tc>
        <w:tc>
          <w:tcPr>
            <w:tcW w:w="1984" w:type="dxa"/>
          </w:tcPr>
          <w:p w14:paraId="6C2B17F8">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（调度中心）</w:t>
            </w:r>
          </w:p>
        </w:tc>
        <w:tc>
          <w:tcPr>
            <w:tcW w:w="2551" w:type="dxa"/>
          </w:tcPr>
          <w:p w14:paraId="0BF525FF">
            <w:pPr>
              <w:jc w:val="center"/>
            </w:pPr>
            <w:r>
              <w:rPr>
                <w:rFonts w:ascii="仿宋" w:hAnsi="仿宋" w:eastAsia="仿宋"/>
                <w:sz w:val="18"/>
              </w:rPr>
              <w:t>各市州供电局</w:t>
            </w:r>
            <w:r>
              <w:rPr>
                <w:rFonts w:ascii="仿宋" w:hAnsi="仿宋" w:eastAsia="仿宋"/>
                <w:sz w:val="18"/>
              </w:rPr>
              <w:br w:type="textWrapping"/>
            </w:r>
            <w:r>
              <w:rPr>
                <w:rFonts w:ascii="仿宋" w:hAnsi="仿宋" w:eastAsia="仿宋"/>
                <w:sz w:val="18"/>
              </w:rPr>
              <w:t>朗新科技</w:t>
            </w:r>
          </w:p>
        </w:tc>
      </w:tr>
      <w:tr w14:paraId="7EC420DE">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3F36D33D">
            <w:pPr>
              <w:jc w:val="center"/>
            </w:pPr>
            <w:r>
              <w:rPr>
                <w:rFonts w:ascii="仿宋" w:hAnsi="仿宋" w:eastAsia="仿宋"/>
                <w:sz w:val="18"/>
              </w:rPr>
              <w:t>子任务1.2</w:t>
            </w:r>
          </w:p>
        </w:tc>
        <w:tc>
          <w:tcPr>
            <w:tcW w:w="2551" w:type="dxa"/>
          </w:tcPr>
          <w:p w14:paraId="3B60D49B">
            <w:pPr>
              <w:jc w:val="center"/>
            </w:pPr>
            <w:r>
              <w:rPr>
                <w:rFonts w:ascii="仿宋" w:hAnsi="仿宋" w:eastAsia="仿宋"/>
                <w:sz w:val="18"/>
              </w:rPr>
              <w:t>面向多类型资源的分级分类可调潜力评估模型</w:t>
            </w:r>
          </w:p>
        </w:tc>
        <w:tc>
          <w:tcPr>
            <w:tcW w:w="1984" w:type="dxa"/>
          </w:tcPr>
          <w:p w14:paraId="507E9C39">
            <w:pPr>
              <w:jc w:val="center"/>
            </w:pPr>
            <w:r>
              <w:rPr>
                <w:rFonts w:ascii="仿宋" w:hAnsi="仿宋" w:eastAsia="仿宋"/>
                <w:sz w:val="18"/>
              </w:rPr>
              <w:t>朗新科技</w:t>
            </w:r>
          </w:p>
        </w:tc>
        <w:tc>
          <w:tcPr>
            <w:tcW w:w="2551" w:type="dxa"/>
          </w:tcPr>
          <w:p w14:paraId="032962D7">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贵州大学</w:t>
            </w:r>
          </w:p>
        </w:tc>
      </w:tr>
      <w:tr w14:paraId="61FB7256">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2343AA87">
            <w:pPr>
              <w:jc w:val="center"/>
            </w:pPr>
            <w:r>
              <w:rPr>
                <w:rFonts w:ascii="仿宋" w:hAnsi="仿宋" w:eastAsia="仿宋"/>
                <w:sz w:val="18"/>
              </w:rPr>
              <w:t>子任务1.3</w:t>
            </w:r>
          </w:p>
        </w:tc>
        <w:tc>
          <w:tcPr>
            <w:tcW w:w="2551" w:type="dxa"/>
          </w:tcPr>
          <w:p w14:paraId="113DC1EA">
            <w:pPr>
              <w:jc w:val="center"/>
            </w:pPr>
            <w:r>
              <w:rPr>
                <w:rFonts w:ascii="仿宋" w:hAnsi="仿宋" w:eastAsia="仿宋"/>
                <w:sz w:val="18"/>
              </w:rPr>
              <w:t>虚拟电厂资源准入标准与质量分级体系</w:t>
            </w:r>
          </w:p>
        </w:tc>
        <w:tc>
          <w:tcPr>
            <w:tcW w:w="1984" w:type="dxa"/>
          </w:tcPr>
          <w:p w14:paraId="06335983">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（交易中心）</w:t>
            </w:r>
          </w:p>
        </w:tc>
        <w:tc>
          <w:tcPr>
            <w:tcW w:w="2551" w:type="dxa"/>
          </w:tcPr>
          <w:p w14:paraId="2257AF52">
            <w:pPr>
              <w:jc w:val="center"/>
            </w:pPr>
            <w:r>
              <w:rPr>
                <w:rFonts w:ascii="仿宋" w:hAnsi="仿宋" w:eastAsia="仿宋"/>
                <w:sz w:val="18"/>
              </w:rPr>
              <w:t>黔能三安</w:t>
            </w:r>
            <w:r>
              <w:rPr>
                <w:rFonts w:ascii="仿宋" w:hAnsi="仿宋" w:eastAsia="仿宋"/>
                <w:sz w:val="18"/>
              </w:rPr>
              <w:br w:type="textWrapping"/>
            </w:r>
            <w:r>
              <w:rPr>
                <w:rFonts w:ascii="仿宋" w:hAnsi="仿宋" w:eastAsia="仿宋"/>
                <w:sz w:val="18"/>
              </w:rPr>
              <w:t>贵州矿能</w:t>
            </w:r>
          </w:p>
        </w:tc>
      </w:tr>
      <w:tr w14:paraId="2F6E09F0">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8220" w:type="dxa"/>
            <w:gridSpan w:val="4"/>
            <w:shd w:val="clear" w:color="auto" w:fill="E8EAF6"/>
          </w:tcPr>
          <w:p w14:paraId="63FD36BB">
            <w:pPr>
              <w:jc w:val="left"/>
            </w:pPr>
            <w:r>
              <w:rPr>
                <w:rFonts w:ascii="楷体" w:hAnsi="楷体" w:eastAsia="楷体"/>
                <w:b/>
                <w:sz w:val="20"/>
              </w:rPr>
              <w:t>课题二：多时空协同调控与精准执行</w:t>
            </w:r>
            <w:r>
              <w:rPr>
                <w:rFonts w:ascii="楷体" w:hAnsi="楷体" w:eastAsia="楷体"/>
                <w:b/>
                <w:sz w:val="20"/>
              </w:rPr>
              <w:br w:type="textWrapping"/>
            </w:r>
            <w:r>
              <w:rPr>
                <w:rFonts w:ascii="楷体" w:hAnsi="楷体" w:eastAsia="楷体"/>
                <w:b/>
                <w:sz w:val="20"/>
              </w:rPr>
              <w:t>（对应业务场景：现货市场出清响应、日内滚动调控、应急备用）</w:t>
            </w:r>
          </w:p>
        </w:tc>
      </w:tr>
      <w:tr w14:paraId="430C48BE">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66446092">
            <w:pPr>
              <w:jc w:val="center"/>
            </w:pPr>
            <w:r>
              <w:rPr>
                <w:rFonts w:ascii="仿宋" w:hAnsi="仿宋" w:eastAsia="仿宋"/>
                <w:sz w:val="18"/>
              </w:rPr>
              <w:t>子任务2.1</w:t>
            </w:r>
          </w:p>
        </w:tc>
        <w:tc>
          <w:tcPr>
            <w:tcW w:w="2551" w:type="dxa"/>
          </w:tcPr>
          <w:p w14:paraId="32098CBA">
            <w:pPr>
              <w:jc w:val="center"/>
            </w:pPr>
            <w:r>
              <w:rPr>
                <w:rFonts w:ascii="仿宋" w:hAnsi="仿宋" w:eastAsia="仿宋"/>
                <w:sz w:val="18"/>
              </w:rPr>
              <w:t>园区级负荷群调群控策略与分钟级滚动优化</w:t>
            </w:r>
          </w:p>
        </w:tc>
        <w:tc>
          <w:tcPr>
            <w:tcW w:w="1984" w:type="dxa"/>
          </w:tcPr>
          <w:p w14:paraId="3B0D469B">
            <w:pPr>
              <w:jc w:val="center"/>
            </w:pPr>
            <w:r>
              <w:rPr>
                <w:rFonts w:ascii="仿宋" w:hAnsi="仿宋" w:eastAsia="仿宋"/>
                <w:sz w:val="18"/>
              </w:rPr>
              <w:t>朗新科技</w:t>
            </w:r>
          </w:p>
        </w:tc>
        <w:tc>
          <w:tcPr>
            <w:tcW w:w="2551" w:type="dxa"/>
          </w:tcPr>
          <w:p w14:paraId="16D9407C">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黔能三安</w:t>
            </w:r>
          </w:p>
        </w:tc>
      </w:tr>
      <w:tr w14:paraId="0D3D6A64">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680BD9BB">
            <w:pPr>
              <w:jc w:val="center"/>
            </w:pPr>
            <w:r>
              <w:rPr>
                <w:rFonts w:ascii="仿宋" w:hAnsi="仿宋" w:eastAsia="仿宋"/>
                <w:sz w:val="18"/>
              </w:rPr>
              <w:t>子任务2.2</w:t>
            </w:r>
          </w:p>
        </w:tc>
        <w:tc>
          <w:tcPr>
            <w:tcW w:w="2551" w:type="dxa"/>
          </w:tcPr>
          <w:p w14:paraId="203B8B18">
            <w:pPr>
              <w:jc w:val="center"/>
            </w:pPr>
            <w:r>
              <w:rPr>
                <w:rFonts w:ascii="仿宋" w:hAnsi="仿宋" w:eastAsia="仿宋"/>
                <w:sz w:val="18"/>
              </w:rPr>
              <w:t>直控型与邀约型资源分层协同调控机制</w:t>
            </w:r>
          </w:p>
        </w:tc>
        <w:tc>
          <w:tcPr>
            <w:tcW w:w="1984" w:type="dxa"/>
          </w:tcPr>
          <w:p w14:paraId="4D7E96E3">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（调度中心）</w:t>
            </w:r>
          </w:p>
        </w:tc>
        <w:tc>
          <w:tcPr>
            <w:tcW w:w="2551" w:type="dxa"/>
          </w:tcPr>
          <w:p w14:paraId="62F5A676">
            <w:pPr>
              <w:jc w:val="center"/>
            </w:pPr>
            <w:r>
              <w:rPr>
                <w:rFonts w:ascii="仿宋" w:hAnsi="仿宋" w:eastAsia="仿宋"/>
                <w:sz w:val="18"/>
              </w:rPr>
              <w:t>贵州矿能</w:t>
            </w:r>
            <w:r>
              <w:rPr>
                <w:rFonts w:ascii="仿宋" w:hAnsi="仿宋" w:eastAsia="仿宋"/>
                <w:sz w:val="18"/>
              </w:rPr>
              <w:br w:type="textWrapping"/>
            </w:r>
            <w:r>
              <w:rPr>
                <w:rFonts w:ascii="仿宋" w:hAnsi="仿宋" w:eastAsia="仿宋"/>
                <w:sz w:val="18"/>
              </w:rPr>
              <w:t>贵州国能</w:t>
            </w:r>
          </w:p>
        </w:tc>
      </w:tr>
      <w:tr w14:paraId="31F382A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04294239">
            <w:pPr>
              <w:jc w:val="center"/>
            </w:pPr>
            <w:r>
              <w:rPr>
                <w:rFonts w:ascii="仿宋" w:hAnsi="仿宋" w:eastAsia="仿宋"/>
                <w:sz w:val="18"/>
              </w:rPr>
              <w:t>子任务2.3</w:t>
            </w:r>
          </w:p>
        </w:tc>
        <w:tc>
          <w:tcPr>
            <w:tcW w:w="2551" w:type="dxa"/>
          </w:tcPr>
          <w:p w14:paraId="4C7F38D4">
            <w:pPr>
              <w:jc w:val="center"/>
            </w:pPr>
            <w:r>
              <w:rPr>
                <w:rFonts w:ascii="仿宋" w:hAnsi="仿宋" w:eastAsia="仿宋"/>
                <w:sz w:val="18"/>
              </w:rPr>
              <w:t>调控指令下发-执行-反馈全链路闭环验证</w:t>
            </w:r>
          </w:p>
        </w:tc>
        <w:tc>
          <w:tcPr>
            <w:tcW w:w="1984" w:type="dxa"/>
          </w:tcPr>
          <w:p w14:paraId="4A0ED2E8">
            <w:pPr>
              <w:jc w:val="center"/>
            </w:pPr>
            <w:r>
              <w:rPr>
                <w:rFonts w:ascii="仿宋" w:hAnsi="仿宋" w:eastAsia="仿宋"/>
                <w:sz w:val="18"/>
              </w:rPr>
              <w:t>黔能三安</w:t>
            </w:r>
          </w:p>
        </w:tc>
        <w:tc>
          <w:tcPr>
            <w:tcW w:w="2551" w:type="dxa"/>
          </w:tcPr>
          <w:p w14:paraId="75006786">
            <w:pPr>
              <w:jc w:val="center"/>
            </w:pPr>
            <w:r>
              <w:rPr>
                <w:rFonts w:ascii="仿宋" w:hAnsi="仿宋" w:eastAsia="仿宋"/>
                <w:sz w:val="18"/>
              </w:rPr>
              <w:t>朗新科技</w:t>
            </w:r>
            <w:r>
              <w:rPr>
                <w:rFonts w:ascii="仿宋" w:hAnsi="仿宋" w:eastAsia="仿宋"/>
                <w:sz w:val="18"/>
              </w:rPr>
              <w:br w:type="textWrapping"/>
            </w:r>
            <w:r>
              <w:rPr>
                <w:rFonts w:ascii="仿宋" w:hAnsi="仿宋" w:eastAsia="仿宋"/>
                <w:sz w:val="18"/>
              </w:rPr>
              <w:t>贵州电网</w:t>
            </w:r>
          </w:p>
        </w:tc>
      </w:tr>
      <w:tr w14:paraId="77DF8792">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8220" w:type="dxa"/>
            <w:gridSpan w:val="4"/>
            <w:shd w:val="clear" w:color="auto" w:fill="E8EAF6"/>
          </w:tcPr>
          <w:p w14:paraId="206CB030">
            <w:pPr>
              <w:jc w:val="left"/>
            </w:pPr>
            <w:r>
              <w:rPr>
                <w:rFonts w:ascii="楷体" w:hAnsi="楷体" w:eastAsia="楷体"/>
                <w:b/>
                <w:sz w:val="20"/>
              </w:rPr>
              <w:t>课题三：多市场联合交易辅助决策</w:t>
            </w:r>
            <w:r>
              <w:rPr>
                <w:rFonts w:ascii="楷体" w:hAnsi="楷体" w:eastAsia="楷体"/>
                <w:b/>
                <w:sz w:val="20"/>
              </w:rPr>
              <w:br w:type="textWrapping"/>
            </w:r>
            <w:r>
              <w:rPr>
                <w:rFonts w:ascii="楷体" w:hAnsi="楷体" w:eastAsia="楷体"/>
                <w:b/>
                <w:sz w:val="20"/>
              </w:rPr>
              <w:t>（对应业务场景：现货市场报价、辅助服务投标、需求响应申报）</w:t>
            </w:r>
          </w:p>
        </w:tc>
      </w:tr>
      <w:tr w14:paraId="402288C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03EC2521">
            <w:pPr>
              <w:jc w:val="center"/>
            </w:pPr>
            <w:r>
              <w:rPr>
                <w:rFonts w:ascii="仿宋" w:hAnsi="仿宋" w:eastAsia="仿宋"/>
                <w:sz w:val="18"/>
              </w:rPr>
              <w:t>子任务3.1</w:t>
            </w:r>
          </w:p>
        </w:tc>
        <w:tc>
          <w:tcPr>
            <w:tcW w:w="2551" w:type="dxa"/>
          </w:tcPr>
          <w:p w14:paraId="63E0D5B5">
            <w:pPr>
              <w:jc w:val="center"/>
            </w:pPr>
            <w:r>
              <w:rPr>
                <w:rFonts w:ascii="仿宋" w:hAnsi="仿宋" w:eastAsia="仿宋"/>
                <w:sz w:val="18"/>
              </w:rPr>
              <w:t>面向现货与辅助服务的联合报价策略研究</w:t>
            </w:r>
          </w:p>
        </w:tc>
        <w:tc>
          <w:tcPr>
            <w:tcW w:w="1984" w:type="dxa"/>
          </w:tcPr>
          <w:p w14:paraId="2CDBF1AB">
            <w:pPr>
              <w:jc w:val="center"/>
            </w:pPr>
            <w:r>
              <w:rPr>
                <w:rFonts w:ascii="仿宋" w:hAnsi="仿宋" w:eastAsia="仿宋"/>
                <w:sz w:val="18"/>
              </w:rPr>
              <w:t>朗新科技</w:t>
            </w:r>
          </w:p>
        </w:tc>
        <w:tc>
          <w:tcPr>
            <w:tcW w:w="2551" w:type="dxa"/>
          </w:tcPr>
          <w:p w14:paraId="25AAEEE4">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（交易中心）</w:t>
            </w:r>
          </w:p>
        </w:tc>
      </w:tr>
      <w:tr w14:paraId="6FAB743E">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43607CFB">
            <w:pPr>
              <w:jc w:val="center"/>
            </w:pPr>
            <w:r>
              <w:rPr>
                <w:rFonts w:ascii="仿宋" w:hAnsi="仿宋" w:eastAsia="仿宋"/>
                <w:sz w:val="18"/>
              </w:rPr>
              <w:t>子任务3.2</w:t>
            </w:r>
          </w:p>
        </w:tc>
        <w:tc>
          <w:tcPr>
            <w:tcW w:w="2551" w:type="dxa"/>
          </w:tcPr>
          <w:p w14:paraId="4FB49996">
            <w:pPr>
              <w:jc w:val="center"/>
            </w:pPr>
            <w:r>
              <w:rPr>
                <w:rFonts w:ascii="仿宋" w:hAnsi="仿宋" w:eastAsia="仿宋"/>
                <w:sz w:val="18"/>
              </w:rPr>
              <w:t>市场价格预测与交易风险评估方法</w:t>
            </w:r>
          </w:p>
        </w:tc>
        <w:tc>
          <w:tcPr>
            <w:tcW w:w="1984" w:type="dxa"/>
          </w:tcPr>
          <w:p w14:paraId="7B6617BB">
            <w:pPr>
              <w:jc w:val="center"/>
            </w:pPr>
            <w:r>
              <w:rPr>
                <w:rFonts w:ascii="仿宋" w:hAnsi="仿宋" w:eastAsia="仿宋"/>
                <w:sz w:val="18"/>
              </w:rPr>
              <w:t>朗新科技</w:t>
            </w:r>
          </w:p>
        </w:tc>
        <w:tc>
          <w:tcPr>
            <w:tcW w:w="2551" w:type="dxa"/>
          </w:tcPr>
          <w:p w14:paraId="018AFA10">
            <w:pPr>
              <w:jc w:val="center"/>
            </w:pPr>
            <w:r>
              <w:rPr>
                <w:rFonts w:ascii="仿宋" w:hAnsi="仿宋" w:eastAsia="仿宋"/>
                <w:sz w:val="18"/>
              </w:rPr>
              <w:t>贵州大学</w:t>
            </w:r>
          </w:p>
        </w:tc>
      </w:tr>
      <w:tr w14:paraId="1F09468C">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67545B5C">
            <w:pPr>
              <w:jc w:val="center"/>
            </w:pPr>
            <w:r>
              <w:rPr>
                <w:rFonts w:ascii="仿宋" w:hAnsi="仿宋" w:eastAsia="仿宋"/>
                <w:sz w:val="18"/>
              </w:rPr>
              <w:t>子任务3.3</w:t>
            </w:r>
          </w:p>
        </w:tc>
        <w:tc>
          <w:tcPr>
            <w:tcW w:w="2551" w:type="dxa"/>
          </w:tcPr>
          <w:p w14:paraId="698E9E72">
            <w:pPr>
              <w:jc w:val="center"/>
            </w:pPr>
            <w:r>
              <w:rPr>
                <w:rFonts w:ascii="仿宋" w:hAnsi="仿宋" w:eastAsia="仿宋"/>
                <w:sz w:val="18"/>
              </w:rPr>
              <w:t>多约束条件下交易策略自动化生成与校验</w:t>
            </w:r>
          </w:p>
        </w:tc>
        <w:tc>
          <w:tcPr>
            <w:tcW w:w="1984" w:type="dxa"/>
          </w:tcPr>
          <w:p w14:paraId="24FC3816">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（交易中心）</w:t>
            </w:r>
          </w:p>
        </w:tc>
        <w:tc>
          <w:tcPr>
            <w:tcW w:w="2551" w:type="dxa"/>
          </w:tcPr>
          <w:p w14:paraId="5FCAE80D">
            <w:pPr>
              <w:jc w:val="center"/>
            </w:pPr>
            <w:r>
              <w:rPr>
                <w:rFonts w:ascii="仿宋" w:hAnsi="仿宋" w:eastAsia="仿宋"/>
                <w:sz w:val="18"/>
              </w:rPr>
              <w:t>朗新科技</w:t>
            </w:r>
            <w:r>
              <w:rPr>
                <w:rFonts w:ascii="仿宋" w:hAnsi="仿宋" w:eastAsia="仿宋"/>
                <w:sz w:val="18"/>
              </w:rPr>
              <w:br w:type="textWrapping"/>
            </w:r>
            <w:r>
              <w:rPr>
                <w:rFonts w:ascii="仿宋" w:hAnsi="仿宋" w:eastAsia="仿宋"/>
                <w:sz w:val="18"/>
              </w:rPr>
              <w:t>黔能三安</w:t>
            </w:r>
          </w:p>
        </w:tc>
      </w:tr>
      <w:tr w14:paraId="04216FA4">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8220" w:type="dxa"/>
            <w:gridSpan w:val="4"/>
            <w:shd w:val="clear" w:color="auto" w:fill="E8EAF6"/>
          </w:tcPr>
          <w:p w14:paraId="216760C0">
            <w:pPr>
              <w:jc w:val="left"/>
            </w:pPr>
            <w:r>
              <w:rPr>
                <w:rFonts w:ascii="楷体" w:hAnsi="楷体" w:eastAsia="楷体"/>
                <w:b/>
                <w:sz w:val="20"/>
              </w:rPr>
              <w:t>课题四：新能源消纳与绿色价值挖掘</w:t>
            </w:r>
            <w:r>
              <w:rPr>
                <w:rFonts w:ascii="楷体" w:hAnsi="楷体" w:eastAsia="楷体"/>
                <w:b/>
                <w:sz w:val="20"/>
              </w:rPr>
              <w:br w:type="textWrapping"/>
            </w:r>
            <w:r>
              <w:rPr>
                <w:rFonts w:ascii="楷体" w:hAnsi="楷体" w:eastAsia="楷体"/>
                <w:b/>
                <w:sz w:val="20"/>
              </w:rPr>
              <w:t>（对应业务场景：清洁能源就地消纳、绿电绿证交易、碳资产开发）</w:t>
            </w:r>
          </w:p>
        </w:tc>
      </w:tr>
      <w:tr w14:paraId="79EA3948">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09CF4E68">
            <w:pPr>
              <w:jc w:val="center"/>
            </w:pPr>
            <w:r>
              <w:rPr>
                <w:rFonts w:ascii="仿宋" w:hAnsi="仿宋" w:eastAsia="仿宋"/>
                <w:sz w:val="18"/>
              </w:rPr>
              <w:t>子任务4.1</w:t>
            </w:r>
          </w:p>
        </w:tc>
        <w:tc>
          <w:tcPr>
            <w:tcW w:w="2551" w:type="dxa"/>
          </w:tcPr>
          <w:p w14:paraId="38BE6C44">
            <w:pPr>
              <w:jc w:val="center"/>
            </w:pPr>
            <w:r>
              <w:rPr>
                <w:rFonts w:ascii="仿宋" w:hAnsi="仿宋" w:eastAsia="仿宋"/>
                <w:sz w:val="18"/>
              </w:rPr>
              <w:t>负荷侧资源追踪新能源出力曲线的优化调度策略</w:t>
            </w:r>
          </w:p>
        </w:tc>
        <w:tc>
          <w:tcPr>
            <w:tcW w:w="1984" w:type="dxa"/>
          </w:tcPr>
          <w:p w14:paraId="5FE6BB18">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（调度中心）</w:t>
            </w:r>
          </w:p>
        </w:tc>
        <w:tc>
          <w:tcPr>
            <w:tcW w:w="2551" w:type="dxa"/>
          </w:tcPr>
          <w:p w14:paraId="26639386">
            <w:pPr>
              <w:jc w:val="center"/>
            </w:pPr>
            <w:r>
              <w:rPr>
                <w:rFonts w:ascii="仿宋" w:hAnsi="仿宋" w:eastAsia="仿宋"/>
                <w:sz w:val="18"/>
              </w:rPr>
              <w:t>朗新科技</w:t>
            </w:r>
          </w:p>
        </w:tc>
      </w:tr>
      <w:tr w14:paraId="7A3E016C">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0072DB0B">
            <w:pPr>
              <w:jc w:val="center"/>
            </w:pPr>
            <w:r>
              <w:rPr>
                <w:rFonts w:ascii="仿宋" w:hAnsi="仿宋" w:eastAsia="仿宋"/>
                <w:sz w:val="18"/>
              </w:rPr>
              <w:t>子任务4.2</w:t>
            </w:r>
          </w:p>
        </w:tc>
        <w:tc>
          <w:tcPr>
            <w:tcW w:w="2551" w:type="dxa"/>
          </w:tcPr>
          <w:p w14:paraId="70D12D7B">
            <w:pPr>
              <w:jc w:val="center"/>
            </w:pPr>
            <w:r>
              <w:rPr>
                <w:rFonts w:ascii="仿宋" w:hAnsi="仿宋" w:eastAsia="仿宋"/>
                <w:sz w:val="18"/>
              </w:rPr>
              <w:t>虚拟电厂聚合资源的绿色价值量化与绿证交易</w:t>
            </w:r>
          </w:p>
        </w:tc>
        <w:tc>
          <w:tcPr>
            <w:tcW w:w="1984" w:type="dxa"/>
          </w:tcPr>
          <w:p w14:paraId="5042AFAD">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（交易中心）</w:t>
            </w:r>
          </w:p>
        </w:tc>
        <w:tc>
          <w:tcPr>
            <w:tcW w:w="2551" w:type="dxa"/>
          </w:tcPr>
          <w:p w14:paraId="4FCD60A4">
            <w:pPr>
              <w:jc w:val="center"/>
            </w:pPr>
            <w:r>
              <w:rPr>
                <w:rFonts w:ascii="仿宋" w:hAnsi="仿宋" w:eastAsia="仿宋"/>
                <w:sz w:val="18"/>
              </w:rPr>
              <w:t>贵州国能</w:t>
            </w:r>
            <w:r>
              <w:rPr>
                <w:rFonts w:ascii="仿宋" w:hAnsi="仿宋" w:eastAsia="仿宋"/>
                <w:sz w:val="18"/>
              </w:rPr>
              <w:br w:type="textWrapping"/>
            </w:r>
            <w:r>
              <w:rPr>
                <w:rFonts w:ascii="仿宋" w:hAnsi="仿宋" w:eastAsia="仿宋"/>
                <w:sz w:val="18"/>
              </w:rPr>
              <w:t>黔能三安</w:t>
            </w:r>
          </w:p>
        </w:tc>
      </w:tr>
      <w:tr w14:paraId="10D9AAA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0DCB32EC">
            <w:pPr>
              <w:jc w:val="center"/>
            </w:pPr>
            <w:r>
              <w:rPr>
                <w:rFonts w:ascii="仿宋" w:hAnsi="仿宋" w:eastAsia="仿宋"/>
                <w:sz w:val="18"/>
              </w:rPr>
              <w:t>子任务4.3</w:t>
            </w:r>
          </w:p>
        </w:tc>
        <w:tc>
          <w:tcPr>
            <w:tcW w:w="2551" w:type="dxa"/>
          </w:tcPr>
          <w:p w14:paraId="66C9789D">
            <w:pPr>
              <w:jc w:val="center"/>
            </w:pPr>
            <w:r>
              <w:rPr>
                <w:rFonts w:ascii="仿宋" w:hAnsi="仿宋" w:eastAsia="仿宋"/>
                <w:sz w:val="18"/>
              </w:rPr>
              <w:t>面向碳市场的可调节负荷减排量核算方法</w:t>
            </w:r>
          </w:p>
        </w:tc>
        <w:tc>
          <w:tcPr>
            <w:tcW w:w="1984" w:type="dxa"/>
          </w:tcPr>
          <w:p w14:paraId="15F1F162">
            <w:pPr>
              <w:jc w:val="center"/>
            </w:pPr>
            <w:r>
              <w:rPr>
                <w:rFonts w:ascii="仿宋" w:hAnsi="仿宋" w:eastAsia="仿宋"/>
                <w:sz w:val="18"/>
              </w:rPr>
              <w:t>贵州矿能</w:t>
            </w:r>
          </w:p>
        </w:tc>
        <w:tc>
          <w:tcPr>
            <w:tcW w:w="2551" w:type="dxa"/>
          </w:tcPr>
          <w:p w14:paraId="2A74D7C1">
            <w:pPr>
              <w:jc w:val="center"/>
            </w:pPr>
            <w:r>
              <w:rPr>
                <w:rFonts w:ascii="仿宋" w:hAnsi="仿宋" w:eastAsia="仿宋"/>
                <w:sz w:val="18"/>
              </w:rPr>
              <w:t>贵州大学</w:t>
            </w:r>
            <w:r>
              <w:rPr>
                <w:rFonts w:ascii="仿宋" w:hAnsi="仿宋" w:eastAsia="仿宋"/>
                <w:sz w:val="18"/>
              </w:rPr>
              <w:br w:type="textWrapping"/>
            </w:r>
            <w:r>
              <w:rPr>
                <w:rFonts w:ascii="仿宋" w:hAnsi="仿宋" w:eastAsia="仿宋"/>
                <w:sz w:val="18"/>
              </w:rPr>
              <w:t>朗新科技</w:t>
            </w:r>
          </w:p>
        </w:tc>
      </w:tr>
      <w:tr w14:paraId="59A88B8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8220" w:type="dxa"/>
            <w:gridSpan w:val="4"/>
            <w:shd w:val="clear" w:color="auto" w:fill="E8EAF6"/>
          </w:tcPr>
          <w:p w14:paraId="18FC0CBE">
            <w:pPr>
              <w:jc w:val="left"/>
            </w:pPr>
            <w:r>
              <w:rPr>
                <w:rFonts w:ascii="楷体" w:hAnsi="楷体" w:eastAsia="楷体"/>
                <w:b/>
                <w:sz w:val="20"/>
              </w:rPr>
              <w:t>课题五：商业化运营模式与规模化推广</w:t>
            </w:r>
            <w:r>
              <w:rPr>
                <w:rFonts w:ascii="楷体" w:hAnsi="楷体" w:eastAsia="楷体"/>
                <w:b/>
                <w:sz w:val="20"/>
              </w:rPr>
              <w:br w:type="textWrapping"/>
            </w:r>
            <w:r>
              <w:rPr>
                <w:rFonts w:ascii="楷体" w:hAnsi="楷体" w:eastAsia="楷体"/>
                <w:b/>
                <w:sz w:val="20"/>
              </w:rPr>
              <w:t>（对应业务场景：收益分配、用户运营、多园区复制推广）</w:t>
            </w:r>
          </w:p>
        </w:tc>
      </w:tr>
      <w:tr w14:paraId="024EC50A">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1234FA98">
            <w:pPr>
              <w:jc w:val="center"/>
            </w:pPr>
            <w:r>
              <w:rPr>
                <w:rFonts w:ascii="仿宋" w:hAnsi="仿宋" w:eastAsia="仿宋"/>
                <w:sz w:val="18"/>
              </w:rPr>
              <w:t>子任务5.1</w:t>
            </w:r>
          </w:p>
        </w:tc>
        <w:tc>
          <w:tcPr>
            <w:tcW w:w="2551" w:type="dxa"/>
          </w:tcPr>
          <w:p w14:paraId="7E54CF25">
            <w:pPr>
              <w:jc w:val="center"/>
            </w:pPr>
            <w:r>
              <w:rPr>
                <w:rFonts w:ascii="仿宋" w:hAnsi="仿宋" w:eastAsia="仿宋"/>
                <w:sz w:val="18"/>
              </w:rPr>
              <w:t>虚拟电厂运营收益测算与多方利益分配机制</w:t>
            </w:r>
          </w:p>
        </w:tc>
        <w:tc>
          <w:tcPr>
            <w:tcW w:w="1984" w:type="dxa"/>
          </w:tcPr>
          <w:p w14:paraId="3441CBAC">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（交易中心）</w:t>
            </w:r>
          </w:p>
        </w:tc>
        <w:tc>
          <w:tcPr>
            <w:tcW w:w="2551" w:type="dxa"/>
          </w:tcPr>
          <w:p w14:paraId="0702ECE2">
            <w:pPr>
              <w:jc w:val="center"/>
            </w:pPr>
            <w:r>
              <w:rPr>
                <w:rFonts w:ascii="仿宋" w:hAnsi="仿宋" w:eastAsia="仿宋"/>
                <w:sz w:val="18"/>
              </w:rPr>
              <w:t>朗新科技</w:t>
            </w:r>
            <w:r>
              <w:rPr>
                <w:rFonts w:ascii="仿宋" w:hAnsi="仿宋" w:eastAsia="仿宋"/>
                <w:sz w:val="18"/>
              </w:rPr>
              <w:br w:type="textWrapping"/>
            </w:r>
            <w:r>
              <w:rPr>
                <w:rFonts w:ascii="仿宋" w:hAnsi="仿宋" w:eastAsia="仿宋"/>
                <w:sz w:val="18"/>
              </w:rPr>
              <w:t>黔能三安</w:t>
            </w:r>
          </w:p>
        </w:tc>
      </w:tr>
      <w:tr w14:paraId="7801BFC9">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51510C39">
            <w:pPr>
              <w:jc w:val="center"/>
            </w:pPr>
            <w:r>
              <w:rPr>
                <w:rFonts w:ascii="仿宋" w:hAnsi="仿宋" w:eastAsia="仿宋"/>
                <w:sz w:val="18"/>
              </w:rPr>
              <w:t>子任务5.2</w:t>
            </w:r>
          </w:p>
        </w:tc>
        <w:tc>
          <w:tcPr>
            <w:tcW w:w="2551" w:type="dxa"/>
          </w:tcPr>
          <w:p w14:paraId="37638C2B">
            <w:pPr>
              <w:jc w:val="center"/>
            </w:pPr>
            <w:r>
              <w:rPr>
                <w:rFonts w:ascii="仿宋" w:hAnsi="仿宋" w:eastAsia="仿宋"/>
                <w:sz w:val="18"/>
              </w:rPr>
              <w:t>面向终端用户的“无感参与”体验优化与激励机制</w:t>
            </w:r>
          </w:p>
        </w:tc>
        <w:tc>
          <w:tcPr>
            <w:tcW w:w="1984" w:type="dxa"/>
          </w:tcPr>
          <w:p w14:paraId="412AB766">
            <w:pPr>
              <w:jc w:val="center"/>
            </w:pPr>
            <w:r>
              <w:rPr>
                <w:rFonts w:ascii="仿宋" w:hAnsi="仿宋" w:eastAsia="仿宋"/>
                <w:sz w:val="18"/>
              </w:rPr>
              <w:t>朗新科技</w:t>
            </w:r>
          </w:p>
        </w:tc>
        <w:tc>
          <w:tcPr>
            <w:tcW w:w="2551" w:type="dxa"/>
          </w:tcPr>
          <w:p w14:paraId="6FAF3DE0">
            <w:pPr>
              <w:jc w:val="center"/>
            </w:pPr>
            <w:r>
              <w:rPr>
                <w:rFonts w:ascii="仿宋" w:hAnsi="仿宋" w:eastAsia="仿宋"/>
                <w:sz w:val="18"/>
              </w:rPr>
              <w:t>贵州矿能</w:t>
            </w:r>
            <w:r>
              <w:rPr>
                <w:rFonts w:ascii="仿宋" w:hAnsi="仿宋" w:eastAsia="仿宋"/>
                <w:sz w:val="18"/>
              </w:rPr>
              <w:br w:type="textWrapping"/>
            </w:r>
            <w:r>
              <w:rPr>
                <w:rFonts w:ascii="仿宋" w:hAnsi="仿宋" w:eastAsia="仿宋"/>
                <w:sz w:val="18"/>
              </w:rPr>
              <w:t>贵州国能</w:t>
            </w:r>
          </w:p>
        </w:tc>
      </w:tr>
      <w:tr w14:paraId="6FE614E9">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1134" w:type="dxa"/>
          </w:tcPr>
          <w:p w14:paraId="4D327AEC">
            <w:pPr>
              <w:jc w:val="center"/>
            </w:pPr>
            <w:r>
              <w:rPr>
                <w:rFonts w:ascii="仿宋" w:hAnsi="仿宋" w:eastAsia="仿宋"/>
                <w:sz w:val="18"/>
              </w:rPr>
              <w:t>子任务5.3</w:t>
            </w:r>
          </w:p>
        </w:tc>
        <w:tc>
          <w:tcPr>
            <w:tcW w:w="2551" w:type="dxa"/>
          </w:tcPr>
          <w:p w14:paraId="0C44B58B">
            <w:pPr>
              <w:jc w:val="center"/>
            </w:pPr>
            <w:r>
              <w:rPr>
                <w:rFonts w:ascii="仿宋" w:hAnsi="仿宋" w:eastAsia="仿宋"/>
                <w:sz w:val="18"/>
              </w:rPr>
              <w:t>可复制推广的虚拟电厂运营标准与推广路径设计</w:t>
            </w:r>
          </w:p>
        </w:tc>
        <w:tc>
          <w:tcPr>
            <w:tcW w:w="1984" w:type="dxa"/>
          </w:tcPr>
          <w:p w14:paraId="42DBCF8E">
            <w:pPr>
              <w:jc w:val="center"/>
            </w:pPr>
            <w:r>
              <w:rPr>
                <w:rFonts w:ascii="仿宋" w:hAnsi="仿宋" w:eastAsia="仿宋"/>
                <w:sz w:val="18"/>
              </w:rPr>
              <w:t>贵州电网</w:t>
            </w:r>
            <w:r>
              <w:rPr>
                <w:rFonts w:ascii="仿宋" w:hAnsi="仿宋" w:eastAsia="仿宋"/>
                <w:sz w:val="18"/>
              </w:rPr>
              <w:br w:type="textWrapping"/>
            </w:r>
            <w:r>
              <w:rPr>
                <w:rFonts w:ascii="仿宋" w:hAnsi="仿宋" w:eastAsia="仿宋"/>
                <w:sz w:val="18"/>
              </w:rPr>
              <w:t>（发展部）</w:t>
            </w:r>
          </w:p>
        </w:tc>
        <w:tc>
          <w:tcPr>
            <w:tcW w:w="2551" w:type="dxa"/>
          </w:tcPr>
          <w:p w14:paraId="48CA50F1">
            <w:pPr>
              <w:jc w:val="center"/>
            </w:pPr>
            <w:r>
              <w:rPr>
                <w:rFonts w:ascii="仿宋" w:hAnsi="仿宋" w:eastAsia="仿宋"/>
                <w:sz w:val="18"/>
              </w:rPr>
              <w:t>所有参与单位</w:t>
            </w:r>
          </w:p>
        </w:tc>
      </w:tr>
    </w:tbl>
    <w:p w14:paraId="39CAF168">
      <w:r>
        <w:br w:type="page"/>
      </w:r>
    </w:p>
    <w:p w14:paraId="63E2DC5D">
      <w:pPr>
        <w:spacing w:before="320" w:after="160" w:line="520" w:lineRule="exact"/>
      </w:pPr>
      <w:r>
        <w:rPr>
          <w:rFonts w:ascii="黑体" w:hAnsi="黑体" w:eastAsia="黑体"/>
          <w:b/>
          <w:sz w:val="32"/>
        </w:rPr>
        <w:t>三、创新点</w:t>
      </w:r>
    </w:p>
    <w:p w14:paraId="747823E1">
      <w:pPr>
        <w:spacing w:before="240" w:after="160" w:line="520" w:lineRule="exact"/>
      </w:pPr>
      <w:r>
        <w:rPr>
          <w:rFonts w:ascii="楷体" w:hAnsi="楷体" w:eastAsia="楷体"/>
          <w:b/>
          <w:sz w:val="26"/>
        </w:rPr>
        <w:t>创新点一：“资源普查-潜力评估-分级准入”全流程标准化方法</w:t>
      </w:r>
    </w:p>
    <w:p w14:paraId="2DEA7648">
      <w:pPr>
        <w:spacing w:after="120" w:line="440" w:lineRule="exact"/>
        <w:ind w:firstLine="480"/>
      </w:pPr>
      <w:r>
        <w:rPr>
          <w:rFonts w:ascii="仿宋" w:hAnsi="仿宋" w:eastAsia="仿宋"/>
          <w:sz w:val="24"/>
        </w:rPr>
        <w:t>打破当前虚拟电厂分散接入、标准不统一的行业痛点，首次面向贵州省全域，建立覆盖工业负荷、小水电、分布式光伏、储能、充电桩等五类资源的系统化普查方法，形成“逐户画像、分级定量、动态更新”的可调资源评估体系。该方法填补了贵州存量可调资源“底数不清、潜力不明”的信息空白，为虚拟电厂的规模化、规范化资源准入提供了可操作的标准范式。</w:t>
      </w:r>
    </w:p>
    <w:p w14:paraId="0DBEFF9A">
      <w:pPr>
        <w:spacing w:before="240" w:after="160" w:line="520" w:lineRule="exact"/>
      </w:pPr>
      <w:r>
        <w:rPr>
          <w:rFonts w:ascii="楷体" w:hAnsi="楷体" w:eastAsia="楷体"/>
          <w:b/>
          <w:sz w:val="26"/>
        </w:rPr>
        <w:t>创新点二：“直控+邀约”双通道协同调控业务模式</w:t>
      </w:r>
    </w:p>
    <w:p w14:paraId="21123C63">
      <w:pPr>
        <w:spacing w:after="120" w:line="440" w:lineRule="exact"/>
        <w:ind w:firstLine="480"/>
      </w:pPr>
      <w:r>
        <w:rPr>
          <w:rFonts w:ascii="仿宋" w:hAnsi="仿宋" w:eastAsia="仿宋"/>
          <w:sz w:val="24"/>
        </w:rPr>
        <w:t>针对贵州高载能工业园区的工艺约束与连续生产需求，首创“直控型资源秒级响应+邀约型资源经济激励”的双通道协同调控模式，在保障企业生产安全的前提下实现柔性调节。该模式解决了传统需求响应“一刀切限电”的痛点，为高载能产业园区参与虚拟电厂提供了可落地的商业路径。</w:t>
      </w:r>
    </w:p>
    <w:p w14:paraId="10194913">
      <w:pPr>
        <w:spacing w:before="240" w:after="160" w:line="520" w:lineRule="exact"/>
      </w:pPr>
      <w:r>
        <w:rPr>
          <w:rFonts w:ascii="楷体" w:hAnsi="楷体" w:eastAsia="楷体"/>
          <w:b/>
          <w:sz w:val="26"/>
        </w:rPr>
        <w:t>创新点三：面向多市场交易的“AI辅助报价+收益分配透明化”机制</w:t>
      </w:r>
    </w:p>
    <w:p w14:paraId="433246EF">
      <w:pPr>
        <w:spacing w:after="120" w:line="440" w:lineRule="exact"/>
        <w:ind w:firstLine="480"/>
      </w:pPr>
      <w:r>
        <w:rPr>
          <w:rFonts w:ascii="仿宋" w:hAnsi="仿宋" w:eastAsia="仿宋"/>
          <w:sz w:val="24"/>
        </w:rPr>
        <w:t>基于AI辅助决策技术，构建覆盖现货市场、辅助服务市场、需求响应三类交易品种的联合报价策略生成方法，同时设计基于区块链的收益分配透明化机制，确保终端用户、聚合商、电网三方“每一分钱收益都能说清楚”，提升各参与方的信任度与持续参与意愿。</w:t>
      </w:r>
    </w:p>
    <w:p w14:paraId="79D135CA">
      <w:pPr>
        <w:jc w:val="center"/>
      </w:pPr>
      <w:r>
        <w:drawing>
          <wp:inline distT="0" distB="0" distL="114300" distR="114300">
            <wp:extent cx="5029200" cy="3079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079898"/>
                    </a:xfrm>
                    <a:prstGeom prst="rect">
                      <a:avLst/>
                    </a:prstGeom>
                  </pic:spPr>
                </pic:pic>
              </a:graphicData>
            </a:graphic>
          </wp:inline>
        </w:drawing>
      </w:r>
    </w:p>
    <w:p w14:paraId="19CECB06">
      <w:pPr>
        <w:jc w:val="center"/>
      </w:pPr>
      <w:r>
        <w:rPr>
          <w:rFonts w:ascii="宋体" w:hAnsi="宋体" w:eastAsia="宋体"/>
          <w:color w:val="666666"/>
          <w:sz w:val="18"/>
        </w:rPr>
        <w:t>图3-1  虚拟电厂“多时空尺度智能协同运营”系统总体架构</w:t>
      </w:r>
    </w:p>
    <w:p w14:paraId="799CC466">
      <w:r>
        <w:br w:type="page"/>
      </w:r>
    </w:p>
    <w:p w14:paraId="60E42478">
      <w:pPr>
        <w:spacing w:before="320" w:after="160" w:line="520" w:lineRule="exact"/>
      </w:pPr>
      <w:r>
        <w:rPr>
          <w:rFonts w:ascii="黑体" w:hAnsi="黑体" w:eastAsia="黑体"/>
          <w:b/>
          <w:sz w:val="32"/>
        </w:rPr>
        <w:t>四、资金情况</w:t>
      </w:r>
    </w:p>
    <w:p w14:paraId="1A105079">
      <w:pPr>
        <w:spacing w:after="120" w:line="440" w:lineRule="exact"/>
        <w:ind w:firstLine="480"/>
      </w:pPr>
      <w:r>
        <w:rPr>
          <w:rFonts w:ascii="仿宋" w:hAnsi="仿宋" w:eastAsia="仿宋"/>
          <w:sz w:val="24"/>
        </w:rPr>
        <w:t>本项目总预算为1800万元，资金来源包括：国家能源局“人工智能+”能源专项补贴、贵州电网科技项目配套资金、联合申报单位自筹资金三部分。资金安排坚持“业务价值导向”，重点保障可验证、可量化的核心业务场景研发与试点任务。</w:t>
      </w:r>
    </w:p>
    <w:tbl>
      <w:tblPr>
        <w:tblStyle w:val="32"/>
        <w:tblW w:w="0" w:type="auto"/>
        <w:jc w:val="center"/>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Layout w:type="autofit"/>
        <w:tblCellMar>
          <w:top w:w="0" w:type="dxa"/>
          <w:left w:w="108" w:type="dxa"/>
          <w:bottom w:w="0" w:type="dxa"/>
          <w:right w:w="108" w:type="dxa"/>
        </w:tblCellMar>
      </w:tblPr>
      <w:tblGrid>
        <w:gridCol w:w="656"/>
        <w:gridCol w:w="2615"/>
        <w:gridCol w:w="1344"/>
        <w:gridCol w:w="983"/>
        <w:gridCol w:w="2918"/>
      </w:tblGrid>
      <w:tr w14:paraId="3FE00597">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1A237E"/>
          </w:tcPr>
          <w:p w14:paraId="6CBCBA99">
            <w:pPr>
              <w:jc w:val="center"/>
            </w:pPr>
            <w:r>
              <w:rPr>
                <w:rFonts w:ascii="黑体" w:hAnsi="黑体" w:eastAsia="黑体"/>
                <w:b/>
                <w:color w:val="FFFFFF"/>
                <w:sz w:val="20"/>
              </w:rPr>
              <w:t>序号</w:t>
            </w:r>
          </w:p>
        </w:tc>
        <w:tc>
          <w:tcPr>
            <w:tcW w:w="2835" w:type="dxa"/>
            <w:shd w:val="clear" w:color="auto" w:fill="1A237E"/>
          </w:tcPr>
          <w:p w14:paraId="45435AFD">
            <w:pPr>
              <w:jc w:val="center"/>
            </w:pPr>
            <w:r>
              <w:rPr>
                <w:rFonts w:ascii="黑体" w:hAnsi="黑体" w:eastAsia="黑体"/>
                <w:b/>
                <w:color w:val="FFFFFF"/>
                <w:sz w:val="20"/>
              </w:rPr>
              <w:t>预算科目</w:t>
            </w:r>
          </w:p>
        </w:tc>
        <w:tc>
          <w:tcPr>
            <w:tcW w:w="1417" w:type="dxa"/>
            <w:shd w:val="clear" w:color="auto" w:fill="1A237E"/>
          </w:tcPr>
          <w:p w14:paraId="0563770D">
            <w:pPr>
              <w:jc w:val="center"/>
            </w:pPr>
            <w:r>
              <w:rPr>
                <w:rFonts w:ascii="黑体" w:hAnsi="黑体" w:eastAsia="黑体"/>
                <w:b/>
                <w:color w:val="FFFFFF"/>
                <w:sz w:val="20"/>
              </w:rPr>
              <w:t>金额（万元）</w:t>
            </w:r>
          </w:p>
        </w:tc>
        <w:tc>
          <w:tcPr>
            <w:tcW w:w="1020" w:type="dxa"/>
            <w:shd w:val="clear" w:color="auto" w:fill="1A237E"/>
          </w:tcPr>
          <w:p w14:paraId="70CFEE12">
            <w:pPr>
              <w:jc w:val="center"/>
            </w:pPr>
            <w:r>
              <w:rPr>
                <w:rFonts w:ascii="黑体" w:hAnsi="黑体" w:eastAsia="黑体"/>
                <w:b/>
                <w:color w:val="FFFFFF"/>
                <w:sz w:val="20"/>
              </w:rPr>
              <w:t>占比</w:t>
            </w:r>
          </w:p>
        </w:tc>
        <w:tc>
          <w:tcPr>
            <w:tcW w:w="3118" w:type="dxa"/>
            <w:shd w:val="clear" w:color="auto" w:fill="1A237E"/>
          </w:tcPr>
          <w:p w14:paraId="31D417B5">
            <w:pPr>
              <w:jc w:val="center"/>
            </w:pPr>
            <w:r>
              <w:rPr>
                <w:rFonts w:ascii="黑体" w:hAnsi="黑体" w:eastAsia="黑体"/>
                <w:b/>
                <w:color w:val="FFFFFF"/>
                <w:sz w:val="20"/>
              </w:rPr>
              <w:t>主要用途</w:t>
            </w:r>
          </w:p>
        </w:tc>
      </w:tr>
      <w:tr w14:paraId="4D3299A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3C22CFF6">
            <w:pPr>
              <w:jc w:val="center"/>
            </w:pPr>
            <w:r>
              <w:rPr>
                <w:rFonts w:ascii="黑体" w:hAnsi="黑体" w:eastAsia="黑体"/>
                <w:b/>
                <w:sz w:val="20"/>
              </w:rPr>
              <w:t>序号</w:t>
            </w:r>
          </w:p>
        </w:tc>
        <w:tc>
          <w:tcPr>
            <w:tcW w:w="2835" w:type="dxa"/>
          </w:tcPr>
          <w:p w14:paraId="612A9153">
            <w:pPr>
              <w:jc w:val="center"/>
            </w:pPr>
            <w:r>
              <w:rPr>
                <w:rFonts w:ascii="黑体" w:hAnsi="黑体" w:eastAsia="黑体"/>
                <w:sz w:val="20"/>
              </w:rPr>
              <w:t>预算科目</w:t>
            </w:r>
          </w:p>
        </w:tc>
        <w:tc>
          <w:tcPr>
            <w:tcW w:w="1417" w:type="dxa"/>
          </w:tcPr>
          <w:p w14:paraId="03B8E36E">
            <w:pPr>
              <w:jc w:val="center"/>
            </w:pPr>
            <w:r>
              <w:rPr>
                <w:rFonts w:ascii="黑体" w:hAnsi="黑体" w:eastAsia="黑体"/>
                <w:sz w:val="20"/>
              </w:rPr>
              <w:t>金额（万元）</w:t>
            </w:r>
          </w:p>
        </w:tc>
        <w:tc>
          <w:tcPr>
            <w:tcW w:w="1020" w:type="dxa"/>
          </w:tcPr>
          <w:p w14:paraId="4C3F71F8">
            <w:pPr>
              <w:jc w:val="center"/>
            </w:pPr>
            <w:r>
              <w:rPr>
                <w:rFonts w:ascii="黑体" w:hAnsi="黑体" w:eastAsia="黑体"/>
                <w:sz w:val="20"/>
              </w:rPr>
              <w:t>占比</w:t>
            </w:r>
          </w:p>
        </w:tc>
        <w:tc>
          <w:tcPr>
            <w:tcW w:w="3118" w:type="dxa"/>
          </w:tcPr>
          <w:p w14:paraId="63DFED29">
            <w:pPr>
              <w:jc w:val="center"/>
            </w:pPr>
            <w:r>
              <w:rPr>
                <w:rFonts w:ascii="仿宋" w:hAnsi="仿宋" w:eastAsia="仿宋"/>
                <w:sz w:val="20"/>
              </w:rPr>
              <w:t>主要用途</w:t>
            </w:r>
          </w:p>
        </w:tc>
      </w:tr>
      <w:tr w14:paraId="20F9BBB6">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34FA914F">
            <w:pPr>
              <w:jc w:val="center"/>
            </w:pPr>
            <w:r>
              <w:rPr>
                <w:rFonts w:ascii="黑体" w:hAnsi="黑体" w:eastAsia="黑体"/>
                <w:b/>
                <w:sz w:val="20"/>
              </w:rPr>
              <w:t>1</w:t>
            </w:r>
          </w:p>
        </w:tc>
        <w:tc>
          <w:tcPr>
            <w:tcW w:w="2835" w:type="dxa"/>
          </w:tcPr>
          <w:p w14:paraId="61CB987B">
            <w:pPr>
              <w:jc w:val="center"/>
            </w:pPr>
            <w:r>
              <w:rPr>
                <w:rFonts w:ascii="黑体" w:hAnsi="黑体" w:eastAsia="黑体"/>
                <w:sz w:val="20"/>
              </w:rPr>
              <w:t>资源普查与潜力评估平台建设</w:t>
            </w:r>
          </w:p>
        </w:tc>
        <w:tc>
          <w:tcPr>
            <w:tcW w:w="1417" w:type="dxa"/>
          </w:tcPr>
          <w:p w14:paraId="4B07CAC5">
            <w:pPr>
              <w:jc w:val="center"/>
            </w:pPr>
            <w:r>
              <w:rPr>
                <w:rFonts w:ascii="黑体" w:hAnsi="黑体" w:eastAsia="黑体"/>
                <w:sz w:val="20"/>
              </w:rPr>
              <w:t>360</w:t>
            </w:r>
          </w:p>
        </w:tc>
        <w:tc>
          <w:tcPr>
            <w:tcW w:w="1020" w:type="dxa"/>
          </w:tcPr>
          <w:p w14:paraId="006221C8">
            <w:pPr>
              <w:jc w:val="center"/>
            </w:pPr>
            <w:r>
              <w:rPr>
                <w:rFonts w:ascii="黑体" w:hAnsi="黑体" w:eastAsia="黑体"/>
                <w:sz w:val="20"/>
              </w:rPr>
              <w:t>20%</w:t>
            </w:r>
          </w:p>
        </w:tc>
        <w:tc>
          <w:tcPr>
            <w:tcW w:w="3118" w:type="dxa"/>
          </w:tcPr>
          <w:p w14:paraId="276D03B0">
            <w:pPr>
              <w:jc w:val="center"/>
            </w:pPr>
            <w:r>
              <w:rPr>
                <w:rFonts w:ascii="仿宋" w:hAnsi="仿宋" w:eastAsia="仿宋"/>
                <w:sz w:val="20"/>
              </w:rPr>
              <w:t>覆盖贵州省9个市州的分布式资源普查系统开发与实地调研</w:t>
            </w:r>
          </w:p>
        </w:tc>
      </w:tr>
      <w:tr w14:paraId="62676804">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00C57B65">
            <w:pPr>
              <w:jc w:val="center"/>
            </w:pPr>
            <w:r>
              <w:rPr>
                <w:rFonts w:ascii="黑体" w:hAnsi="黑体" w:eastAsia="黑体"/>
                <w:b/>
                <w:sz w:val="20"/>
              </w:rPr>
              <w:t>2</w:t>
            </w:r>
          </w:p>
        </w:tc>
        <w:tc>
          <w:tcPr>
            <w:tcW w:w="2835" w:type="dxa"/>
          </w:tcPr>
          <w:p w14:paraId="69DB1FC3">
            <w:pPr>
              <w:jc w:val="center"/>
            </w:pPr>
            <w:r>
              <w:rPr>
                <w:rFonts w:ascii="黑体" w:hAnsi="黑体" w:eastAsia="黑体"/>
                <w:sz w:val="20"/>
              </w:rPr>
              <w:t>多市场协同交易辅助决策系统研发</w:t>
            </w:r>
          </w:p>
        </w:tc>
        <w:tc>
          <w:tcPr>
            <w:tcW w:w="1417" w:type="dxa"/>
          </w:tcPr>
          <w:p w14:paraId="1434C257">
            <w:pPr>
              <w:jc w:val="center"/>
            </w:pPr>
            <w:r>
              <w:rPr>
                <w:rFonts w:ascii="黑体" w:hAnsi="黑体" w:eastAsia="黑体"/>
                <w:sz w:val="20"/>
              </w:rPr>
              <w:t>540</w:t>
            </w:r>
          </w:p>
        </w:tc>
        <w:tc>
          <w:tcPr>
            <w:tcW w:w="1020" w:type="dxa"/>
          </w:tcPr>
          <w:p w14:paraId="5BB06116">
            <w:pPr>
              <w:jc w:val="center"/>
            </w:pPr>
            <w:r>
              <w:rPr>
                <w:rFonts w:ascii="黑体" w:hAnsi="黑体" w:eastAsia="黑体"/>
                <w:sz w:val="20"/>
              </w:rPr>
              <w:t>30%</w:t>
            </w:r>
          </w:p>
        </w:tc>
        <w:tc>
          <w:tcPr>
            <w:tcW w:w="3118" w:type="dxa"/>
          </w:tcPr>
          <w:p w14:paraId="16760D93">
            <w:pPr>
              <w:jc w:val="center"/>
            </w:pPr>
            <w:r>
              <w:rPr>
                <w:rFonts w:ascii="仿宋" w:hAnsi="仿宋" w:eastAsia="仿宋"/>
                <w:sz w:val="20"/>
              </w:rPr>
              <w:t>现货+辅助服务+需求响应联合报价AI模型研发与系统集成</w:t>
            </w:r>
          </w:p>
        </w:tc>
      </w:tr>
      <w:tr w14:paraId="5AF29D45">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2DAA6B34">
            <w:pPr>
              <w:jc w:val="center"/>
            </w:pPr>
            <w:r>
              <w:rPr>
                <w:rFonts w:ascii="黑体" w:hAnsi="黑体" w:eastAsia="黑体"/>
                <w:b/>
                <w:sz w:val="20"/>
              </w:rPr>
              <w:t>3</w:t>
            </w:r>
          </w:p>
        </w:tc>
        <w:tc>
          <w:tcPr>
            <w:tcW w:w="2835" w:type="dxa"/>
          </w:tcPr>
          <w:p w14:paraId="279EAF9B">
            <w:pPr>
              <w:jc w:val="center"/>
            </w:pPr>
            <w:r>
              <w:rPr>
                <w:rFonts w:ascii="黑体" w:hAnsi="黑体" w:eastAsia="黑体"/>
                <w:sz w:val="20"/>
              </w:rPr>
              <w:t>双通道协同调控平台开发与部署</w:t>
            </w:r>
          </w:p>
        </w:tc>
        <w:tc>
          <w:tcPr>
            <w:tcW w:w="1417" w:type="dxa"/>
          </w:tcPr>
          <w:p w14:paraId="717C3CA7">
            <w:pPr>
              <w:jc w:val="center"/>
            </w:pPr>
            <w:r>
              <w:rPr>
                <w:rFonts w:ascii="黑体" w:hAnsi="黑体" w:eastAsia="黑体"/>
                <w:sz w:val="20"/>
              </w:rPr>
              <w:t>360</w:t>
            </w:r>
          </w:p>
        </w:tc>
        <w:tc>
          <w:tcPr>
            <w:tcW w:w="1020" w:type="dxa"/>
          </w:tcPr>
          <w:p w14:paraId="3AD2506C">
            <w:pPr>
              <w:jc w:val="center"/>
            </w:pPr>
            <w:r>
              <w:rPr>
                <w:rFonts w:ascii="黑体" w:hAnsi="黑体" w:eastAsia="黑体"/>
                <w:sz w:val="20"/>
              </w:rPr>
              <w:t>20%</w:t>
            </w:r>
          </w:p>
        </w:tc>
        <w:tc>
          <w:tcPr>
            <w:tcW w:w="3118" w:type="dxa"/>
          </w:tcPr>
          <w:p w14:paraId="2F8C24AC">
            <w:pPr>
              <w:jc w:val="center"/>
            </w:pPr>
            <w:r>
              <w:rPr>
                <w:rFonts w:ascii="仿宋" w:hAnsi="仿宋" w:eastAsia="仿宋"/>
                <w:sz w:val="20"/>
              </w:rPr>
              <w:t>直控通道AGC/API对接、邀约通道微信小程序开发与部署</w:t>
            </w:r>
          </w:p>
        </w:tc>
      </w:tr>
      <w:tr w14:paraId="75E21C77">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31862178">
            <w:pPr>
              <w:jc w:val="center"/>
            </w:pPr>
            <w:r>
              <w:rPr>
                <w:rFonts w:ascii="黑体" w:hAnsi="黑体" w:eastAsia="黑体"/>
                <w:b/>
                <w:sz w:val="20"/>
              </w:rPr>
              <w:t>4</w:t>
            </w:r>
          </w:p>
        </w:tc>
        <w:tc>
          <w:tcPr>
            <w:tcW w:w="2835" w:type="dxa"/>
          </w:tcPr>
          <w:p w14:paraId="4055670B">
            <w:pPr>
              <w:jc w:val="center"/>
            </w:pPr>
            <w:r>
              <w:rPr>
                <w:rFonts w:ascii="黑体" w:hAnsi="黑体" w:eastAsia="黑体"/>
                <w:sz w:val="20"/>
              </w:rPr>
              <w:t>试点园区改造与调控终端安装</w:t>
            </w:r>
          </w:p>
        </w:tc>
        <w:tc>
          <w:tcPr>
            <w:tcW w:w="1417" w:type="dxa"/>
          </w:tcPr>
          <w:p w14:paraId="231D936C">
            <w:pPr>
              <w:jc w:val="center"/>
            </w:pPr>
            <w:r>
              <w:rPr>
                <w:rFonts w:ascii="黑体" w:hAnsi="黑体" w:eastAsia="黑体"/>
                <w:sz w:val="20"/>
              </w:rPr>
              <w:t>270</w:t>
            </w:r>
          </w:p>
        </w:tc>
        <w:tc>
          <w:tcPr>
            <w:tcW w:w="1020" w:type="dxa"/>
          </w:tcPr>
          <w:p w14:paraId="165ACCE6">
            <w:pPr>
              <w:jc w:val="center"/>
            </w:pPr>
            <w:r>
              <w:rPr>
                <w:rFonts w:ascii="黑体" w:hAnsi="黑体" w:eastAsia="黑体"/>
                <w:sz w:val="20"/>
              </w:rPr>
              <w:t>15%</w:t>
            </w:r>
          </w:p>
        </w:tc>
        <w:tc>
          <w:tcPr>
            <w:tcW w:w="3118" w:type="dxa"/>
          </w:tcPr>
          <w:p w14:paraId="0523DB48">
            <w:pPr>
              <w:jc w:val="center"/>
            </w:pPr>
            <w:r>
              <w:rPr>
                <w:rFonts w:ascii="仿宋" w:hAnsi="仿宋" w:eastAsia="仿宋"/>
                <w:sz w:val="20"/>
              </w:rPr>
              <w:t>黔能三安园区、贵州矿能园区合计不低于5000千瓦可调负荷改造</w:t>
            </w:r>
          </w:p>
        </w:tc>
      </w:tr>
      <w:tr w14:paraId="7E9942A1">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5D0B2AB4">
            <w:pPr>
              <w:jc w:val="center"/>
            </w:pPr>
            <w:r>
              <w:rPr>
                <w:rFonts w:ascii="黑体" w:hAnsi="黑体" w:eastAsia="黑体"/>
                <w:b/>
                <w:sz w:val="20"/>
              </w:rPr>
              <w:t>5</w:t>
            </w:r>
          </w:p>
        </w:tc>
        <w:tc>
          <w:tcPr>
            <w:tcW w:w="2835" w:type="dxa"/>
          </w:tcPr>
          <w:p w14:paraId="6A8F676B">
            <w:pPr>
              <w:jc w:val="center"/>
            </w:pPr>
            <w:r>
              <w:rPr>
                <w:rFonts w:ascii="黑体" w:hAnsi="黑体" w:eastAsia="黑体"/>
                <w:sz w:val="20"/>
              </w:rPr>
              <w:t>项目管理与成果推广</w:t>
            </w:r>
          </w:p>
        </w:tc>
        <w:tc>
          <w:tcPr>
            <w:tcW w:w="1417" w:type="dxa"/>
          </w:tcPr>
          <w:p w14:paraId="150ACCA6">
            <w:pPr>
              <w:jc w:val="center"/>
            </w:pPr>
            <w:r>
              <w:rPr>
                <w:rFonts w:ascii="黑体" w:hAnsi="黑体" w:eastAsia="黑体"/>
                <w:sz w:val="20"/>
              </w:rPr>
              <w:t>270</w:t>
            </w:r>
          </w:p>
        </w:tc>
        <w:tc>
          <w:tcPr>
            <w:tcW w:w="1020" w:type="dxa"/>
          </w:tcPr>
          <w:p w14:paraId="5373FEE0">
            <w:pPr>
              <w:jc w:val="center"/>
            </w:pPr>
            <w:r>
              <w:rPr>
                <w:rFonts w:ascii="黑体" w:hAnsi="黑体" w:eastAsia="黑体"/>
                <w:sz w:val="20"/>
              </w:rPr>
              <w:t>15%</w:t>
            </w:r>
          </w:p>
        </w:tc>
        <w:tc>
          <w:tcPr>
            <w:tcW w:w="3118" w:type="dxa"/>
          </w:tcPr>
          <w:p w14:paraId="6C2AE172">
            <w:pPr>
              <w:jc w:val="center"/>
            </w:pPr>
            <w:r>
              <w:rPr>
                <w:rFonts w:ascii="仿宋" w:hAnsi="仿宋" w:eastAsia="仿宋"/>
                <w:sz w:val="20"/>
              </w:rPr>
              <w:t>技术标准编制、专利申报、成果示范推广与培训</w:t>
            </w:r>
          </w:p>
        </w:tc>
      </w:tr>
      <w:tr w14:paraId="102427A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680" w:type="dxa"/>
            <w:shd w:val="clear" w:color="auto" w:fill="E8EAF6"/>
          </w:tcPr>
          <w:p w14:paraId="514DAE14">
            <w:pPr>
              <w:jc w:val="center"/>
            </w:pPr>
          </w:p>
        </w:tc>
        <w:tc>
          <w:tcPr>
            <w:tcW w:w="2835" w:type="dxa"/>
          </w:tcPr>
          <w:p w14:paraId="40686370">
            <w:pPr>
              <w:jc w:val="center"/>
            </w:pPr>
            <w:r>
              <w:rPr>
                <w:rFonts w:ascii="黑体" w:hAnsi="黑体" w:eastAsia="黑体"/>
                <w:sz w:val="20"/>
              </w:rPr>
              <w:t>合计</w:t>
            </w:r>
          </w:p>
        </w:tc>
        <w:tc>
          <w:tcPr>
            <w:tcW w:w="1417" w:type="dxa"/>
          </w:tcPr>
          <w:p w14:paraId="32B5C74F">
            <w:pPr>
              <w:jc w:val="center"/>
            </w:pPr>
            <w:r>
              <w:rPr>
                <w:rFonts w:ascii="黑体" w:hAnsi="黑体" w:eastAsia="黑体"/>
                <w:sz w:val="20"/>
              </w:rPr>
              <w:t>1800</w:t>
            </w:r>
          </w:p>
        </w:tc>
        <w:tc>
          <w:tcPr>
            <w:tcW w:w="1020" w:type="dxa"/>
          </w:tcPr>
          <w:p w14:paraId="5A5C9061">
            <w:pPr>
              <w:jc w:val="center"/>
            </w:pPr>
            <w:r>
              <w:rPr>
                <w:rFonts w:ascii="黑体" w:hAnsi="黑体" w:eastAsia="黑体"/>
                <w:sz w:val="20"/>
              </w:rPr>
              <w:t>100%</w:t>
            </w:r>
          </w:p>
        </w:tc>
        <w:tc>
          <w:tcPr>
            <w:tcW w:w="3118" w:type="dxa"/>
          </w:tcPr>
          <w:p w14:paraId="7F6D819A">
            <w:pPr>
              <w:jc w:val="center"/>
            </w:pPr>
          </w:p>
        </w:tc>
      </w:tr>
    </w:tbl>
    <w:p w14:paraId="5337CBFA">
      <w:r>
        <w:br w:type="page"/>
      </w:r>
    </w:p>
    <w:p w14:paraId="1544C1AA">
      <w:pPr>
        <w:spacing w:before="320" w:after="160" w:line="520" w:lineRule="exact"/>
      </w:pPr>
      <w:r>
        <w:rPr>
          <w:rFonts w:ascii="黑体" w:hAnsi="黑体" w:eastAsia="黑体"/>
          <w:b/>
          <w:sz w:val="32"/>
        </w:rPr>
        <w:t>五、项目整体计划</w:t>
      </w:r>
    </w:p>
    <w:tbl>
      <w:tblPr>
        <w:tblStyle w:val="32"/>
        <w:tblW w:w="0" w:type="auto"/>
        <w:jc w:val="center"/>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Layout w:type="autofit"/>
        <w:tblCellMar>
          <w:top w:w="0" w:type="dxa"/>
          <w:left w:w="108" w:type="dxa"/>
          <w:bottom w:w="0" w:type="dxa"/>
          <w:right w:w="108" w:type="dxa"/>
        </w:tblCellMar>
      </w:tblPr>
      <w:tblGrid>
        <w:gridCol w:w="567"/>
        <w:gridCol w:w="1984"/>
        <w:gridCol w:w="1134"/>
        <w:gridCol w:w="1020"/>
        <w:gridCol w:w="3515"/>
      </w:tblGrid>
      <w:tr w14:paraId="6CC835CA">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567" w:type="dxa"/>
            <w:shd w:val="clear" w:color="auto" w:fill="1A237E"/>
          </w:tcPr>
          <w:p w14:paraId="65195091">
            <w:pPr>
              <w:jc w:val="center"/>
            </w:pPr>
            <w:r>
              <w:rPr>
                <w:rFonts w:ascii="黑体" w:hAnsi="黑体" w:eastAsia="黑体"/>
                <w:b/>
                <w:color w:val="FFFFFF"/>
                <w:sz w:val="20"/>
              </w:rPr>
              <w:t>序号</w:t>
            </w:r>
          </w:p>
        </w:tc>
        <w:tc>
          <w:tcPr>
            <w:tcW w:w="1984" w:type="dxa"/>
            <w:shd w:val="clear" w:color="auto" w:fill="1A237E"/>
          </w:tcPr>
          <w:p w14:paraId="2A30BB13">
            <w:pPr>
              <w:jc w:val="center"/>
            </w:pPr>
            <w:r>
              <w:rPr>
                <w:rFonts w:ascii="黑体" w:hAnsi="黑体" w:eastAsia="黑体"/>
                <w:b/>
                <w:color w:val="FFFFFF"/>
                <w:sz w:val="20"/>
              </w:rPr>
              <w:t>任务名称</w:t>
            </w:r>
          </w:p>
        </w:tc>
        <w:tc>
          <w:tcPr>
            <w:tcW w:w="1134" w:type="dxa"/>
            <w:shd w:val="clear" w:color="auto" w:fill="1A237E"/>
          </w:tcPr>
          <w:p w14:paraId="5BB0EF3A">
            <w:pPr>
              <w:jc w:val="center"/>
            </w:pPr>
            <w:r>
              <w:rPr>
                <w:rFonts w:ascii="黑体" w:hAnsi="黑体" w:eastAsia="黑体"/>
                <w:b/>
                <w:color w:val="FFFFFF"/>
                <w:sz w:val="20"/>
              </w:rPr>
              <w:t>开始时间</w:t>
            </w:r>
          </w:p>
        </w:tc>
        <w:tc>
          <w:tcPr>
            <w:tcW w:w="1020" w:type="dxa"/>
            <w:shd w:val="clear" w:color="auto" w:fill="1A237E"/>
          </w:tcPr>
          <w:p w14:paraId="43482F1D">
            <w:pPr>
              <w:jc w:val="center"/>
            </w:pPr>
            <w:r>
              <w:rPr>
                <w:rFonts w:ascii="黑体" w:hAnsi="黑体" w:eastAsia="黑体"/>
                <w:b/>
                <w:color w:val="FFFFFF"/>
                <w:sz w:val="20"/>
              </w:rPr>
              <w:t>工期</w:t>
            </w:r>
          </w:p>
        </w:tc>
        <w:tc>
          <w:tcPr>
            <w:tcW w:w="3515" w:type="dxa"/>
            <w:shd w:val="clear" w:color="auto" w:fill="1A237E"/>
          </w:tcPr>
          <w:p w14:paraId="2959EC86">
            <w:pPr>
              <w:jc w:val="center"/>
            </w:pPr>
            <w:r>
              <w:rPr>
                <w:rFonts w:ascii="黑体" w:hAnsi="黑体" w:eastAsia="黑体"/>
                <w:b/>
                <w:color w:val="FFFFFF"/>
                <w:sz w:val="20"/>
              </w:rPr>
              <w:t>任务描述</w:t>
            </w:r>
          </w:p>
        </w:tc>
      </w:tr>
      <w:tr w14:paraId="340AE240">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567" w:type="dxa"/>
          </w:tcPr>
          <w:p w14:paraId="44020BD2">
            <w:pPr>
              <w:jc w:val="center"/>
            </w:pPr>
            <w:r>
              <w:rPr>
                <w:rFonts w:ascii="仿宋" w:hAnsi="仿宋" w:eastAsia="仿宋"/>
                <w:sz w:val="18"/>
              </w:rPr>
              <w:t>1</w:t>
            </w:r>
          </w:p>
        </w:tc>
        <w:tc>
          <w:tcPr>
            <w:tcW w:w="1984" w:type="dxa"/>
          </w:tcPr>
          <w:p w14:paraId="43D82931">
            <w:pPr>
              <w:jc w:val="center"/>
            </w:pPr>
            <w:r>
              <w:rPr>
                <w:rFonts w:ascii="仿宋" w:hAnsi="仿宋" w:eastAsia="仿宋"/>
                <w:sz w:val="18"/>
              </w:rPr>
              <w:t>准备阶段：资源普查与现状调研</w:t>
            </w:r>
          </w:p>
        </w:tc>
        <w:tc>
          <w:tcPr>
            <w:tcW w:w="1134" w:type="dxa"/>
          </w:tcPr>
          <w:p w14:paraId="647B05FC">
            <w:pPr>
              <w:jc w:val="center"/>
            </w:pPr>
            <w:r>
              <w:rPr>
                <w:rFonts w:ascii="仿宋" w:hAnsi="仿宋" w:eastAsia="仿宋"/>
                <w:sz w:val="18"/>
              </w:rPr>
              <w:t>2026.Q3</w:t>
            </w:r>
          </w:p>
        </w:tc>
        <w:tc>
          <w:tcPr>
            <w:tcW w:w="1020" w:type="dxa"/>
          </w:tcPr>
          <w:p w14:paraId="17588508">
            <w:pPr>
              <w:jc w:val="center"/>
            </w:pPr>
            <w:r>
              <w:rPr>
                <w:rFonts w:ascii="仿宋" w:hAnsi="仿宋" w:eastAsia="仿宋"/>
                <w:sz w:val="18"/>
              </w:rPr>
              <w:t>3个月</w:t>
            </w:r>
          </w:p>
        </w:tc>
        <w:tc>
          <w:tcPr>
            <w:tcW w:w="3515" w:type="dxa"/>
          </w:tcPr>
          <w:p w14:paraId="170AE75E">
            <w:pPr>
              <w:jc w:val="left"/>
            </w:pPr>
            <w:r>
              <w:rPr>
                <w:rFonts w:ascii="仿宋" w:hAnsi="仿宋" w:eastAsia="仿宋"/>
                <w:sz w:val="18"/>
              </w:rPr>
              <w:t>完成贵州省9个市州分布式可调资源普查，建立资源台账；完成现有虚拟电厂平台现状调研与业务痛点分析；确定试点园区名单。</w:t>
            </w:r>
          </w:p>
        </w:tc>
      </w:tr>
      <w:tr w14:paraId="4BE124FE">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567" w:type="dxa"/>
          </w:tcPr>
          <w:p w14:paraId="49210CCC">
            <w:pPr>
              <w:jc w:val="center"/>
            </w:pPr>
            <w:r>
              <w:rPr>
                <w:rFonts w:ascii="仿宋" w:hAnsi="仿宋" w:eastAsia="仿宋"/>
                <w:sz w:val="18"/>
              </w:rPr>
              <w:t>2</w:t>
            </w:r>
          </w:p>
        </w:tc>
        <w:tc>
          <w:tcPr>
            <w:tcW w:w="1984" w:type="dxa"/>
          </w:tcPr>
          <w:p w14:paraId="68021070">
            <w:pPr>
              <w:jc w:val="center"/>
            </w:pPr>
            <w:r>
              <w:rPr>
                <w:rFonts w:ascii="仿宋" w:hAnsi="仿宋" w:eastAsia="仿宋"/>
                <w:sz w:val="18"/>
              </w:rPr>
              <w:t>研发阶段一：资源评估与准入标准</w:t>
            </w:r>
          </w:p>
        </w:tc>
        <w:tc>
          <w:tcPr>
            <w:tcW w:w="1134" w:type="dxa"/>
          </w:tcPr>
          <w:p w14:paraId="08FDB606">
            <w:pPr>
              <w:jc w:val="center"/>
            </w:pPr>
            <w:r>
              <w:rPr>
                <w:rFonts w:ascii="仿宋" w:hAnsi="仿宋" w:eastAsia="仿宋"/>
                <w:sz w:val="18"/>
              </w:rPr>
              <w:t>2026.Q4</w:t>
            </w:r>
          </w:p>
        </w:tc>
        <w:tc>
          <w:tcPr>
            <w:tcW w:w="1020" w:type="dxa"/>
          </w:tcPr>
          <w:p w14:paraId="4E49053F">
            <w:pPr>
              <w:jc w:val="center"/>
            </w:pPr>
            <w:r>
              <w:rPr>
                <w:rFonts w:ascii="仿宋" w:hAnsi="仿宋" w:eastAsia="仿宋"/>
                <w:sz w:val="18"/>
              </w:rPr>
              <w:t>3个月</w:t>
            </w:r>
          </w:p>
        </w:tc>
        <w:tc>
          <w:tcPr>
            <w:tcW w:w="3515" w:type="dxa"/>
          </w:tcPr>
          <w:p w14:paraId="3401CDC5">
            <w:pPr>
              <w:jc w:val="left"/>
            </w:pPr>
            <w:r>
              <w:rPr>
                <w:rFonts w:ascii="仿宋" w:hAnsi="仿宋" w:eastAsia="仿宋"/>
                <w:sz w:val="18"/>
              </w:rPr>
              <w:t>研发多类型资源分级分类可调潜力评估模型；制定虚拟电厂资源准入标准与质量分级体系；开发资源普查与潜力评估平台原型。</w:t>
            </w:r>
          </w:p>
        </w:tc>
      </w:tr>
      <w:tr w14:paraId="73D77D8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567" w:type="dxa"/>
          </w:tcPr>
          <w:p w14:paraId="473ADA05">
            <w:pPr>
              <w:jc w:val="center"/>
            </w:pPr>
            <w:r>
              <w:rPr>
                <w:rFonts w:ascii="仿宋" w:hAnsi="仿宋" w:eastAsia="仿宋"/>
                <w:sz w:val="18"/>
              </w:rPr>
              <w:t>3</w:t>
            </w:r>
          </w:p>
        </w:tc>
        <w:tc>
          <w:tcPr>
            <w:tcW w:w="1984" w:type="dxa"/>
          </w:tcPr>
          <w:p w14:paraId="5D51C268">
            <w:pPr>
              <w:jc w:val="center"/>
            </w:pPr>
            <w:r>
              <w:rPr>
                <w:rFonts w:ascii="仿宋" w:hAnsi="仿宋" w:eastAsia="仿宋"/>
                <w:sz w:val="18"/>
              </w:rPr>
              <w:t>研发阶段二：多市场协同交易辅助决策</w:t>
            </w:r>
          </w:p>
        </w:tc>
        <w:tc>
          <w:tcPr>
            <w:tcW w:w="1134" w:type="dxa"/>
          </w:tcPr>
          <w:p w14:paraId="186F5375">
            <w:pPr>
              <w:jc w:val="center"/>
            </w:pPr>
            <w:r>
              <w:rPr>
                <w:rFonts w:ascii="仿宋" w:hAnsi="仿宋" w:eastAsia="仿宋"/>
                <w:sz w:val="18"/>
              </w:rPr>
              <w:t>2027.Q1</w:t>
            </w:r>
          </w:p>
        </w:tc>
        <w:tc>
          <w:tcPr>
            <w:tcW w:w="1020" w:type="dxa"/>
          </w:tcPr>
          <w:p w14:paraId="30A2D740">
            <w:pPr>
              <w:jc w:val="center"/>
            </w:pPr>
            <w:r>
              <w:rPr>
                <w:rFonts w:ascii="仿宋" w:hAnsi="仿宋" w:eastAsia="仿宋"/>
                <w:sz w:val="18"/>
              </w:rPr>
              <w:t>3个月</w:t>
            </w:r>
          </w:p>
        </w:tc>
        <w:tc>
          <w:tcPr>
            <w:tcW w:w="3515" w:type="dxa"/>
          </w:tcPr>
          <w:p w14:paraId="0B8BC2BB">
            <w:pPr>
              <w:jc w:val="left"/>
            </w:pPr>
            <w:r>
              <w:rPr>
                <w:rFonts w:ascii="仿宋" w:hAnsi="仿宋" w:eastAsia="仿宋"/>
                <w:sz w:val="18"/>
              </w:rPr>
              <w:t>研发现货市场、辅助服务市场、需求响应联合报价AI辅助决策模型；完成多市场交易仿真环境搭建；在仿真环境下验证报价策略有效性。</w:t>
            </w:r>
          </w:p>
        </w:tc>
      </w:tr>
      <w:tr w14:paraId="5AD96868">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567" w:type="dxa"/>
          </w:tcPr>
          <w:p w14:paraId="62FBAAC6">
            <w:pPr>
              <w:jc w:val="center"/>
            </w:pPr>
            <w:r>
              <w:rPr>
                <w:rFonts w:ascii="仿宋" w:hAnsi="仿宋" w:eastAsia="仿宋"/>
                <w:sz w:val="18"/>
              </w:rPr>
              <w:t>4</w:t>
            </w:r>
          </w:p>
        </w:tc>
        <w:tc>
          <w:tcPr>
            <w:tcW w:w="1984" w:type="dxa"/>
          </w:tcPr>
          <w:p w14:paraId="772BDCD6">
            <w:pPr>
              <w:jc w:val="center"/>
            </w:pPr>
            <w:r>
              <w:rPr>
                <w:rFonts w:ascii="仿宋" w:hAnsi="仿宋" w:eastAsia="仿宋"/>
                <w:sz w:val="18"/>
              </w:rPr>
              <w:t>研发阶段三：双通道协同调控平台</w:t>
            </w:r>
          </w:p>
        </w:tc>
        <w:tc>
          <w:tcPr>
            <w:tcW w:w="1134" w:type="dxa"/>
          </w:tcPr>
          <w:p w14:paraId="728A04C9">
            <w:pPr>
              <w:jc w:val="center"/>
            </w:pPr>
            <w:r>
              <w:rPr>
                <w:rFonts w:ascii="仿宋" w:hAnsi="仿宋" w:eastAsia="仿宋"/>
                <w:sz w:val="18"/>
              </w:rPr>
              <w:t>2027.Q2</w:t>
            </w:r>
          </w:p>
        </w:tc>
        <w:tc>
          <w:tcPr>
            <w:tcW w:w="1020" w:type="dxa"/>
          </w:tcPr>
          <w:p w14:paraId="2EF74C98">
            <w:pPr>
              <w:jc w:val="center"/>
            </w:pPr>
            <w:r>
              <w:rPr>
                <w:rFonts w:ascii="仿宋" w:hAnsi="仿宋" w:eastAsia="仿宋"/>
                <w:sz w:val="18"/>
              </w:rPr>
              <w:t>3个月</w:t>
            </w:r>
          </w:p>
        </w:tc>
        <w:tc>
          <w:tcPr>
            <w:tcW w:w="3515" w:type="dxa"/>
          </w:tcPr>
          <w:p w14:paraId="02706079">
            <w:pPr>
              <w:jc w:val="left"/>
            </w:pPr>
            <w:r>
              <w:rPr>
                <w:rFonts w:ascii="仿宋" w:hAnsi="仿宋" w:eastAsia="仿宋"/>
                <w:sz w:val="18"/>
              </w:rPr>
              <w:t>研发直控+邀约双通道协同调控平台；完成AGC/API直控通道对接与邀约通道微信小程序开发；在黔能三安园区开展调控功能闭环验证。</w:t>
            </w:r>
          </w:p>
        </w:tc>
      </w:tr>
      <w:tr w14:paraId="2CFFFC0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rPr>
          <w:jc w:val="center"/>
        </w:trPr>
        <w:tc>
          <w:tcPr>
            <w:tcW w:w="567" w:type="dxa"/>
          </w:tcPr>
          <w:p w14:paraId="0C845275">
            <w:pPr>
              <w:jc w:val="center"/>
            </w:pPr>
            <w:r>
              <w:rPr>
                <w:rFonts w:ascii="仿宋" w:hAnsi="仿宋" w:eastAsia="仿宋"/>
                <w:sz w:val="18"/>
              </w:rPr>
              <w:t>5</w:t>
            </w:r>
          </w:p>
        </w:tc>
        <w:tc>
          <w:tcPr>
            <w:tcW w:w="1984" w:type="dxa"/>
          </w:tcPr>
          <w:p w14:paraId="0CF1679D">
            <w:pPr>
              <w:jc w:val="center"/>
            </w:pPr>
            <w:r>
              <w:rPr>
                <w:rFonts w:ascii="仿宋" w:hAnsi="仿宋" w:eastAsia="仿宋"/>
                <w:sz w:val="18"/>
              </w:rPr>
              <w:t>试点验证：全流程业务场景跑通</w:t>
            </w:r>
          </w:p>
        </w:tc>
        <w:tc>
          <w:tcPr>
            <w:tcW w:w="1134" w:type="dxa"/>
          </w:tcPr>
          <w:p w14:paraId="7AB4E47B">
            <w:pPr>
              <w:jc w:val="center"/>
            </w:pPr>
            <w:r>
              <w:rPr>
                <w:rFonts w:ascii="仿宋" w:hAnsi="仿宋" w:eastAsia="仿宋"/>
                <w:sz w:val="18"/>
              </w:rPr>
              <w:t>2027.Q3</w:t>
            </w:r>
          </w:p>
        </w:tc>
        <w:tc>
          <w:tcPr>
            <w:tcW w:w="1020" w:type="dxa"/>
          </w:tcPr>
          <w:p w14:paraId="343F5ED6">
            <w:pPr>
              <w:jc w:val="center"/>
            </w:pPr>
            <w:r>
              <w:rPr>
                <w:rFonts w:ascii="仿宋" w:hAnsi="仿宋" w:eastAsia="仿宋"/>
                <w:sz w:val="18"/>
              </w:rPr>
              <w:t>3个月</w:t>
            </w:r>
          </w:p>
        </w:tc>
        <w:tc>
          <w:tcPr>
            <w:tcW w:w="3515" w:type="dxa"/>
          </w:tcPr>
          <w:p w14:paraId="3A24B7E4">
            <w:pPr>
              <w:jc w:val="left"/>
            </w:pPr>
            <w:r>
              <w:rPr>
                <w:rFonts w:ascii="仿宋" w:hAnsi="仿宋" w:eastAsia="仿宋"/>
                <w:sz w:val="18"/>
              </w:rPr>
              <w:t>在贵州选取不少于2个高载能工业园区开展全流程试点验证；完成不低于5000千瓦可调负荷的常态化调控；形成可复制的商业模式与运营标准。</w:t>
            </w:r>
          </w:p>
        </w:tc>
      </w:tr>
    </w:tbl>
    <w:p w14:paraId="06042A39">
      <w:pPr>
        <w:jc w:val="center"/>
      </w:pPr>
      <w:r>
        <w:drawing>
          <wp:inline distT="0" distB="0" distL="114300" distR="114300">
            <wp:extent cx="5029200" cy="25031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503543"/>
                    </a:xfrm>
                    <a:prstGeom prst="rect">
                      <a:avLst/>
                    </a:prstGeom>
                  </pic:spPr>
                </pic:pic>
              </a:graphicData>
            </a:graphic>
          </wp:inline>
        </w:drawing>
      </w:r>
    </w:p>
    <w:p w14:paraId="3E02C894">
      <w:pPr>
        <w:jc w:val="center"/>
      </w:pPr>
      <w:r>
        <w:rPr>
          <w:rFonts w:ascii="宋体" w:hAnsi="宋体" w:eastAsia="宋体"/>
          <w:color w:val="666666"/>
          <w:sz w:val="18"/>
        </w:rPr>
        <w:t>图5-1  虚拟电厂“多时空尺度智能协同运营”项目实施计划甘特图（15个月）</w:t>
      </w:r>
    </w:p>
    <w:p w14:paraId="6FD4200A">
      <w:r>
        <w:br w:type="page"/>
      </w:r>
    </w:p>
    <w:p w14:paraId="79B8C012">
      <w:pPr>
        <w:spacing w:before="320" w:after="160" w:line="520" w:lineRule="exact"/>
      </w:pPr>
      <w:r>
        <w:rPr>
          <w:rFonts w:ascii="黑体" w:hAnsi="黑体" w:eastAsia="黑体"/>
          <w:b/>
          <w:sz w:val="32"/>
        </w:rPr>
        <w:t>六、待协调事项</w:t>
      </w:r>
    </w:p>
    <w:p w14:paraId="30FC9B07">
      <w:pPr>
        <w:spacing w:after="120" w:line="440" w:lineRule="exact"/>
        <w:ind w:firstLine="480"/>
      </w:pPr>
      <w:r>
        <w:rPr>
          <w:rFonts w:ascii="仿宋" w:hAnsi="仿宋" w:eastAsia="仿宋"/>
          <w:sz w:val="24"/>
        </w:rPr>
        <w:t>为确保项目顺利推进和实施，以下事项需在项目启动前期重点协调落实：</w:t>
      </w:r>
    </w:p>
    <w:p w14:paraId="51784274">
      <w:pPr>
        <w:spacing w:before="240" w:after="160" w:line="520" w:lineRule="exact"/>
      </w:pPr>
      <w:r>
        <w:rPr>
          <w:rFonts w:ascii="楷体" w:hAnsi="楷体" w:eastAsia="楷体"/>
          <w:b/>
          <w:sz w:val="26"/>
        </w:rPr>
        <w:t>事项一：贵州省电力交易中心虚拟电厂准入与结算规则细则</w:t>
      </w:r>
    </w:p>
    <w:p w14:paraId="355DE93E">
      <w:pPr>
        <w:spacing w:after="120" w:line="440" w:lineRule="exact"/>
        <w:ind w:firstLine="480"/>
      </w:pPr>
      <w:r>
        <w:rPr>
          <w:rFonts w:ascii="仿宋" w:hAnsi="仿宋" w:eastAsia="仿宋"/>
          <w:sz w:val="24"/>
        </w:rPr>
        <w:t>当前贵州省虚拟电厂参与现货市场的准入条件、结算规则、收益分配指引尚未出台细则，导致项目商业化运营路径存在政策不确定性。需协调</w:t>
      </w:r>
      <w:bookmarkStart w:id="0" w:name="_GoBack"/>
      <w:bookmarkEnd w:id="0"/>
      <w:r>
        <w:rPr>
          <w:rFonts w:ascii="仿宋" w:hAnsi="仿宋" w:eastAsia="仿宋"/>
          <w:sz w:val="24"/>
        </w:rPr>
        <w:t>省交易中心加快制定虚拟电厂入市细则，明确“聚合商注册-资源准入-交易结算-收益分配”全链路规则。</w:t>
      </w:r>
    </w:p>
    <w:p w14:paraId="4C24A733">
      <w:pPr>
        <w:spacing w:before="240" w:after="160" w:line="520" w:lineRule="exact"/>
      </w:pPr>
      <w:r>
        <w:rPr>
          <w:rFonts w:ascii="楷体" w:hAnsi="楷体" w:eastAsia="楷体"/>
          <w:b/>
          <w:sz w:val="26"/>
        </w:rPr>
        <w:t>事项</w:t>
      </w:r>
      <w:r>
        <w:rPr>
          <w:rFonts w:hint="eastAsia" w:ascii="楷体" w:hAnsi="楷体" w:eastAsia="楷体"/>
          <w:b/>
          <w:sz w:val="26"/>
          <w:lang w:val="en-US" w:eastAsia="zh-CN"/>
        </w:rPr>
        <w:t>二</w:t>
      </w:r>
      <w:r>
        <w:rPr>
          <w:rFonts w:ascii="楷体" w:hAnsi="楷体" w:eastAsia="楷体"/>
          <w:b/>
          <w:sz w:val="26"/>
        </w:rPr>
        <w:t>：试点园区业主单位的内部决策与配合机制</w:t>
      </w:r>
    </w:p>
    <w:p w14:paraId="538DD04D">
      <w:pPr>
        <w:spacing w:after="120" w:line="440" w:lineRule="exact"/>
        <w:ind w:firstLine="480"/>
      </w:pPr>
      <w:r>
        <w:rPr>
          <w:rFonts w:ascii="仿宋" w:hAnsi="仿宋" w:eastAsia="仿宋"/>
          <w:sz w:val="24"/>
        </w:rPr>
        <w:t>黔能公司、贵州矿能集团有限公司等试点园区业主单位，需要完成内部决策程序，同意园区内可调节负荷参与虚拟电厂调控试点。需协调各市州供电局协助对接园区业主，建立“电网方-聚合商-园区业主”三方协调推进机制。</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B611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2080</Words>
  <Characters>2112</Characters>
  <Lines>0</Lines>
  <Paragraphs>0</Paragraphs>
  <TotalTime>2</TotalTime>
  <ScaleCrop>false</ScaleCrop>
  <LinksUpToDate>false</LinksUpToDate>
  <CharactersWithSpaces>2117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2026-06-06T04:13:42Z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eyJoZGlkIjoiMTRlZjg3NWJmZDZhNzM3NjRjZTVkNWM3ZjdjZGZmZjYiLCJ1c2VySWQiOiIzMTExNzM5OTAifQ==</vt:lpwstr>
  </property>
  <property fmtid="{D5CDD505-2E9C-101B-9397-08002B2CF9AE}" pid="3" name="KSOProductBuildVer">
    <vt:lpwstr>2052-12.1.0.26375</vt:lpwstr>
  </property>
  <property fmtid="{D5CDD505-2E9C-101B-9397-08002B2CF9AE}" pid="4" name="ICV">
    <vt:lpwstr>30F721A5815A4D1A92E95B3305134734_12</vt:lpwstr>
  </property>
</Properties>
</file>