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440" w:lineRule="exact"/>
      </w:pPr>
      <w:r>
        <w:rPr>
          <w:rFonts w:ascii="FangSong" w:hAnsi="FangSong" w:eastAsia="FangSong"/>
          <w:sz w:val="12"/>
        </w:rPr>
      </w:r>
    </w:p>
    <w:p>
      <w:pPr>
        <w:spacing w:after="120" w:line="440" w:lineRule="exact"/>
        <w:jc w:val="center"/>
      </w:pPr>
      <w:r>
        <w:rPr>
          <w:rFonts w:ascii="SimHei" w:hAnsi="SimHei" w:eastAsia="SimHei"/>
          <w:b/>
          <w:sz w:val="44"/>
        </w:rPr>
        <w:t>国家能源局“人工智能+”能源高价值场景</w:t>
      </w:r>
    </w:p>
    <w:p>
      <w:pPr>
        <w:spacing w:after="120" w:line="440" w:lineRule="exact"/>
      </w:pPr>
      <w:r>
        <w:rPr>
          <w:rFonts w:ascii="FangSong" w:hAnsi="FangSong" w:eastAsia="FangSong"/>
          <w:sz w:val="20"/>
        </w:rPr>
      </w:r>
    </w:p>
    <w:p>
      <w:pPr>
        <w:spacing w:after="120" w:line="440" w:lineRule="exact"/>
        <w:jc w:val="center"/>
      </w:pPr>
      <w:r>
        <w:rPr>
          <w:rFonts w:ascii="KaiTi" w:hAnsi="KaiTi" w:eastAsia="KaiTi"/>
          <w:b/>
          <w:sz w:val="36"/>
        </w:rPr>
        <w:t>试点建设方案</w:t>
      </w:r>
    </w:p>
    <w:p>
      <w:pPr>
        <w:spacing w:after="120" w:line="440" w:lineRule="exact"/>
      </w:pPr>
      <w:r>
        <w:rPr>
          <w:rFonts w:ascii="FangSong" w:hAnsi="FangSong" w:eastAsia="FangSong"/>
          <w:sz w:val="20"/>
        </w:rPr>
      </w:r>
    </w:p>
    <w:p>
      <w:pPr>
        <w:spacing w:after="120" w:line="440" w:lineRule="exact"/>
        <w:jc w:val="center"/>
      </w:pPr>
      <w:r>
        <w:rPr>
          <w:rFonts w:ascii="FangSong" w:hAnsi="FangSong" w:eastAsia="FangSong"/>
          <w:b/>
          <w:sz w:val="28"/>
        </w:rPr>
        <w:t>场景名称：虚拟电厂多时空尺度智能协同运营</w:t>
      </w:r>
    </w:p>
    <w:p>
      <w:pPr>
        <w:spacing w:after="120" w:line="440" w:lineRule="exact"/>
      </w:pPr>
      <w:r>
        <w:rPr>
          <w:rFonts w:ascii="FangSong" w:hAnsi="FangSong" w:eastAsia="FangSong"/>
          <w:sz w:val="20"/>
        </w:rPr>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Pr>
      <w:tblGrid>
        <w:gridCol w:w="4150"/>
        <w:gridCol w:w="4150"/>
      </w:tblGrid>
      <w:tr>
        <w:tc>
          <w:tcPr>
            <w:tcW w:type="dxa" w:w="1984"/>
            <w:shd w:fill="E8EAF6" w:val="clear"/>
          </w:tcPr>
          <w:p>
            <w:pPr>
              <w:jc w:val="center"/>
            </w:pPr>
            <w:r>
              <w:rPr>
                <w:rFonts w:ascii="SimHei" w:hAnsi="SimHei" w:eastAsia="SimHei"/>
                <w:b/>
                <w:sz w:val="24"/>
              </w:rPr>
              <w:t>申报单位</w:t>
            </w:r>
          </w:p>
        </w:tc>
        <w:tc>
          <w:tcPr>
            <w:tcW w:type="dxa" w:w="6236"/>
          </w:tcPr>
          <w:p>
            <w:pPr>
              <w:jc w:val="center"/>
            </w:pPr>
            <w:r>
              <w:rPr>
                <w:rFonts w:ascii="FangSong" w:hAnsi="FangSong" w:eastAsia="FangSong"/>
                <w:sz w:val="22"/>
              </w:rPr>
              <w:t>（待填写）</w:t>
            </w:r>
          </w:p>
        </w:tc>
      </w:tr>
      <w:tr>
        <w:tc>
          <w:tcPr>
            <w:tcW w:type="dxa" w:w="1984"/>
            <w:shd w:fill="E8EAF6" w:val="clear"/>
          </w:tcPr>
          <w:p>
            <w:pPr>
              <w:jc w:val="center"/>
            </w:pPr>
            <w:r>
              <w:rPr>
                <w:rFonts w:ascii="SimHei" w:hAnsi="SimHei" w:eastAsia="SimHei"/>
                <w:b/>
                <w:sz w:val="24"/>
              </w:rPr>
              <w:t>联合申报单位</w:t>
            </w:r>
          </w:p>
        </w:tc>
        <w:tc>
          <w:tcPr>
            <w:tcW w:type="dxa" w:w="6236"/>
          </w:tcPr>
          <w:p>
            <w:pPr>
              <w:jc w:val="center"/>
            </w:pPr>
            <w:r>
              <w:rPr>
                <w:rFonts w:ascii="FangSong" w:hAnsi="FangSong" w:eastAsia="FangSong"/>
                <w:sz w:val="22"/>
              </w:rPr>
              <w:t>贵州电网有限责任公司、朗新科技集团股份有限公司</w:t>
              <w:br/>
              <w:t>贵州矿能集团有限公司、贵州国能科技有限公司</w:t>
              <w:br/>
              <w:t>黔能三安新能源科技有限公司、贵州大学</w:t>
              <w:br/>
              <w:t>贵安新区管理委员会</w:t>
            </w:r>
          </w:p>
        </w:tc>
      </w:tr>
      <w:tr>
        <w:tc>
          <w:tcPr>
            <w:tcW w:type="dxa" w:w="1984"/>
            <w:shd w:fill="E8EAF6" w:val="clear"/>
          </w:tcPr>
          <w:p>
            <w:pPr>
              <w:jc w:val="center"/>
            </w:pPr>
            <w:r>
              <w:rPr>
                <w:rFonts w:ascii="SimHei" w:hAnsi="SimHei" w:eastAsia="SimHei"/>
                <w:b/>
                <w:sz w:val="24"/>
              </w:rPr>
              <w:t>项目负责人</w:t>
            </w:r>
          </w:p>
        </w:tc>
        <w:tc>
          <w:tcPr>
            <w:tcW w:type="dxa" w:w="6236"/>
          </w:tcPr>
          <w:p>
            <w:pPr>
              <w:jc w:val="center"/>
            </w:pPr>
            <w:r>
              <w:rPr>
                <w:rFonts w:ascii="FangSong" w:hAnsi="FangSong" w:eastAsia="FangSong"/>
                <w:sz w:val="22"/>
              </w:rPr>
              <w:t>（待填写）</w:t>
            </w:r>
          </w:p>
        </w:tc>
      </w:tr>
      <w:tr>
        <w:tc>
          <w:tcPr>
            <w:tcW w:type="dxa" w:w="1984"/>
            <w:shd w:fill="E8EAF6" w:val="clear"/>
          </w:tcPr>
          <w:p>
            <w:pPr>
              <w:jc w:val="center"/>
            </w:pPr>
            <w:r>
              <w:rPr>
                <w:rFonts w:ascii="SimHei" w:hAnsi="SimHei" w:eastAsia="SimHei"/>
                <w:b/>
                <w:sz w:val="24"/>
              </w:rPr>
              <w:t>联系方式</w:t>
            </w:r>
          </w:p>
        </w:tc>
        <w:tc>
          <w:tcPr>
            <w:tcW w:type="dxa" w:w="6236"/>
          </w:tcPr>
          <w:p>
            <w:pPr>
              <w:jc w:val="center"/>
            </w:pPr>
            <w:r>
              <w:rPr>
                <w:rFonts w:ascii="FangSong" w:hAnsi="FangSong" w:eastAsia="FangSong"/>
                <w:sz w:val="22"/>
              </w:rPr>
              <w:t>（待填写）</w:t>
            </w:r>
          </w:p>
        </w:tc>
      </w:tr>
      <w:tr>
        <w:tc>
          <w:tcPr>
            <w:tcW w:type="dxa" w:w="1984"/>
            <w:shd w:fill="E8EAF6" w:val="clear"/>
          </w:tcPr>
          <w:p>
            <w:pPr>
              <w:jc w:val="center"/>
            </w:pPr>
            <w:r>
              <w:rPr>
                <w:rFonts w:ascii="SimHei" w:hAnsi="SimHei" w:eastAsia="SimHei"/>
                <w:b/>
                <w:sz w:val="24"/>
              </w:rPr>
              <w:t>申报日期</w:t>
            </w:r>
          </w:p>
        </w:tc>
        <w:tc>
          <w:tcPr>
            <w:tcW w:type="dxa" w:w="6236"/>
          </w:tcPr>
          <w:p>
            <w:pPr>
              <w:jc w:val="center"/>
            </w:pPr>
            <w:r>
              <w:rPr>
                <w:rFonts w:ascii="FangSong" w:hAnsi="FangSong" w:eastAsia="FangSong"/>
                <w:sz w:val="22"/>
              </w:rPr>
              <w:t>2026年6月</w:t>
            </w:r>
          </w:p>
        </w:tc>
      </w:tr>
    </w:tbl>
    <w:p>
      <w:r>
        <w:br w:type="page"/>
      </w:r>
    </w:p>
    <w:p>
      <w:pPr>
        <w:spacing w:before="320" w:after="160" w:line="520" w:lineRule="exact"/>
      </w:pPr>
      <w:r>
        <w:rPr>
          <w:rFonts w:ascii="SimHei" w:hAnsi="SimHei" w:eastAsia="SimHei"/>
          <w:b/>
          <w:sz w:val="32"/>
        </w:rPr>
        <w:t>一、项目背景与意义</w:t>
      </w:r>
    </w:p>
    <w:p>
      <w:pPr>
        <w:spacing w:before="240" w:after="160" w:line="520" w:lineRule="exact"/>
      </w:pPr>
      <w:r>
        <w:rPr>
          <w:rFonts w:ascii="KaiTi" w:hAnsi="KaiTi" w:eastAsia="KaiTi"/>
          <w:b/>
          <w:sz w:val="30"/>
        </w:rPr>
        <w:t>（一）行业背景与政策环境</w:t>
      </w:r>
    </w:p>
    <w:p>
      <w:pPr>
        <w:spacing w:after="120" w:line="440" w:lineRule="exact"/>
        <w:ind w:firstLine="480"/>
      </w:pPr>
      <w:r>
        <w:rPr>
          <w:rFonts w:ascii="FangSong" w:hAnsi="FangSong" w:eastAsia="FangSong"/>
          <w:sz w:val="24"/>
        </w:rPr>
        <w:t>当前，我国能源体系正经历以“清洁化、数字化、智能化”为核心特征的深度变革。随着“双碳”战略深入推进，新能源装机快速增长——截至2026年初，全国风电、光伏装机已突破14亿千瓦，新能源发电占比持续攀升，其出力波动性与间歇性使电力系统灵活调节能力面临巨大挑战。虚拟电厂（VPP）作为聚合分布式能源资源、参与电网协同调控的新型市场主体，已被纳入国家新型电力系统建设重点方向，国家明确2027年调节能力突破2000万千瓦、2030年达5000万千瓦的目标。国家能源局启动“人工智能+”能源高价值场景建设，将虚拟电厂明确列为重点培育场景，为虚拟电厂的智能化升级提供了战略指引。</w:t>
      </w:r>
    </w:p>
    <w:p>
      <w:pPr>
        <w:spacing w:after="120" w:line="440" w:lineRule="exact"/>
        <w:ind w:firstLine="480"/>
      </w:pPr>
      <w:r>
        <w:rPr>
          <w:rFonts w:ascii="FangSong" w:hAnsi="FangSong" w:eastAsia="FangSong"/>
          <w:sz w:val="24"/>
        </w:rPr>
        <w:t>贵州省作为国家“西电东送”工程的重要能源枢纽，全省水电可开发量约2300万千瓦、光伏装机超2000万千瓦，同时拥有电解铝、磷化工、铁合金、数据中心等高载能产业园区，具备构建大规模虚拟电厂的独特资源禀赋，聚合潜力超500万千瓦。贵州省能源发展规划已将虚拟电厂纳入新型电力系统建设重点工程，省发改委印发虚拟电厂建设管理工作方案（试行），为虚拟电厂的市场化运营提供了基础制度框架。此外，贵州作为全国首个国家大数据综合试验区，在数据中心算力基础设施和数据治理能力方面具有先发优势，为“算电协同”这一前沿场景奠定了基础。</w:t>
      </w:r>
    </w:p>
    <w:p>
      <w:pPr>
        <w:spacing w:after="120" w:line="440" w:lineRule="exact"/>
        <w:ind w:firstLine="480"/>
      </w:pPr>
      <w:r>
        <w:rPr>
          <w:rFonts w:ascii="FangSong" w:hAnsi="FangSong" w:eastAsia="FangSong"/>
          <w:sz w:val="24"/>
        </w:rPr>
        <w:t>从人工智能赋能趋势看，电力系统正从“经验调度”向“数据+AI双驱动”转型，2026年被业界定义为虚拟电厂“AI实战元年”。大语言模型、多智能体强化学习、时序预测等技术的快速成熟，正推动虚拟电厂AI从“辅助决策”向“自主交易”升级——AI不再只是帮助分析数据，而是直接参与电力现货市场的实时报价、策略生成与风险对冲。在此背景下，贵州亟需通过本项目打通“技术可行→商业可用→规模可复制”的完整链路，抢占AI+虚拟电厂融合发展的先发优势。</w:t>
      </w:r>
    </w:p>
    <w:p>
      <w:pPr>
        <w:spacing w:before="240" w:after="160" w:line="520" w:lineRule="exact"/>
      </w:pPr>
      <w:r>
        <w:rPr>
          <w:rFonts w:ascii="KaiTi" w:hAnsi="KaiTi" w:eastAsia="KaiTi"/>
          <w:b/>
          <w:sz w:val="30"/>
        </w:rPr>
        <w:t>（二）问题分析与需求痛点</w:t>
      </w:r>
    </w:p>
    <w:p>
      <w:pPr>
        <w:spacing w:after="120" w:line="440" w:lineRule="exact"/>
        <w:ind w:firstLine="480"/>
      </w:pPr>
      <w:r>
        <w:rPr>
          <w:rFonts w:ascii="FangSong" w:hAnsi="FangSong" w:eastAsia="FangSong"/>
          <w:sz w:val="24"/>
        </w:rPr>
        <w:t>贵州虚拟电厂的发展在实践中面临“看得见聚不起来、聚起来调不精准、调得动赚不到钱”的现实困境，具体表现为四个层面的突出问题：</w:t>
      </w:r>
    </w:p>
    <w:p>
      <w:pPr>
        <w:spacing w:before="240" w:after="160" w:line="520" w:lineRule="exact"/>
      </w:pPr>
      <w:r>
        <w:rPr>
          <w:rFonts w:ascii="KaiTi" w:hAnsi="KaiTi" w:eastAsia="KaiTi"/>
          <w:b/>
          <w:sz w:val="26"/>
        </w:rPr>
        <w:t>资源认知层面——可调潜力“看不清”</w:t>
      </w:r>
    </w:p>
    <w:p>
      <w:pPr>
        <w:spacing w:after="120" w:line="440" w:lineRule="exact"/>
        <w:ind w:firstLine="480"/>
      </w:pPr>
      <w:r>
        <w:rPr>
          <w:rFonts w:ascii="FangSong" w:hAnsi="FangSong" w:eastAsia="FangSong"/>
          <w:sz w:val="24"/>
        </w:rPr>
        <w:t>贵州电网辖区内分布式资源种类繁多（工业负荷、小水电、分布式光伏、储能、充电桩等），各类资源的运行特性、工艺约束、市场参与意愿差异巨大，当前缺乏系统化的资源普查与可调潜力评估方法，导致“资源底数不清、调节能力不明”，无法形成高质量的规模化可调节资源池。</w:t>
      </w:r>
    </w:p>
    <w:p>
      <w:pPr>
        <w:spacing w:before="240" w:after="160" w:line="520" w:lineRule="exact"/>
      </w:pPr>
      <w:r>
        <w:rPr>
          <w:rFonts w:ascii="KaiTi" w:hAnsi="KaiTi" w:eastAsia="KaiTi"/>
          <w:b/>
          <w:sz w:val="26"/>
        </w:rPr>
        <w:t>聚合运营层面——多市场协同“算不准”</w:t>
      </w:r>
    </w:p>
    <w:p>
      <w:pPr>
        <w:spacing w:after="120" w:line="440" w:lineRule="exact"/>
        <w:ind w:firstLine="480"/>
      </w:pPr>
      <w:r>
        <w:rPr>
          <w:rFonts w:ascii="FangSong" w:hAnsi="FangSong" w:eastAsia="FangSong"/>
          <w:sz w:val="24"/>
        </w:rPr>
        <w:t>虚拟电厂需要同时参与现货市场、辅助服务市场、需求响应、绿电绿证交易、碳市场等多个交易品种，各市场的价格信号、时间尺度、结算规则相互耦合，人工决策难以在短时间内完成多市场联合优化报价，导致“有资源参与不了、参与了收益不高”，聚合商和用户的积极性难以持续。</w:t>
      </w:r>
    </w:p>
    <w:p>
      <w:pPr>
        <w:spacing w:before="240" w:after="160" w:line="520" w:lineRule="exact"/>
      </w:pPr>
      <w:r>
        <w:rPr>
          <w:rFonts w:ascii="KaiTi" w:hAnsi="KaiTi" w:eastAsia="KaiTi"/>
          <w:b/>
          <w:sz w:val="26"/>
        </w:rPr>
        <w:t>协同调控层面——海量资源“调不精”</w:t>
      </w:r>
    </w:p>
    <w:p>
      <w:pPr>
        <w:spacing w:after="120" w:line="440" w:lineRule="exact"/>
        <w:ind w:firstLine="480"/>
      </w:pPr>
      <w:r>
        <w:rPr>
          <w:rFonts w:ascii="FangSong" w:hAnsi="FangSong" w:eastAsia="FangSong"/>
          <w:sz w:val="24"/>
        </w:rPr>
        <w:t>当聚合资源达到数万级别、调控时间窗口压缩至分钟级时，传统集中式优化算法面临维度爆炸，指令分解与执行反馈链路长、误差积累大，难以满足现货市场出清和实时调控的精度要求，制约了虚拟电厂从“邀约型响应”向“常态化运营”的跨越。</w:t>
      </w:r>
    </w:p>
    <w:p>
      <w:pPr>
        <w:spacing w:before="240" w:after="160" w:line="520" w:lineRule="exact"/>
      </w:pPr>
      <w:r>
        <w:rPr>
          <w:rFonts w:ascii="KaiTi" w:hAnsi="KaiTi" w:eastAsia="KaiTi"/>
          <w:b/>
          <w:sz w:val="26"/>
        </w:rPr>
        <w:t>商业闭环层面——运营模式“转不动”</w:t>
      </w:r>
    </w:p>
    <w:p>
      <w:pPr>
        <w:spacing w:after="120" w:line="440" w:lineRule="exact"/>
        <w:ind w:firstLine="480"/>
      </w:pPr>
      <w:r>
        <w:rPr>
          <w:rFonts w:ascii="FangSong" w:hAnsi="FangSong" w:eastAsia="FangSong"/>
          <w:sz w:val="24"/>
        </w:rPr>
        <w:t>目前贵州虚拟电厂整体处于“政策驱动、试点为主”的阶段，缺乏可持续的商业运营模式和收益分配机制。资源聚合商参与意愿不足、终端用户获得感不强，导致虚拟电厂的规模化推广缺乏内生动力，未能形成“用户获益-聚合商盈利-电网受益”的正向循环。更关键的是，贵州尚未打通V2G、算电协同、绿色价值变现等高价值业务场景，停留在传统需求响应的低附加值阶段。</w:t>
      </w:r>
    </w:p>
    <w:p>
      <w:pPr>
        <w:jc w:val="center"/>
      </w:pPr>
      <w:r>
        <w:drawing>
          <wp:inline xmlns:a="http://schemas.openxmlformats.org/drawingml/2006/main" xmlns:pic="http://schemas.openxmlformats.org/drawingml/2006/picture">
            <wp:extent cx="5029200" cy="3358370"/>
            <wp:docPr id="1" name="Picture 1"/>
            <wp:cNvGraphicFramePr>
              <a:graphicFrameLocks noChangeAspect="1"/>
            </wp:cNvGraphicFramePr>
            <a:graphic>
              <a:graphicData uri="http://schemas.openxmlformats.org/drawingml/2006/picture">
                <pic:pic>
                  <pic:nvPicPr>
                    <pic:cNvPr id="0" name="fig_vpp_arch.png"/>
                    <pic:cNvPicPr/>
                  </pic:nvPicPr>
                  <pic:blipFill>
                    <a:blip r:embed="rId9"/>
                    <a:stretch>
                      <a:fillRect/>
                    </a:stretch>
                  </pic:blipFill>
                  <pic:spPr>
                    <a:xfrm>
                      <a:off x="0" y="0"/>
                      <a:ext cx="5029200" cy="3358370"/>
                    </a:xfrm>
                    <a:prstGeom prst="rect"/>
                  </pic:spPr>
                </pic:pic>
              </a:graphicData>
            </a:graphic>
          </wp:inline>
        </w:drawing>
      </w:r>
    </w:p>
    <w:p>
      <w:pPr>
        <w:jc w:val="center"/>
      </w:pPr>
      <w:r>
        <w:rPr>
          <w:rFonts w:ascii="SimSun" w:hAnsi="SimSun" w:eastAsia="SimSun"/>
          <w:color w:val="666666"/>
          <w:sz w:val="18"/>
        </w:rPr>
        <w:t>图1-1  虚拟电厂“多时空尺度智能协同运营”业务架构</w:t>
      </w:r>
    </w:p>
    <w:p>
      <w:pPr>
        <w:spacing w:before="240" w:after="160" w:line="520" w:lineRule="exact"/>
      </w:pPr>
      <w:r>
        <w:rPr>
          <w:rFonts w:ascii="KaiTi" w:hAnsi="KaiTi" w:eastAsia="KaiTi"/>
          <w:b/>
          <w:sz w:val="30"/>
        </w:rPr>
        <w:t>（三）项目建设的必要性与意义</w:t>
      </w:r>
    </w:p>
    <w:p>
      <w:pPr>
        <w:spacing w:after="120" w:line="440" w:lineRule="exact"/>
        <w:ind w:firstLine="480"/>
      </w:pPr>
      <w:r>
        <w:rPr>
          <w:rFonts w:ascii="FangSong" w:hAnsi="FangSong" w:eastAsia="FangSong"/>
          <w:sz w:val="24"/>
        </w:rPr>
        <w:t>贵州电网作为南方电网西电东送的南部通道枢纽，承担着大规模清洁能源外送和省内负荷平衡的双重责任。一方面，贵州新能源装机快速增长，出力波动对电网安全运行构成挑战，亟需通过虚拟电厂聚合灵活负荷资源，提升系统灵活调节能力，保障清洁能源消纳；另一方面，贵州电解铝、磷化工、数据中心等高载能产业是全省经济支柱，在电力供需紧张时期，这些产业因刚性限电面临巨大经济损失，亟需通过虚拟电厂的柔性调控手段实现“削峰不减产”。更为重要的是，随着全国电力现货市场加速推进、碳市场行业扩围、V2G技术商业化落地，虚拟电厂正从“调峰工具”向“能源互联网核心价值节点”演进，贵州若不在未来三年内抢占这一战略先机，将面临“资源流失、场景滞后”的风险。</w:t>
      </w:r>
    </w:p>
    <w:p>
      <w:pPr>
        <w:spacing w:after="120" w:line="440" w:lineRule="exact"/>
        <w:ind w:firstLine="480"/>
      </w:pPr>
      <w:r>
        <w:rPr>
          <w:rFonts w:ascii="FangSong" w:hAnsi="FangSong" w:eastAsia="FangSong"/>
          <w:sz w:val="24"/>
        </w:rPr>
        <w:t>本项目的实施具有五方面重要意义：一是服务贵州电力保供大局，通过虚拟电厂聚合高载能工业园区可调资源，在供需紧张时段提供分钟级柔性调节能力，避免刚性拉闸限电；二是助力贵州清洁能源消纳，通过虚拟电厂引导负荷侧资源追踪新能源出力曲线，减少弃风弃光；三是培育贵州电力市场新型经营主体，构建“资源聚合-交易辅助-调控执行-绿色价值变现-结算分配”全链路商业运营模式，率先实现虚拟电厂从“补贴依赖”向“市场化盈利”的转型；四是抢占V2G、算电协同、电碳耦合等前沿高价值场景的先发优势，打造具有全国示范意义的“贵州模式”；五是促进贵州大数据+能源产业深度融合，发挥贵州国家大数据综合试验区的算力和数据治理优势，打造人工智能赋能能源行业的标杆场景。</w:t>
      </w:r>
    </w:p>
    <w:p>
      <w:pPr>
        <w:spacing w:before="240" w:after="160" w:line="520" w:lineRule="exact"/>
      </w:pPr>
      <w:r>
        <w:rPr>
          <w:rFonts w:ascii="KaiTi" w:hAnsi="KaiTi" w:eastAsia="KaiTi"/>
          <w:b/>
          <w:sz w:val="30"/>
        </w:rPr>
        <w:t>（四）未来三年技术及场景发展趋势（2026-2029）</w:t>
      </w:r>
    </w:p>
    <w:p>
      <w:pPr>
        <w:spacing w:after="120" w:line="440" w:lineRule="exact"/>
        <w:ind w:firstLine="480"/>
      </w:pPr>
      <w:r>
        <w:rPr>
          <w:rFonts w:ascii="FangSong" w:hAnsi="FangSong" w:eastAsia="FangSong"/>
          <w:sz w:val="24"/>
        </w:rPr>
        <w:t>2026至2029年是虚拟电厂从“试点示范”迈向“规模化商业运营”的关键窗口期。根据行业权威研究机构（中研普华、清华大学能源战略研究中心）及市场数据（全球VPP市场2026年约31.6亿美元、预计2035年突破5000亿美元），未来三年将呈现以下六大核心技术趋势与五大高价值业务场景：</w:t>
      </w:r>
    </w:p>
    <w:p>
      <w:pPr>
        <w:spacing w:before="240" w:after="160" w:line="520" w:lineRule="exact"/>
      </w:pPr>
      <w:r>
        <w:rPr>
          <w:rFonts w:ascii="KaiTi" w:hAnsi="KaiTi" w:eastAsia="KaiTi"/>
          <w:b/>
          <w:sz w:val="26"/>
        </w:rPr>
        <w:t>1. 六大核心技术趋势</w:t>
      </w:r>
    </w:p>
    <w:p>
      <w:pPr>
        <w:spacing w:before="240" w:after="160" w:line="520" w:lineRule="exact"/>
      </w:pPr>
      <w:r>
        <w:rPr>
          <w:rFonts w:ascii="FangSong" w:hAnsi="FangSong" w:eastAsia="FangSong"/>
          <w:b/>
          <w:sz w:val="24"/>
        </w:rPr>
        <w:t>趋势一：AI大模型从“辅助决策”升级为“自主交易引擎”</w:t>
      </w:r>
    </w:p>
    <w:p>
      <w:pPr>
        <w:spacing w:after="120" w:line="440" w:lineRule="exact"/>
        <w:ind w:firstLine="480"/>
      </w:pPr>
      <w:r>
        <w:rPr>
          <w:rFonts w:ascii="FangSong" w:hAnsi="FangSong" w:eastAsia="FangSong"/>
          <w:sz w:val="24"/>
        </w:rPr>
        <w:t>大语言模型（LLM）和多智能体强化学习（MARL）正深度渗透虚拟电厂的调度与交易环节。AI系统可毫秒级接入气象数据（预测光伏出力）、96点实时现货电价、用户历史行为数据，自动生成最优充放电策略，实现电力交易“低买高卖”。山西试点中，风行测控依托AI调度策略，聚合容量超220万千瓦，2025年实现结算电量超13亿千瓦时，某冶铸企业累计获红利超269万元。预计2027年，AI自主交易将在电力现货市场中成为主流调度方式，交易决策从“小时级人工判断”进化为“秒级AI自动执行”。</w:t>
      </w:r>
    </w:p>
    <w:p>
      <w:pPr>
        <w:spacing w:before="240" w:after="160" w:line="520" w:lineRule="exact"/>
      </w:pPr>
      <w:r>
        <w:rPr>
          <w:rFonts w:ascii="FangSong" w:hAnsi="FangSong" w:eastAsia="FangSong"/>
          <w:b/>
          <w:sz w:val="24"/>
        </w:rPr>
        <w:t>趋势二：边缘计算+5G实现“最后一公里”毫秒级响应</w:t>
      </w:r>
    </w:p>
    <w:p>
      <w:pPr>
        <w:spacing w:after="120" w:line="440" w:lineRule="exact"/>
        <w:ind w:firstLine="480"/>
      </w:pPr>
      <w:r>
        <w:rPr>
          <w:rFonts w:ascii="FangSong" w:hAnsi="FangSong" w:eastAsia="FangSong"/>
          <w:sz w:val="24"/>
        </w:rPr>
        <w:t>AMI 2.0（先进计量架构2.0）正成为行业标配，传统智能电表升级为边缘计算网关，可直接在边缘侧执行调度指令。配合OpenADR 3.0开放协议，空调、楼宇暖通系统、充电桩等分散终端实现“即插即用”接入，调控响应时间从分钟级压缩至毫秒级。5G+TSN（时间敏感网络）配合HPLC高速载波，支撑海量终端实时互联，彻底解决过去通讯协议不互通、响应速度慢的痛点。</w:t>
      </w:r>
    </w:p>
    <w:p>
      <w:pPr>
        <w:spacing w:before="240" w:after="160" w:line="520" w:lineRule="exact"/>
      </w:pPr>
      <w:r>
        <w:rPr>
          <w:rFonts w:ascii="FangSong" w:hAnsi="FangSong" w:eastAsia="FangSong"/>
          <w:b/>
          <w:sz w:val="24"/>
        </w:rPr>
        <w:t>趋势三：V2G车网互动从“概念验证”走向“商业化变现”</w:t>
      </w:r>
    </w:p>
    <w:p>
      <w:pPr>
        <w:spacing w:after="120" w:line="440" w:lineRule="exact"/>
        <w:ind w:firstLine="480"/>
      </w:pPr>
      <w:r>
        <w:rPr>
          <w:rFonts w:ascii="FangSong" w:hAnsi="FangSong" w:eastAsia="FangSong"/>
          <w:sz w:val="24"/>
        </w:rPr>
        <w:t>随着电动汽车保有量快速攀升（预计2027年全国将超4000万辆），数以亿计的动力电池将成为全球最大的分布式移动储能资源池。深圳虚拟电厂小镇试点中，电动车用户可在电价高峰时段向电网售电，单次放电可获约200元收益。未来三年，V2G将形成“充电桩聚合-平台调度-电力市场交易”的完整商业闭环，成为虚拟电厂聚合资源中增长最快、用户参与度最高的新场景，预计2030年V2G可调节容量将占虚拟电厂总容量的20%以上。</w:t>
      </w:r>
    </w:p>
    <w:p>
      <w:pPr>
        <w:spacing w:before="240" w:after="160" w:line="520" w:lineRule="exact"/>
      </w:pPr>
      <w:r>
        <w:rPr>
          <w:rFonts w:ascii="FangSong" w:hAnsi="FangSong" w:eastAsia="FangSong"/>
          <w:b/>
          <w:sz w:val="24"/>
        </w:rPr>
        <w:t>趋势四：算电协同——AI数据中心成为虚拟电厂新“超级负荷”</w:t>
      </w:r>
    </w:p>
    <w:p>
      <w:pPr>
        <w:spacing w:after="120" w:line="440" w:lineRule="exact"/>
        <w:ind w:firstLine="480"/>
      </w:pPr>
      <w:r>
        <w:rPr>
          <w:rFonts w:ascii="FangSong" w:hAnsi="FangSong" w:eastAsia="FangSong"/>
          <w:sz w:val="24"/>
        </w:rPr>
        <w:t>AI大模型训练和推理对算力的爆炸性需求，使数据中心成为电力系统增长最快的新负荷类型。2026年大唐发电200万千瓦级“算电协同”绿电直供项目已投运，成为行业标杆。未来三年，通过虚拟电厂聚合数据中心可中断/可转移的算力负荷参与现货市场，实现“电价低时全力运算、电价高时弹性降载”，算电协同将成为虚拟电厂最具想象力的高价值增量场景，预计可贡献超过15%的调节能力增量。</w:t>
      </w:r>
    </w:p>
    <w:p>
      <w:pPr>
        <w:spacing w:before="240" w:after="160" w:line="520" w:lineRule="exact"/>
      </w:pPr>
      <w:r>
        <w:rPr>
          <w:rFonts w:ascii="FangSong" w:hAnsi="FangSong" w:eastAsia="FangSong"/>
          <w:b/>
          <w:sz w:val="24"/>
        </w:rPr>
        <w:t>趋势五：电碳耦合与绿色价值变现——虚拟电厂激活“源网荷储碳”全链条</w:t>
      </w:r>
    </w:p>
    <w:p>
      <w:pPr>
        <w:spacing w:after="120" w:line="440" w:lineRule="exact"/>
        <w:ind w:firstLine="480"/>
      </w:pPr>
      <w:r>
        <w:rPr>
          <w:rFonts w:ascii="FangSong" w:hAnsi="FangSong" w:eastAsia="FangSong"/>
          <w:sz w:val="24"/>
        </w:rPr>
        <w:t>虚拟电厂通过提升新能源消纳比例，帮助用户获取绿证与碳减排收益，形成“绿电交易+绿证开发+碳资产变现”的绿色价值变现通道。部分头部企业已完成“双绿证”布局（国际绿证超300万张+中国绿证超1万张），实现每度绿电额外增收0.03-0.05元。未来三年，全国碳市场覆盖行业将扩围至电解铝、水泥等领域，碳价预计从当前约80元/吨升至150-200元/吨，虚拟电厂的碳资产开发价值将成倍增长，成为聚合商和终端用户的重要增量收益来源。</w:t>
      </w:r>
    </w:p>
    <w:p>
      <w:pPr>
        <w:spacing w:before="240" w:after="160" w:line="520" w:lineRule="exact"/>
      </w:pPr>
      <w:r>
        <w:rPr>
          <w:rFonts w:ascii="FangSong" w:hAnsi="FangSong" w:eastAsia="FangSong"/>
          <w:b/>
          <w:sz w:val="24"/>
        </w:rPr>
        <w:t>趋势六：数字孪生+区块链构建“透明可信”的运营底座</w:t>
      </w:r>
    </w:p>
    <w:p>
      <w:pPr>
        <w:spacing w:after="120" w:line="440" w:lineRule="exact"/>
        <w:ind w:firstLine="480"/>
      </w:pPr>
      <w:r>
        <w:rPr>
          <w:rFonts w:ascii="FangSong" w:hAnsi="FangSong" w:eastAsia="FangSong"/>
          <w:sz w:val="24"/>
        </w:rPr>
        <w:t>数字孪生技术实现虚拟电厂资源状态的实时仿真与运行风险预判，区块链+智能合约技术实现多主体交易的可信执行与自动分账。《电网技术》2026年发表的“车网互动+动态碳交易+数字孪生”调控策略研究，证明了数字孪生在解决多能源VPP源荷不确定性方面的有效性。未来三年，“数字孪生仿真+区块链结算”将成为虚拟电厂运营平台的标配架构，确保终端用户、聚合商、电网三方“每一分钱收益都能说清楚”，大幅提升各参与方的信任度与持续参与意愿。</w:t>
      </w:r>
    </w:p>
    <w:p>
      <w:pPr>
        <w:spacing w:before="240" w:after="160" w:line="520" w:lineRule="exact"/>
      </w:pPr>
      <w:r>
        <w:rPr>
          <w:rFonts w:ascii="KaiTi" w:hAnsi="KaiTi" w:eastAsia="KaiTi"/>
          <w:b/>
          <w:sz w:val="26"/>
        </w:rPr>
        <w:t>2. 五大高价值业务场景</w:t>
      </w:r>
    </w:p>
    <w:p>
      <w:pPr>
        <w:spacing w:before="240" w:after="160" w:line="520" w:lineRule="exact"/>
      </w:pPr>
      <w:r>
        <w:rPr>
          <w:rFonts w:ascii="FangSong" w:hAnsi="FangSong" w:eastAsia="FangSong"/>
          <w:b/>
          <w:sz w:val="24"/>
        </w:rPr>
        <w:t>场景一：现货市场“低买高卖”价差套利（预计年化收益率8%-15%）</w:t>
      </w:r>
    </w:p>
    <w:p>
      <w:pPr>
        <w:spacing w:after="120" w:line="440" w:lineRule="exact"/>
        <w:ind w:firstLine="480"/>
      </w:pPr>
      <w:r>
        <w:rPr>
          <w:rFonts w:ascii="FangSong" w:hAnsi="FangSong" w:eastAsia="FangSong"/>
          <w:sz w:val="24"/>
        </w:rPr>
        <w:t>利用电力现货市场的峰谷价差，通过AI策略在低价时段（如午间光伏大发、甚至出现负电价）引导储能充电和负荷增加，在高价时段（傍晚用电高峰）储能放电或降低负荷，实现无需政府补贴的纯市场化盈利。山西已跑通此模式，未来三年随着现货市场在全国铺开，将成为虚拟电厂最核心的基础收益来源。</w:t>
      </w:r>
    </w:p>
    <w:p>
      <w:pPr>
        <w:spacing w:before="240" w:after="160" w:line="520" w:lineRule="exact"/>
      </w:pPr>
      <w:r>
        <w:rPr>
          <w:rFonts w:ascii="FangSong" w:hAnsi="FangSong" w:eastAsia="FangSong"/>
          <w:b/>
          <w:sz w:val="24"/>
        </w:rPr>
        <w:t>场景二：辅助服务市场高频响应（调频年均收益弹性空间大）</w:t>
      </w:r>
    </w:p>
    <w:p>
      <w:pPr>
        <w:spacing w:after="120" w:line="440" w:lineRule="exact"/>
        <w:ind w:firstLine="480"/>
      </w:pPr>
      <w:r>
        <w:rPr>
          <w:rFonts w:ascii="FangSong" w:hAnsi="FangSong" w:eastAsia="FangSong"/>
          <w:sz w:val="24"/>
        </w:rPr>
        <w:t>虚拟电厂聚合分布式资源参与调频、调峰、备用等辅助服务市场，其中调频服务因响应速度要求高（秒级）、补偿单价高，是虚拟电厂“小而美”的高利润业务。山东已实现40家虚拟电厂常态化参与市场、调节能力达150万千瓦。未来三年辅助服务品种将进一步丰富（新增爬坡、惯性响应等），虚拟电厂在辅助服务市场的收入占比预计从当前的30%提升至50%以上。</w:t>
      </w:r>
    </w:p>
    <w:p>
      <w:pPr>
        <w:spacing w:before="240" w:after="160" w:line="520" w:lineRule="exact"/>
      </w:pPr>
      <w:r>
        <w:rPr>
          <w:rFonts w:ascii="FangSong" w:hAnsi="FangSong" w:eastAsia="FangSong"/>
          <w:b/>
          <w:sz w:val="24"/>
        </w:rPr>
        <w:t>场景三：V2G移动储能“充电即赚钱”（单次放电收益约150-250元）</w:t>
      </w:r>
    </w:p>
    <w:p>
      <w:pPr>
        <w:spacing w:after="120" w:line="440" w:lineRule="exact"/>
        <w:ind w:firstLine="480"/>
      </w:pPr>
      <w:r>
        <w:rPr>
          <w:rFonts w:ascii="FangSong" w:hAnsi="FangSong" w:eastAsia="FangSong"/>
          <w:sz w:val="24"/>
        </w:rPr>
        <w:t>电动车用户在电价低谷时充电、高峰时放电，通过虚拟电厂平台参与电网互动获取收益。这一场景将虚拟电厂的用户触点从“工厂园区”延伸到“每一位电动车车主”，是用户侧参与度最高、社会价值最大的场景。深圳虚拟电厂小镇已验证可行性，未来三年随着双向充电桩和V2G标准的成熟，将成为虚拟电厂“破圈”进入C端市场的杀手级场景。</w:t>
      </w:r>
    </w:p>
    <w:p>
      <w:pPr>
        <w:spacing w:before="240" w:after="160" w:line="520" w:lineRule="exact"/>
      </w:pPr>
      <w:r>
        <w:rPr>
          <w:rFonts w:ascii="FangSong" w:hAnsi="FangSong" w:eastAsia="FangSong"/>
          <w:b/>
          <w:sz w:val="24"/>
        </w:rPr>
        <w:t>场景四：零碳园区“电碳耦合”综合能源服务（度电绿色溢价0.03-0.08元）</w:t>
      </w:r>
    </w:p>
    <w:p>
      <w:pPr>
        <w:spacing w:after="120" w:line="440" w:lineRule="exact"/>
        <w:ind w:firstLine="480"/>
      </w:pPr>
      <w:r>
        <w:rPr>
          <w:rFonts w:ascii="FangSong" w:hAnsi="FangSong" w:eastAsia="FangSong"/>
          <w:sz w:val="24"/>
        </w:rPr>
        <w:t>将虚拟电厂作为零碳园区的“数字大脑”，通过“源网荷储碳”一体化运营，实现园区清洁能源消纳+绿电绿证交易+碳减排量开发的全链条价值变现。零碳园区+虚拟电厂的融合模式正在成为工业园区转型的标准范式，未来三年预计将有超过200个国家级/省级零碳园区部署虚拟电厂运营平台。</w:t>
      </w:r>
    </w:p>
    <w:p>
      <w:pPr>
        <w:spacing w:before="240" w:after="160" w:line="520" w:lineRule="exact"/>
      </w:pPr>
      <w:r>
        <w:rPr>
          <w:rFonts w:ascii="FangSong" w:hAnsi="FangSong" w:eastAsia="FangSong"/>
          <w:b/>
          <w:sz w:val="24"/>
        </w:rPr>
        <w:t>场景五：算电协同——数据中心弹性负荷变现（单kW调节收益约300-800元/年）</w:t>
      </w:r>
    </w:p>
    <w:p>
      <w:pPr>
        <w:spacing w:after="120" w:line="440" w:lineRule="exact"/>
        <w:ind w:firstLine="480"/>
      </w:pPr>
      <w:r>
        <w:rPr>
          <w:rFonts w:ascii="FangSong" w:hAnsi="FangSong" w:eastAsia="FangSong"/>
          <w:sz w:val="24"/>
        </w:rPr>
        <w:t>AI数据中心是高密度、可转移的优质可调负荷资源，通过虚拟电厂聚合，数据中心的计算任务可在“电价低时全力运算、电价高时弹性降载”，同时获取电力市场收益。大唐发电200万千瓦算电协同项目已投运，贵州作为全国算力枢纽节点（贵安新区），算电协同是本项目最具差异化优势的特色业务场景。</w:t>
      </w:r>
    </w:p>
    <w:p>
      <w:pPr>
        <w:spacing w:after="120" w:line="440" w:lineRule="exact"/>
      </w:pPr>
      <w:r>
        <w:rPr>
          <w:rFonts w:ascii="FangSong" w:hAnsi="FangSong" w:eastAsia="FangSong"/>
          <w:sz w:val="12"/>
        </w:rPr>
      </w:r>
    </w:p>
    <w:p>
      <w:pPr>
        <w:spacing w:after="120" w:line="440" w:lineRule="exact"/>
        <w:ind w:firstLine="480"/>
      </w:pPr>
      <w:r>
        <w:rPr>
          <w:rFonts w:ascii="FangSong" w:hAnsi="FangSong" w:eastAsia="FangSong"/>
          <w:b/>
          <w:color w:val="1565C0"/>
          <w:sz w:val="24"/>
        </w:rPr>
        <w:t>综上，未来三年虚拟电厂将完成从“调峰工具”到“能源互联网核心节点”的定位跃迁，从“政策补贴驱动”到“市场化盈利驱动”的模式转型，从“单一需求响应”到“现货套利+绿证变现+碳资产开发+V2G+算电协同”多场景融合的生态升级。本项目的课题设置与实施路径，全面对标上述技术趋势与高价值场景，旨在将贵州打造为全国虚拟电厂“AI实战+多场景融合”的标杆示范区。</w:t>
      </w:r>
    </w:p>
    <w:p>
      <w:r>
        <w:br w:type="page"/>
      </w:r>
    </w:p>
    <w:p>
      <w:pPr>
        <w:spacing w:before="320" w:after="160" w:line="520" w:lineRule="exact"/>
      </w:pPr>
      <w:r>
        <w:rPr>
          <w:rFonts w:ascii="SimHei" w:hAnsi="SimHei" w:eastAsia="SimHei"/>
          <w:b/>
          <w:sz w:val="32"/>
        </w:rPr>
        <w:t>二、主要研究内容</w:t>
      </w:r>
    </w:p>
    <w:p>
      <w:pPr>
        <w:spacing w:after="120" w:line="440" w:lineRule="exact"/>
        <w:ind w:firstLine="480"/>
      </w:pPr>
      <w:r>
        <w:rPr>
          <w:rFonts w:ascii="FangSong" w:hAnsi="FangSong" w:eastAsia="FangSong"/>
          <w:sz w:val="24"/>
        </w:rPr>
        <w:t>本项目以“场景驱动、价值闭环、前瞻布局”为总体思路，紧密对标未来三年虚拟电厂技术演进趋势与高价值业务场景发展方向，设置六大研究课题。课题设置原则为：每个课题对应一个明确的高价值业务场景、融入前沿AI技术、产出可量化的商业价值，确保项目成果不仅解决当前痛点，更具备面向2026-2029年的前瞻性和可拓展性。</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Pr>
      <w:tblGrid>
        <w:gridCol w:w="2075"/>
        <w:gridCol w:w="2075"/>
        <w:gridCol w:w="2075"/>
        <w:gridCol w:w="2075"/>
      </w:tblGrid>
      <w:tr>
        <w:tc>
          <w:tcPr>
            <w:tcW w:type="dxa" w:w="1134"/>
            <w:shd w:fill="1A237E" w:val="clear"/>
          </w:tcPr>
          <w:p>
            <w:pPr>
              <w:jc w:val="center"/>
            </w:pPr>
            <w:r/>
            <w:r>
              <w:rPr>
                <w:rFonts w:ascii="SimHei" w:hAnsi="SimHei" w:eastAsia="SimHei"/>
                <w:b/>
                <w:color w:val="FFFFFF"/>
                <w:sz w:val="20"/>
              </w:rPr>
              <w:t>子任务编号</w:t>
            </w:r>
          </w:p>
        </w:tc>
        <w:tc>
          <w:tcPr>
            <w:tcW w:type="dxa" w:w="2551"/>
            <w:shd w:fill="1A237E" w:val="clear"/>
          </w:tcPr>
          <w:p>
            <w:pPr>
              <w:jc w:val="center"/>
            </w:pPr>
            <w:r/>
            <w:r>
              <w:rPr>
                <w:rFonts w:ascii="SimHei" w:hAnsi="SimHei" w:eastAsia="SimHei"/>
                <w:b/>
                <w:color w:val="FFFFFF"/>
                <w:sz w:val="20"/>
              </w:rPr>
              <w:t>子任务名称</w:t>
            </w:r>
          </w:p>
        </w:tc>
        <w:tc>
          <w:tcPr>
            <w:tcW w:type="dxa" w:w="1984"/>
            <w:shd w:fill="1A237E" w:val="clear"/>
          </w:tcPr>
          <w:p>
            <w:pPr>
              <w:jc w:val="center"/>
            </w:pPr>
            <w:r/>
            <w:r>
              <w:rPr>
                <w:rFonts w:ascii="SimHei" w:hAnsi="SimHei" w:eastAsia="SimHei"/>
                <w:b/>
                <w:color w:val="FFFFFF"/>
                <w:sz w:val="20"/>
              </w:rPr>
              <w:t>牵头方</w:t>
            </w:r>
          </w:p>
        </w:tc>
        <w:tc>
          <w:tcPr>
            <w:tcW w:type="dxa" w:w="2551"/>
            <w:shd w:fill="1A237E" w:val="clear"/>
          </w:tcPr>
          <w:p>
            <w:pPr>
              <w:jc w:val="center"/>
            </w:pPr>
            <w:r/>
            <w:r>
              <w:rPr>
                <w:rFonts w:ascii="SimHei" w:hAnsi="SimHei" w:eastAsia="SimHei"/>
                <w:b/>
                <w:color w:val="FFFFFF"/>
                <w:sz w:val="20"/>
              </w:rPr>
              <w:t>参与方</w:t>
            </w:r>
          </w:p>
        </w:tc>
      </w:tr>
      <w:tr>
        <w:tc>
          <w:tcPr>
            <w:tcW w:type="dxa" w:w="8220"/>
            <w:gridSpan w:val="4"/>
            <w:shd w:fill="E8EAF6" w:val="clear"/>
          </w:tcPr>
          <w:p>
            <w:pPr>
              <w:jc w:val="left"/>
            </w:pPr>
            <w:r/>
            <w:r>
              <w:rPr>
                <w:rFonts w:ascii="KaiTi" w:hAnsi="KaiTi" w:eastAsia="KaiTi"/>
                <w:b/>
                <w:sz w:val="20"/>
              </w:rPr>
              <w:t>课题一：多类型资源普查与可调节能力评估</w:t>
              <w:br/>
              <w:t>（核心场景：虚拟电厂资源池规模化构建 | 行业对标：深圳虚拟电厂小镇）</w:t>
            </w:r>
          </w:p>
        </w:tc>
      </w:tr>
      <w:tr>
        <w:tc>
          <w:tcPr>
            <w:tcW w:type="dxa" w:w="1134"/>
          </w:tcPr>
          <w:p>
            <w:pPr>
              <w:jc w:val="center"/>
            </w:pPr>
            <w:r/>
            <w:r>
              <w:rPr>
                <w:rFonts w:ascii="FangSong" w:hAnsi="FangSong" w:eastAsia="FangSong"/>
                <w:sz w:val="18"/>
              </w:rPr>
              <w:t>子任务1.1</w:t>
            </w:r>
          </w:p>
        </w:tc>
        <w:tc>
          <w:tcPr>
            <w:tcW w:type="dxa" w:w="2551"/>
          </w:tcPr>
          <w:p>
            <w:pPr>
              <w:jc w:val="center"/>
            </w:pPr>
            <w:r/>
            <w:r>
              <w:rPr>
                <w:rFonts w:ascii="FangSong" w:hAnsi="FangSong" w:eastAsia="FangSong"/>
                <w:sz w:val="18"/>
              </w:rPr>
              <w:t>贵州省全域分布式可调资源普查方法与标准规范</w:t>
            </w:r>
          </w:p>
        </w:tc>
        <w:tc>
          <w:tcPr>
            <w:tcW w:type="dxa" w:w="1984"/>
          </w:tcPr>
          <w:p>
            <w:pPr>
              <w:jc w:val="center"/>
            </w:pPr>
            <w:r/>
            <w:r>
              <w:rPr>
                <w:rFonts w:ascii="FangSong" w:hAnsi="FangSong" w:eastAsia="FangSong"/>
                <w:sz w:val="18"/>
              </w:rPr>
              <w:t>贵州电网</w:t>
              <w:br/>
              <w:t>（调度中心）</w:t>
            </w:r>
          </w:p>
        </w:tc>
        <w:tc>
          <w:tcPr>
            <w:tcW w:type="dxa" w:w="2551"/>
          </w:tcPr>
          <w:p>
            <w:pPr>
              <w:jc w:val="center"/>
            </w:pPr>
            <w:r/>
            <w:r>
              <w:rPr>
                <w:rFonts w:ascii="FangSong" w:hAnsi="FangSong" w:eastAsia="FangSong"/>
                <w:sz w:val="18"/>
              </w:rPr>
              <w:t>各市州供电局</w:t>
              <w:br/>
              <w:t>朗新科技</w:t>
            </w:r>
          </w:p>
        </w:tc>
      </w:tr>
      <w:tr>
        <w:tc>
          <w:tcPr>
            <w:tcW w:type="dxa" w:w="1134"/>
          </w:tcPr>
          <w:p>
            <w:pPr>
              <w:jc w:val="center"/>
            </w:pPr>
            <w:r/>
            <w:r>
              <w:rPr>
                <w:rFonts w:ascii="FangSong" w:hAnsi="FangSong" w:eastAsia="FangSong"/>
                <w:sz w:val="18"/>
              </w:rPr>
              <w:t>子任务1.2</w:t>
            </w:r>
          </w:p>
        </w:tc>
        <w:tc>
          <w:tcPr>
            <w:tcW w:type="dxa" w:w="2551"/>
          </w:tcPr>
          <w:p>
            <w:pPr>
              <w:jc w:val="center"/>
            </w:pPr>
            <w:r/>
            <w:r>
              <w:rPr>
                <w:rFonts w:ascii="FangSong" w:hAnsi="FangSong" w:eastAsia="FangSong"/>
                <w:sz w:val="18"/>
              </w:rPr>
              <w:t>面向多类型资源（含充电桩V2G潜力）的分级分类可调潜力评估模型</w:t>
            </w:r>
          </w:p>
        </w:tc>
        <w:tc>
          <w:tcPr>
            <w:tcW w:type="dxa" w:w="1984"/>
          </w:tcPr>
          <w:p>
            <w:pPr>
              <w:jc w:val="center"/>
            </w:pPr>
            <w:r/>
            <w:r>
              <w:rPr>
                <w:rFonts w:ascii="FangSong" w:hAnsi="FangSong" w:eastAsia="FangSong"/>
                <w:sz w:val="18"/>
              </w:rPr>
              <w:t>朗新科技</w:t>
            </w:r>
          </w:p>
        </w:tc>
        <w:tc>
          <w:tcPr>
            <w:tcW w:type="dxa" w:w="2551"/>
          </w:tcPr>
          <w:p>
            <w:pPr>
              <w:jc w:val="center"/>
            </w:pPr>
            <w:r/>
            <w:r>
              <w:rPr>
                <w:rFonts w:ascii="FangSong" w:hAnsi="FangSong" w:eastAsia="FangSong"/>
                <w:sz w:val="18"/>
              </w:rPr>
              <w:t>贵州电网</w:t>
              <w:br/>
              <w:t>贵州大学</w:t>
            </w:r>
          </w:p>
        </w:tc>
      </w:tr>
      <w:tr>
        <w:tc>
          <w:tcPr>
            <w:tcW w:type="dxa" w:w="1134"/>
          </w:tcPr>
          <w:p>
            <w:pPr>
              <w:jc w:val="center"/>
            </w:pPr>
            <w:r/>
            <w:r>
              <w:rPr>
                <w:rFonts w:ascii="FangSong" w:hAnsi="FangSong" w:eastAsia="FangSong"/>
                <w:sz w:val="18"/>
              </w:rPr>
              <w:t>子任务1.3</w:t>
            </w:r>
          </w:p>
        </w:tc>
        <w:tc>
          <w:tcPr>
            <w:tcW w:type="dxa" w:w="2551"/>
          </w:tcPr>
          <w:p>
            <w:pPr>
              <w:jc w:val="center"/>
            </w:pPr>
            <w:r/>
            <w:r>
              <w:rPr>
                <w:rFonts w:ascii="FangSong" w:hAnsi="FangSong" w:eastAsia="FangSong"/>
                <w:sz w:val="18"/>
              </w:rPr>
              <w:t>虚拟电厂资源准入标准与质量分级体系</w:t>
            </w:r>
          </w:p>
        </w:tc>
        <w:tc>
          <w:tcPr>
            <w:tcW w:type="dxa" w:w="1984"/>
          </w:tcPr>
          <w:p>
            <w:pPr>
              <w:jc w:val="center"/>
            </w:pPr>
            <w:r/>
            <w:r>
              <w:rPr>
                <w:rFonts w:ascii="FangSong" w:hAnsi="FangSong" w:eastAsia="FangSong"/>
                <w:sz w:val="18"/>
              </w:rPr>
              <w:t>贵州电网</w:t>
              <w:br/>
              <w:t>（交易中心）</w:t>
            </w:r>
          </w:p>
        </w:tc>
        <w:tc>
          <w:tcPr>
            <w:tcW w:type="dxa" w:w="2551"/>
          </w:tcPr>
          <w:p>
            <w:pPr>
              <w:jc w:val="center"/>
            </w:pPr>
            <w:r/>
            <w:r>
              <w:rPr>
                <w:rFonts w:ascii="FangSong" w:hAnsi="FangSong" w:eastAsia="FangSong"/>
                <w:sz w:val="18"/>
              </w:rPr>
              <w:t>黔能三安</w:t>
              <w:br/>
              <w:t>贵州矿能</w:t>
            </w:r>
          </w:p>
        </w:tc>
      </w:tr>
      <w:tr>
        <w:tc>
          <w:tcPr>
            <w:tcW w:type="dxa" w:w="8220"/>
            <w:gridSpan w:val="4"/>
            <w:shd w:fill="E8EAF6" w:val="clear"/>
          </w:tcPr>
          <w:p>
            <w:pPr>
              <w:jc w:val="left"/>
            </w:pPr>
            <w:r/>
            <w:r>
              <w:rPr>
                <w:rFonts w:ascii="KaiTi" w:hAnsi="KaiTi" w:eastAsia="KaiTi"/>
                <w:b/>
                <w:sz w:val="20"/>
              </w:rPr>
              <w:t>课题二：多时空协同调控与精准执行</w:t>
              <w:br/>
              <w:t>（核心场景：现货市场出清响应、日内滚动调控 | 行业对标：山西AI调度模式）</w:t>
            </w:r>
          </w:p>
        </w:tc>
      </w:tr>
      <w:tr>
        <w:tc>
          <w:tcPr>
            <w:tcW w:type="dxa" w:w="1134"/>
          </w:tcPr>
          <w:p>
            <w:pPr>
              <w:jc w:val="center"/>
            </w:pPr>
            <w:r/>
            <w:r>
              <w:rPr>
                <w:rFonts w:ascii="FangSong" w:hAnsi="FangSong" w:eastAsia="FangSong"/>
                <w:sz w:val="18"/>
              </w:rPr>
              <w:t>子任务2.1</w:t>
            </w:r>
          </w:p>
        </w:tc>
        <w:tc>
          <w:tcPr>
            <w:tcW w:type="dxa" w:w="2551"/>
          </w:tcPr>
          <w:p>
            <w:pPr>
              <w:jc w:val="center"/>
            </w:pPr>
            <w:r/>
            <w:r>
              <w:rPr>
                <w:rFonts w:ascii="FangSong" w:hAnsi="FangSong" w:eastAsia="FangSong"/>
                <w:sz w:val="18"/>
              </w:rPr>
              <w:t>园区级负荷群调群控策略与分钟级滚动优化</w:t>
            </w:r>
          </w:p>
        </w:tc>
        <w:tc>
          <w:tcPr>
            <w:tcW w:type="dxa" w:w="1984"/>
          </w:tcPr>
          <w:p>
            <w:pPr>
              <w:jc w:val="center"/>
            </w:pPr>
            <w:r/>
            <w:r>
              <w:rPr>
                <w:rFonts w:ascii="FangSong" w:hAnsi="FangSong" w:eastAsia="FangSong"/>
                <w:sz w:val="18"/>
              </w:rPr>
              <w:t>朗新科技</w:t>
            </w:r>
          </w:p>
        </w:tc>
        <w:tc>
          <w:tcPr>
            <w:tcW w:type="dxa" w:w="2551"/>
          </w:tcPr>
          <w:p>
            <w:pPr>
              <w:jc w:val="center"/>
            </w:pPr>
            <w:r/>
            <w:r>
              <w:rPr>
                <w:rFonts w:ascii="FangSong" w:hAnsi="FangSong" w:eastAsia="FangSong"/>
                <w:sz w:val="18"/>
              </w:rPr>
              <w:t>贵州电网</w:t>
              <w:br/>
              <w:t>黔能三安</w:t>
            </w:r>
          </w:p>
        </w:tc>
      </w:tr>
      <w:tr>
        <w:tc>
          <w:tcPr>
            <w:tcW w:type="dxa" w:w="1134"/>
          </w:tcPr>
          <w:p>
            <w:pPr>
              <w:jc w:val="center"/>
            </w:pPr>
            <w:r/>
            <w:r>
              <w:rPr>
                <w:rFonts w:ascii="FangSong" w:hAnsi="FangSong" w:eastAsia="FangSong"/>
                <w:sz w:val="18"/>
              </w:rPr>
              <w:t>子任务2.2</w:t>
            </w:r>
          </w:p>
        </w:tc>
        <w:tc>
          <w:tcPr>
            <w:tcW w:type="dxa" w:w="2551"/>
          </w:tcPr>
          <w:p>
            <w:pPr>
              <w:jc w:val="center"/>
            </w:pPr>
            <w:r/>
            <w:r>
              <w:rPr>
                <w:rFonts w:ascii="FangSong" w:hAnsi="FangSong" w:eastAsia="FangSong"/>
                <w:sz w:val="18"/>
              </w:rPr>
              <w:t>直控型（秒级AGC）与邀约型资源分层协同调控机制</w:t>
            </w:r>
          </w:p>
        </w:tc>
        <w:tc>
          <w:tcPr>
            <w:tcW w:type="dxa" w:w="1984"/>
          </w:tcPr>
          <w:p>
            <w:pPr>
              <w:jc w:val="center"/>
            </w:pPr>
            <w:r/>
            <w:r>
              <w:rPr>
                <w:rFonts w:ascii="FangSong" w:hAnsi="FangSong" w:eastAsia="FangSong"/>
                <w:sz w:val="18"/>
              </w:rPr>
              <w:t>贵州电网</w:t>
              <w:br/>
              <w:t>（调度中心）</w:t>
            </w:r>
          </w:p>
        </w:tc>
        <w:tc>
          <w:tcPr>
            <w:tcW w:type="dxa" w:w="2551"/>
          </w:tcPr>
          <w:p>
            <w:pPr>
              <w:jc w:val="center"/>
            </w:pPr>
            <w:r/>
            <w:r>
              <w:rPr>
                <w:rFonts w:ascii="FangSong" w:hAnsi="FangSong" w:eastAsia="FangSong"/>
                <w:sz w:val="18"/>
              </w:rPr>
              <w:t>贵州矿能</w:t>
              <w:br/>
              <w:t>贵州国能</w:t>
            </w:r>
          </w:p>
        </w:tc>
      </w:tr>
      <w:tr>
        <w:tc>
          <w:tcPr>
            <w:tcW w:type="dxa" w:w="1134"/>
          </w:tcPr>
          <w:p>
            <w:pPr>
              <w:jc w:val="center"/>
            </w:pPr>
            <w:r/>
            <w:r>
              <w:rPr>
                <w:rFonts w:ascii="FangSong" w:hAnsi="FangSong" w:eastAsia="FangSong"/>
                <w:sz w:val="18"/>
              </w:rPr>
              <w:t>子任务2.3</w:t>
            </w:r>
          </w:p>
        </w:tc>
        <w:tc>
          <w:tcPr>
            <w:tcW w:type="dxa" w:w="2551"/>
          </w:tcPr>
          <w:p>
            <w:pPr>
              <w:jc w:val="center"/>
            </w:pPr>
            <w:r/>
            <w:r>
              <w:rPr>
                <w:rFonts w:ascii="FangSong" w:hAnsi="FangSong" w:eastAsia="FangSong"/>
                <w:sz w:val="18"/>
              </w:rPr>
              <w:t>调控指令下发-执行-反馈全链路闭环验证</w:t>
            </w:r>
          </w:p>
        </w:tc>
        <w:tc>
          <w:tcPr>
            <w:tcW w:type="dxa" w:w="1984"/>
          </w:tcPr>
          <w:p>
            <w:pPr>
              <w:jc w:val="center"/>
            </w:pPr>
            <w:r/>
            <w:r>
              <w:rPr>
                <w:rFonts w:ascii="FangSong" w:hAnsi="FangSong" w:eastAsia="FangSong"/>
                <w:sz w:val="18"/>
              </w:rPr>
              <w:t>黔能三安</w:t>
            </w:r>
          </w:p>
        </w:tc>
        <w:tc>
          <w:tcPr>
            <w:tcW w:type="dxa" w:w="2551"/>
          </w:tcPr>
          <w:p>
            <w:pPr>
              <w:jc w:val="center"/>
            </w:pPr>
            <w:r/>
            <w:r>
              <w:rPr>
                <w:rFonts w:ascii="FangSong" w:hAnsi="FangSong" w:eastAsia="FangSong"/>
                <w:sz w:val="18"/>
              </w:rPr>
              <w:t>朗新科技</w:t>
              <w:br/>
              <w:t>贵州电网</w:t>
            </w:r>
          </w:p>
        </w:tc>
      </w:tr>
      <w:tr>
        <w:tc>
          <w:tcPr>
            <w:tcW w:type="dxa" w:w="8220"/>
            <w:gridSpan w:val="4"/>
            <w:shd w:fill="E8EAF6" w:val="clear"/>
          </w:tcPr>
          <w:p>
            <w:pPr>
              <w:jc w:val="left"/>
            </w:pPr>
            <w:r/>
            <w:r>
              <w:rPr>
                <w:rFonts w:ascii="KaiTi" w:hAnsi="KaiTi" w:eastAsia="KaiTi"/>
                <w:b/>
                <w:sz w:val="20"/>
              </w:rPr>
              <w:t>课题三：多市场AI联合交易辅助决策</w:t>
              <w:br/>
              <w:t>（核心场景：现货+辅助服务+绿电联合报价 | 行业对标：广东现货交易模式）</w:t>
            </w:r>
          </w:p>
        </w:tc>
      </w:tr>
      <w:tr>
        <w:tc>
          <w:tcPr>
            <w:tcW w:type="dxa" w:w="1134"/>
          </w:tcPr>
          <w:p>
            <w:pPr>
              <w:jc w:val="center"/>
            </w:pPr>
            <w:r/>
            <w:r>
              <w:rPr>
                <w:rFonts w:ascii="FangSong" w:hAnsi="FangSong" w:eastAsia="FangSong"/>
                <w:sz w:val="18"/>
              </w:rPr>
              <w:t>子任务3.1</w:t>
            </w:r>
          </w:p>
        </w:tc>
        <w:tc>
          <w:tcPr>
            <w:tcW w:type="dxa" w:w="2551"/>
          </w:tcPr>
          <w:p>
            <w:pPr>
              <w:jc w:val="center"/>
            </w:pPr>
            <w:r/>
            <w:r>
              <w:rPr>
                <w:rFonts w:ascii="FangSong" w:hAnsi="FangSong" w:eastAsia="FangSong"/>
                <w:sz w:val="18"/>
              </w:rPr>
              <w:t>面向现货市场{LQ}低买高卖{RQ}与辅助服务联合报价的AI策略生成</w:t>
            </w:r>
          </w:p>
        </w:tc>
        <w:tc>
          <w:tcPr>
            <w:tcW w:type="dxa" w:w="1984"/>
          </w:tcPr>
          <w:p>
            <w:pPr>
              <w:jc w:val="center"/>
            </w:pPr>
            <w:r/>
            <w:r>
              <w:rPr>
                <w:rFonts w:ascii="FangSong" w:hAnsi="FangSong" w:eastAsia="FangSong"/>
                <w:sz w:val="18"/>
              </w:rPr>
              <w:t>朗新科技</w:t>
            </w:r>
          </w:p>
        </w:tc>
        <w:tc>
          <w:tcPr>
            <w:tcW w:type="dxa" w:w="2551"/>
          </w:tcPr>
          <w:p>
            <w:pPr>
              <w:jc w:val="center"/>
            </w:pPr>
            <w:r/>
            <w:r>
              <w:rPr>
                <w:rFonts w:ascii="FangSong" w:hAnsi="FangSong" w:eastAsia="FangSong"/>
                <w:sz w:val="18"/>
              </w:rPr>
              <w:t>贵州电网</w:t>
              <w:br/>
              <w:t>（交易中心）</w:t>
            </w:r>
          </w:p>
        </w:tc>
      </w:tr>
      <w:tr>
        <w:tc>
          <w:tcPr>
            <w:tcW w:type="dxa" w:w="1134"/>
          </w:tcPr>
          <w:p>
            <w:pPr>
              <w:jc w:val="center"/>
            </w:pPr>
            <w:r/>
            <w:r>
              <w:rPr>
                <w:rFonts w:ascii="FangSong" w:hAnsi="FangSong" w:eastAsia="FangSong"/>
                <w:sz w:val="18"/>
              </w:rPr>
              <w:t>子任务3.2</w:t>
            </w:r>
          </w:p>
        </w:tc>
        <w:tc>
          <w:tcPr>
            <w:tcW w:type="dxa" w:w="2551"/>
          </w:tcPr>
          <w:p>
            <w:pPr>
              <w:jc w:val="center"/>
            </w:pPr>
            <w:r/>
            <w:r>
              <w:rPr>
                <w:rFonts w:ascii="FangSong" w:hAnsi="FangSong" w:eastAsia="FangSong"/>
                <w:sz w:val="18"/>
              </w:rPr>
              <w:t>融合气象、负荷、电价的多元市场价格预测与交易风险评估模型</w:t>
            </w:r>
          </w:p>
        </w:tc>
        <w:tc>
          <w:tcPr>
            <w:tcW w:type="dxa" w:w="1984"/>
          </w:tcPr>
          <w:p>
            <w:pPr>
              <w:jc w:val="center"/>
            </w:pPr>
            <w:r/>
            <w:r>
              <w:rPr>
                <w:rFonts w:ascii="FangSong" w:hAnsi="FangSong" w:eastAsia="FangSong"/>
                <w:sz w:val="18"/>
              </w:rPr>
              <w:t>朗新科技</w:t>
            </w:r>
          </w:p>
        </w:tc>
        <w:tc>
          <w:tcPr>
            <w:tcW w:type="dxa" w:w="2551"/>
          </w:tcPr>
          <w:p>
            <w:pPr>
              <w:jc w:val="center"/>
            </w:pPr>
            <w:r/>
            <w:r>
              <w:rPr>
                <w:rFonts w:ascii="FangSong" w:hAnsi="FangSong" w:eastAsia="FangSong"/>
                <w:sz w:val="18"/>
              </w:rPr>
              <w:t>贵州大学</w:t>
            </w:r>
          </w:p>
        </w:tc>
      </w:tr>
      <w:tr>
        <w:tc>
          <w:tcPr>
            <w:tcW w:type="dxa" w:w="1134"/>
          </w:tcPr>
          <w:p>
            <w:pPr>
              <w:jc w:val="center"/>
            </w:pPr>
            <w:r/>
            <w:r>
              <w:rPr>
                <w:rFonts w:ascii="FangSong" w:hAnsi="FangSong" w:eastAsia="FangSong"/>
                <w:sz w:val="18"/>
              </w:rPr>
              <w:t>子任务3.3</w:t>
            </w:r>
          </w:p>
        </w:tc>
        <w:tc>
          <w:tcPr>
            <w:tcW w:type="dxa" w:w="2551"/>
          </w:tcPr>
          <w:p>
            <w:pPr>
              <w:jc w:val="center"/>
            </w:pPr>
            <w:r/>
            <w:r>
              <w:rPr>
                <w:rFonts w:ascii="FangSong" w:hAnsi="FangSong" w:eastAsia="FangSong"/>
                <w:sz w:val="18"/>
              </w:rPr>
              <w:t>多约束条件下AI交易策略自动化生成与事中校验</w:t>
            </w:r>
          </w:p>
        </w:tc>
        <w:tc>
          <w:tcPr>
            <w:tcW w:type="dxa" w:w="1984"/>
          </w:tcPr>
          <w:p>
            <w:pPr>
              <w:jc w:val="center"/>
            </w:pPr>
            <w:r/>
            <w:r>
              <w:rPr>
                <w:rFonts w:ascii="FangSong" w:hAnsi="FangSong" w:eastAsia="FangSong"/>
                <w:sz w:val="18"/>
              </w:rPr>
              <w:t>贵州电网</w:t>
              <w:br/>
              <w:t>（交易中心）</w:t>
            </w:r>
          </w:p>
        </w:tc>
        <w:tc>
          <w:tcPr>
            <w:tcW w:type="dxa" w:w="2551"/>
          </w:tcPr>
          <w:p>
            <w:pPr>
              <w:jc w:val="center"/>
            </w:pPr>
            <w:r/>
            <w:r>
              <w:rPr>
                <w:rFonts w:ascii="FangSong" w:hAnsi="FangSong" w:eastAsia="FangSong"/>
                <w:sz w:val="18"/>
              </w:rPr>
              <w:t>朗新科技</w:t>
              <w:br/>
              <w:t>黔能三安</w:t>
            </w:r>
          </w:p>
        </w:tc>
      </w:tr>
      <w:tr>
        <w:tc>
          <w:tcPr>
            <w:tcW w:type="dxa" w:w="8220"/>
            <w:gridSpan w:val="4"/>
            <w:shd w:fill="E8EAF6" w:val="clear"/>
          </w:tcPr>
          <w:p>
            <w:pPr>
              <w:jc w:val="left"/>
            </w:pPr>
            <w:r/>
            <w:r>
              <w:rPr>
                <w:rFonts w:ascii="KaiTi" w:hAnsi="KaiTi" w:eastAsia="KaiTi"/>
                <w:b/>
                <w:sz w:val="20"/>
              </w:rPr>
              <w:t>课题四：绿色价值挖掘与电碳耦合运营</w:t>
              <w:br/>
              <w:t>（核心场景：绿电绿证交易、碳资产开发 | 行业对标：头部企业双绿证模式）</w:t>
            </w:r>
          </w:p>
        </w:tc>
      </w:tr>
      <w:tr>
        <w:tc>
          <w:tcPr>
            <w:tcW w:type="dxa" w:w="1134"/>
          </w:tcPr>
          <w:p>
            <w:pPr>
              <w:jc w:val="center"/>
            </w:pPr>
            <w:r/>
            <w:r>
              <w:rPr>
                <w:rFonts w:ascii="FangSong" w:hAnsi="FangSong" w:eastAsia="FangSong"/>
                <w:sz w:val="18"/>
              </w:rPr>
              <w:t>子任务4.1</w:t>
            </w:r>
          </w:p>
        </w:tc>
        <w:tc>
          <w:tcPr>
            <w:tcW w:type="dxa" w:w="2551"/>
          </w:tcPr>
          <w:p>
            <w:pPr>
              <w:jc w:val="center"/>
            </w:pPr>
            <w:r/>
            <w:r>
              <w:rPr>
                <w:rFonts w:ascii="FangSong" w:hAnsi="FangSong" w:eastAsia="FangSong"/>
                <w:sz w:val="18"/>
              </w:rPr>
              <w:t>负荷侧资源追踪新能源出力曲线的优化调度策略</w:t>
            </w:r>
          </w:p>
        </w:tc>
        <w:tc>
          <w:tcPr>
            <w:tcW w:type="dxa" w:w="1984"/>
          </w:tcPr>
          <w:p>
            <w:pPr>
              <w:jc w:val="center"/>
            </w:pPr>
            <w:r/>
            <w:r>
              <w:rPr>
                <w:rFonts w:ascii="FangSong" w:hAnsi="FangSong" w:eastAsia="FangSong"/>
                <w:sz w:val="18"/>
              </w:rPr>
              <w:t>贵州电网</w:t>
              <w:br/>
              <w:t>（调度中心）</w:t>
            </w:r>
          </w:p>
        </w:tc>
        <w:tc>
          <w:tcPr>
            <w:tcW w:type="dxa" w:w="2551"/>
          </w:tcPr>
          <w:p>
            <w:pPr>
              <w:jc w:val="center"/>
            </w:pPr>
            <w:r/>
            <w:r>
              <w:rPr>
                <w:rFonts w:ascii="FangSong" w:hAnsi="FangSong" w:eastAsia="FangSong"/>
                <w:sz w:val="18"/>
              </w:rPr>
              <w:t>朗新科技</w:t>
            </w:r>
          </w:p>
        </w:tc>
      </w:tr>
      <w:tr>
        <w:tc>
          <w:tcPr>
            <w:tcW w:type="dxa" w:w="1134"/>
          </w:tcPr>
          <w:p>
            <w:pPr>
              <w:jc w:val="center"/>
            </w:pPr>
            <w:r/>
            <w:r>
              <w:rPr>
                <w:rFonts w:ascii="FangSong" w:hAnsi="FangSong" w:eastAsia="FangSong"/>
                <w:sz w:val="18"/>
              </w:rPr>
              <w:t>子任务4.2</w:t>
            </w:r>
          </w:p>
        </w:tc>
        <w:tc>
          <w:tcPr>
            <w:tcW w:type="dxa" w:w="2551"/>
          </w:tcPr>
          <w:p>
            <w:pPr>
              <w:jc w:val="center"/>
            </w:pPr>
            <w:r/>
            <w:r>
              <w:rPr>
                <w:rFonts w:ascii="FangSong" w:hAnsi="FangSong" w:eastAsia="FangSong"/>
                <w:sz w:val="18"/>
              </w:rPr>
              <w:t>聚合资源绿色价值量化方法与绿电绿证交易辅助决策</w:t>
            </w:r>
          </w:p>
        </w:tc>
        <w:tc>
          <w:tcPr>
            <w:tcW w:type="dxa" w:w="1984"/>
          </w:tcPr>
          <w:p>
            <w:pPr>
              <w:jc w:val="center"/>
            </w:pPr>
            <w:r/>
            <w:r>
              <w:rPr>
                <w:rFonts w:ascii="FangSong" w:hAnsi="FangSong" w:eastAsia="FangSong"/>
                <w:sz w:val="18"/>
              </w:rPr>
              <w:t>贵州电网</w:t>
              <w:br/>
              <w:t>（交易中心）</w:t>
            </w:r>
          </w:p>
        </w:tc>
        <w:tc>
          <w:tcPr>
            <w:tcW w:type="dxa" w:w="2551"/>
          </w:tcPr>
          <w:p>
            <w:pPr>
              <w:jc w:val="center"/>
            </w:pPr>
            <w:r/>
            <w:r>
              <w:rPr>
                <w:rFonts w:ascii="FangSong" w:hAnsi="FangSong" w:eastAsia="FangSong"/>
                <w:sz w:val="18"/>
              </w:rPr>
              <w:t>贵州国能</w:t>
              <w:br/>
              <w:t>黔能三安</w:t>
            </w:r>
          </w:p>
        </w:tc>
      </w:tr>
      <w:tr>
        <w:tc>
          <w:tcPr>
            <w:tcW w:type="dxa" w:w="1134"/>
          </w:tcPr>
          <w:p>
            <w:pPr>
              <w:jc w:val="center"/>
            </w:pPr>
            <w:r/>
            <w:r>
              <w:rPr>
                <w:rFonts w:ascii="FangSong" w:hAnsi="FangSong" w:eastAsia="FangSong"/>
                <w:sz w:val="18"/>
              </w:rPr>
              <w:t>子任务4.3</w:t>
            </w:r>
          </w:p>
        </w:tc>
        <w:tc>
          <w:tcPr>
            <w:tcW w:type="dxa" w:w="2551"/>
          </w:tcPr>
          <w:p>
            <w:pPr>
              <w:jc w:val="center"/>
            </w:pPr>
            <w:r/>
            <w:r>
              <w:rPr>
                <w:rFonts w:ascii="FangSong" w:hAnsi="FangSong" w:eastAsia="FangSong"/>
                <w:sz w:val="18"/>
              </w:rPr>
              <w:t>面向碳市场的可调节负荷减排量核算与碳资产开发</w:t>
            </w:r>
          </w:p>
        </w:tc>
        <w:tc>
          <w:tcPr>
            <w:tcW w:type="dxa" w:w="1984"/>
          </w:tcPr>
          <w:p>
            <w:pPr>
              <w:jc w:val="center"/>
            </w:pPr>
            <w:r/>
            <w:r>
              <w:rPr>
                <w:rFonts w:ascii="FangSong" w:hAnsi="FangSong" w:eastAsia="FangSong"/>
                <w:sz w:val="18"/>
              </w:rPr>
              <w:t>贵州矿能</w:t>
            </w:r>
          </w:p>
        </w:tc>
        <w:tc>
          <w:tcPr>
            <w:tcW w:type="dxa" w:w="2551"/>
          </w:tcPr>
          <w:p>
            <w:pPr>
              <w:jc w:val="center"/>
            </w:pPr>
            <w:r/>
            <w:r>
              <w:rPr>
                <w:rFonts w:ascii="FangSong" w:hAnsi="FangSong" w:eastAsia="FangSong"/>
                <w:sz w:val="18"/>
              </w:rPr>
              <w:t>贵州大学</w:t>
              <w:br/>
              <w:t>朗新科技</w:t>
            </w:r>
          </w:p>
        </w:tc>
      </w:tr>
      <w:tr>
        <w:tc>
          <w:tcPr>
            <w:tcW w:type="dxa" w:w="8220"/>
            <w:gridSpan w:val="4"/>
            <w:shd w:fill="E8EAF6" w:val="clear"/>
          </w:tcPr>
          <w:p>
            <w:pPr>
              <w:jc w:val="left"/>
            </w:pPr>
            <w:r/>
            <w:r>
              <w:rPr>
                <w:rFonts w:ascii="KaiTi" w:hAnsi="KaiTi" w:eastAsia="KaiTi"/>
                <w:b/>
                <w:sz w:val="20"/>
              </w:rPr>
              <w:t>课题五：算电协同与V2G前沿场景验证</w:t>
              <w:br/>
              <w:t>（核心场景：AI数据中心弹性负荷变现、车网互动移动储能 | 行业对标：大唐算电协同+深圳V2G）</w:t>
            </w:r>
          </w:p>
        </w:tc>
      </w:tr>
      <w:tr>
        <w:tc>
          <w:tcPr>
            <w:tcW w:type="dxa" w:w="1134"/>
          </w:tcPr>
          <w:p>
            <w:pPr>
              <w:jc w:val="center"/>
            </w:pPr>
            <w:r/>
            <w:r>
              <w:rPr>
                <w:rFonts w:ascii="FangSong" w:hAnsi="FangSong" w:eastAsia="FangSong"/>
                <w:sz w:val="18"/>
              </w:rPr>
              <w:t>子任务5.1</w:t>
            </w:r>
          </w:p>
        </w:tc>
        <w:tc>
          <w:tcPr>
            <w:tcW w:type="dxa" w:w="2551"/>
          </w:tcPr>
          <w:p>
            <w:pPr>
              <w:jc w:val="center"/>
            </w:pPr>
            <w:r/>
            <w:r>
              <w:rPr>
                <w:rFonts w:ascii="FangSong" w:hAnsi="FangSong" w:eastAsia="FangSong"/>
                <w:sz w:val="18"/>
              </w:rPr>
              <w:t>贵安新区数据中心集群可转移算力负荷评估与弹性调度策略</w:t>
            </w:r>
          </w:p>
        </w:tc>
        <w:tc>
          <w:tcPr>
            <w:tcW w:type="dxa" w:w="1984"/>
          </w:tcPr>
          <w:p>
            <w:pPr>
              <w:jc w:val="center"/>
            </w:pPr>
            <w:r/>
            <w:r>
              <w:rPr>
                <w:rFonts w:ascii="FangSong" w:hAnsi="FangSong" w:eastAsia="FangSong"/>
                <w:sz w:val="18"/>
              </w:rPr>
              <w:t>贵州电网</w:t>
              <w:br/>
              <w:t>（调度中心）</w:t>
            </w:r>
          </w:p>
        </w:tc>
        <w:tc>
          <w:tcPr>
            <w:tcW w:type="dxa" w:w="2551"/>
          </w:tcPr>
          <w:p>
            <w:pPr>
              <w:jc w:val="center"/>
            </w:pPr>
            <w:r/>
            <w:r>
              <w:rPr>
                <w:rFonts w:ascii="FangSong" w:hAnsi="FangSong" w:eastAsia="FangSong"/>
                <w:sz w:val="18"/>
              </w:rPr>
              <w:t>朗新科技</w:t>
              <w:br/>
              <w:t>贵安新区管委会</w:t>
            </w:r>
          </w:p>
        </w:tc>
      </w:tr>
      <w:tr>
        <w:tc>
          <w:tcPr>
            <w:tcW w:type="dxa" w:w="1134"/>
          </w:tcPr>
          <w:p>
            <w:pPr>
              <w:jc w:val="center"/>
            </w:pPr>
            <w:r/>
            <w:r>
              <w:rPr>
                <w:rFonts w:ascii="FangSong" w:hAnsi="FangSong" w:eastAsia="FangSong"/>
                <w:sz w:val="18"/>
              </w:rPr>
              <w:t>子任务5.2</w:t>
            </w:r>
          </w:p>
        </w:tc>
        <w:tc>
          <w:tcPr>
            <w:tcW w:type="dxa" w:w="2551"/>
          </w:tcPr>
          <w:p>
            <w:pPr>
              <w:jc w:val="center"/>
            </w:pPr>
            <w:r/>
            <w:r>
              <w:rPr>
                <w:rFonts w:ascii="FangSong" w:hAnsi="FangSong" w:eastAsia="FangSong"/>
                <w:sz w:val="18"/>
              </w:rPr>
              <w:t>基于V2G的充电桩聚合参与现货与辅助服务市场模式验证</w:t>
            </w:r>
          </w:p>
        </w:tc>
        <w:tc>
          <w:tcPr>
            <w:tcW w:type="dxa" w:w="1984"/>
          </w:tcPr>
          <w:p>
            <w:pPr>
              <w:jc w:val="center"/>
            </w:pPr>
            <w:r/>
            <w:r>
              <w:rPr>
                <w:rFonts w:ascii="FangSong" w:hAnsi="FangSong" w:eastAsia="FangSong"/>
                <w:sz w:val="18"/>
              </w:rPr>
              <w:t>朗新科技</w:t>
            </w:r>
          </w:p>
        </w:tc>
        <w:tc>
          <w:tcPr>
            <w:tcW w:type="dxa" w:w="2551"/>
          </w:tcPr>
          <w:p>
            <w:pPr>
              <w:jc w:val="center"/>
            </w:pPr>
            <w:r/>
            <w:r>
              <w:rPr>
                <w:rFonts w:ascii="FangSong" w:hAnsi="FangSong" w:eastAsia="FangSong"/>
                <w:sz w:val="18"/>
              </w:rPr>
              <w:t>贵州电网</w:t>
              <w:br/>
              <w:t>黔能三安</w:t>
            </w:r>
          </w:p>
        </w:tc>
      </w:tr>
      <w:tr>
        <w:tc>
          <w:tcPr>
            <w:tcW w:type="dxa" w:w="1134"/>
          </w:tcPr>
          <w:p>
            <w:pPr>
              <w:jc w:val="center"/>
            </w:pPr>
            <w:r/>
            <w:r>
              <w:rPr>
                <w:rFonts w:ascii="FangSong" w:hAnsi="FangSong" w:eastAsia="FangSong"/>
                <w:sz w:val="18"/>
              </w:rPr>
              <w:t>子任务5.3</w:t>
            </w:r>
          </w:p>
        </w:tc>
        <w:tc>
          <w:tcPr>
            <w:tcW w:type="dxa" w:w="2551"/>
          </w:tcPr>
          <w:p>
            <w:pPr>
              <w:jc w:val="center"/>
            </w:pPr>
            <w:r/>
            <w:r>
              <w:rPr>
                <w:rFonts w:ascii="FangSong" w:hAnsi="FangSong" w:eastAsia="FangSong"/>
                <w:sz w:val="18"/>
              </w:rPr>
              <w:t>算电协同+V2G多场景联合运营的商业模式与经济性评价</w:t>
            </w:r>
          </w:p>
        </w:tc>
        <w:tc>
          <w:tcPr>
            <w:tcW w:type="dxa" w:w="1984"/>
          </w:tcPr>
          <w:p>
            <w:pPr>
              <w:jc w:val="center"/>
            </w:pPr>
            <w:r/>
            <w:r>
              <w:rPr>
                <w:rFonts w:ascii="FangSong" w:hAnsi="FangSong" w:eastAsia="FangSong"/>
                <w:sz w:val="18"/>
              </w:rPr>
              <w:t>贵州大学</w:t>
            </w:r>
          </w:p>
        </w:tc>
        <w:tc>
          <w:tcPr>
            <w:tcW w:type="dxa" w:w="2551"/>
          </w:tcPr>
          <w:p>
            <w:pPr>
              <w:jc w:val="center"/>
            </w:pPr>
            <w:r/>
            <w:r>
              <w:rPr>
                <w:rFonts w:ascii="FangSong" w:hAnsi="FangSong" w:eastAsia="FangSong"/>
                <w:sz w:val="18"/>
              </w:rPr>
              <w:t>所有参与单位</w:t>
            </w:r>
          </w:p>
        </w:tc>
      </w:tr>
      <w:tr>
        <w:tc>
          <w:tcPr>
            <w:tcW w:type="dxa" w:w="8220"/>
            <w:gridSpan w:val="4"/>
            <w:shd w:fill="E8EAF6" w:val="clear"/>
          </w:tcPr>
          <w:p>
            <w:pPr>
              <w:jc w:val="left"/>
            </w:pPr>
            <w:r/>
            <w:r>
              <w:rPr>
                <w:rFonts w:ascii="KaiTi" w:hAnsi="KaiTi" w:eastAsia="KaiTi"/>
                <w:b/>
                <w:sz w:val="20"/>
              </w:rPr>
              <w:t>课题六：商业化运营模式与规模化推广</w:t>
              <w:br/>
              <w:t>（核心场景：多方收益分配、用户运营、跨园区复制 | 行业对标：三元收益结构）</w:t>
            </w:r>
          </w:p>
        </w:tc>
      </w:tr>
      <w:tr>
        <w:tc>
          <w:tcPr>
            <w:tcW w:type="dxa" w:w="1134"/>
          </w:tcPr>
          <w:p>
            <w:pPr>
              <w:jc w:val="center"/>
            </w:pPr>
            <w:r/>
            <w:r>
              <w:rPr>
                <w:rFonts w:ascii="FangSong" w:hAnsi="FangSong" w:eastAsia="FangSong"/>
                <w:sz w:val="18"/>
              </w:rPr>
              <w:t>子任务6.1</w:t>
            </w:r>
          </w:p>
        </w:tc>
        <w:tc>
          <w:tcPr>
            <w:tcW w:type="dxa" w:w="2551"/>
          </w:tcPr>
          <w:p>
            <w:pPr>
              <w:jc w:val="center"/>
            </w:pPr>
            <w:r/>
            <w:r>
              <w:rPr>
                <w:rFonts w:ascii="FangSong" w:hAnsi="FangSong" w:eastAsia="FangSong"/>
                <w:sz w:val="18"/>
              </w:rPr>
              <w:t>基于{LQ}基础电费+市场收益+绿色溢价{RQ}三元结构的收益测算与分配机制</w:t>
            </w:r>
          </w:p>
        </w:tc>
        <w:tc>
          <w:tcPr>
            <w:tcW w:type="dxa" w:w="1984"/>
          </w:tcPr>
          <w:p>
            <w:pPr>
              <w:jc w:val="center"/>
            </w:pPr>
            <w:r/>
            <w:r>
              <w:rPr>
                <w:rFonts w:ascii="FangSong" w:hAnsi="FangSong" w:eastAsia="FangSong"/>
                <w:sz w:val="18"/>
              </w:rPr>
              <w:t>贵州电网</w:t>
              <w:br/>
              <w:t>（交易中心）</w:t>
            </w:r>
          </w:p>
        </w:tc>
        <w:tc>
          <w:tcPr>
            <w:tcW w:type="dxa" w:w="2551"/>
          </w:tcPr>
          <w:p>
            <w:pPr>
              <w:jc w:val="center"/>
            </w:pPr>
            <w:r/>
            <w:r>
              <w:rPr>
                <w:rFonts w:ascii="FangSong" w:hAnsi="FangSong" w:eastAsia="FangSong"/>
                <w:sz w:val="18"/>
              </w:rPr>
              <w:t>朗新科技</w:t>
              <w:br/>
              <w:t>黔能三安</w:t>
            </w:r>
          </w:p>
        </w:tc>
      </w:tr>
      <w:tr>
        <w:tc>
          <w:tcPr>
            <w:tcW w:type="dxa" w:w="1134"/>
          </w:tcPr>
          <w:p>
            <w:pPr>
              <w:jc w:val="center"/>
            </w:pPr>
            <w:r/>
            <w:r>
              <w:rPr>
                <w:rFonts w:ascii="FangSong" w:hAnsi="FangSong" w:eastAsia="FangSong"/>
                <w:sz w:val="18"/>
              </w:rPr>
              <w:t>子任务6.2</w:t>
            </w:r>
          </w:p>
        </w:tc>
        <w:tc>
          <w:tcPr>
            <w:tcW w:type="dxa" w:w="2551"/>
          </w:tcPr>
          <w:p>
            <w:pPr>
              <w:jc w:val="center"/>
            </w:pPr>
            <w:r/>
            <w:r>
              <w:rPr>
                <w:rFonts w:ascii="FangSong" w:hAnsi="FangSong" w:eastAsia="FangSong"/>
                <w:sz w:val="18"/>
              </w:rPr>
              <w:t>面向终端用户的{LQ}无感参与{RQ}体验优化与区块链透明分账</w:t>
            </w:r>
          </w:p>
        </w:tc>
        <w:tc>
          <w:tcPr>
            <w:tcW w:type="dxa" w:w="1984"/>
          </w:tcPr>
          <w:p>
            <w:pPr>
              <w:jc w:val="center"/>
            </w:pPr>
            <w:r/>
            <w:r>
              <w:rPr>
                <w:rFonts w:ascii="FangSong" w:hAnsi="FangSong" w:eastAsia="FangSong"/>
                <w:sz w:val="18"/>
              </w:rPr>
              <w:t>朗新科技</w:t>
            </w:r>
          </w:p>
        </w:tc>
        <w:tc>
          <w:tcPr>
            <w:tcW w:type="dxa" w:w="2551"/>
          </w:tcPr>
          <w:p>
            <w:pPr>
              <w:jc w:val="center"/>
            </w:pPr>
            <w:r/>
            <w:r>
              <w:rPr>
                <w:rFonts w:ascii="FangSong" w:hAnsi="FangSong" w:eastAsia="FangSong"/>
                <w:sz w:val="18"/>
              </w:rPr>
              <w:t>贵州矿能</w:t>
              <w:br/>
              <w:t>贵州国能</w:t>
            </w:r>
          </w:p>
        </w:tc>
      </w:tr>
      <w:tr>
        <w:tc>
          <w:tcPr>
            <w:tcW w:type="dxa" w:w="1134"/>
          </w:tcPr>
          <w:p>
            <w:pPr>
              <w:jc w:val="center"/>
            </w:pPr>
            <w:r/>
            <w:r>
              <w:rPr>
                <w:rFonts w:ascii="FangSong" w:hAnsi="FangSong" w:eastAsia="FangSong"/>
                <w:sz w:val="18"/>
              </w:rPr>
              <w:t>子任务6.3</w:t>
            </w:r>
          </w:p>
        </w:tc>
        <w:tc>
          <w:tcPr>
            <w:tcW w:type="dxa" w:w="2551"/>
          </w:tcPr>
          <w:p>
            <w:pPr>
              <w:jc w:val="center"/>
            </w:pPr>
            <w:r/>
            <w:r>
              <w:rPr>
                <w:rFonts w:ascii="FangSong" w:hAnsi="FangSong" w:eastAsia="FangSong"/>
                <w:sz w:val="18"/>
              </w:rPr>
              <w:t>可复制推广的虚拟电厂运营标准与{LQ}贵州模式{RQ}推广路径设计</w:t>
            </w:r>
          </w:p>
        </w:tc>
        <w:tc>
          <w:tcPr>
            <w:tcW w:type="dxa" w:w="1984"/>
          </w:tcPr>
          <w:p>
            <w:pPr>
              <w:jc w:val="center"/>
            </w:pPr>
            <w:r/>
            <w:r>
              <w:rPr>
                <w:rFonts w:ascii="FangSong" w:hAnsi="FangSong" w:eastAsia="FangSong"/>
                <w:sz w:val="18"/>
              </w:rPr>
              <w:t>贵州电网</w:t>
              <w:br/>
              <w:t>（发展部）</w:t>
            </w:r>
          </w:p>
        </w:tc>
        <w:tc>
          <w:tcPr>
            <w:tcW w:type="dxa" w:w="2551"/>
          </w:tcPr>
          <w:p>
            <w:pPr>
              <w:jc w:val="center"/>
            </w:pPr>
            <w:r/>
            <w:r>
              <w:rPr>
                <w:rFonts w:ascii="FangSong" w:hAnsi="FangSong" w:eastAsia="FangSong"/>
                <w:sz w:val="18"/>
              </w:rPr>
              <w:t>所有参与单位</w:t>
            </w:r>
          </w:p>
        </w:tc>
      </w:tr>
    </w:tbl>
    <w:p>
      <w:r>
        <w:br w:type="page"/>
      </w:r>
    </w:p>
    <w:p>
      <w:pPr>
        <w:spacing w:before="320" w:after="160" w:line="520" w:lineRule="exact"/>
      </w:pPr>
      <w:r>
        <w:rPr>
          <w:rFonts w:ascii="SimHei" w:hAnsi="SimHei" w:eastAsia="SimHei"/>
          <w:b/>
          <w:sz w:val="32"/>
        </w:rPr>
        <w:t>三、创新点</w:t>
      </w:r>
    </w:p>
    <w:p>
      <w:pPr>
        <w:spacing w:before="240" w:after="160" w:line="520" w:lineRule="exact"/>
      </w:pPr>
      <w:r>
        <w:rPr>
          <w:rFonts w:ascii="KaiTi" w:hAnsi="KaiTi" w:eastAsia="KaiTi"/>
          <w:b/>
          <w:sz w:val="26"/>
        </w:rPr>
        <w:t>创新点一：“资源普查-潜力评估-分级准入”全流程标准化方法</w:t>
      </w:r>
    </w:p>
    <w:p>
      <w:pPr>
        <w:spacing w:after="120" w:line="440" w:lineRule="exact"/>
        <w:ind w:firstLine="480"/>
      </w:pPr>
      <w:r>
        <w:rPr>
          <w:rFonts w:ascii="FangSong" w:hAnsi="FangSong" w:eastAsia="FangSong"/>
          <w:sz w:val="24"/>
        </w:rPr>
        <w:t>打破当前虚拟电厂分散接入、标准不统一的行业痛点，首次面向贵州省全域，建立覆盖工业负荷、小水电、分布式光伏、储能、充电桩（含V2G潜力评估）等五类资源的系统化普查方法，形成“逐户画像、分级定量、动态更新”的可调资源评估体系。该方法填补了贵州存量可调资源“底数不清、潜力不明”的信息空白，为虚拟电厂的规模化、规范化资源准入提供了可操作的标准范式。</w:t>
      </w:r>
    </w:p>
    <w:p>
      <w:pPr>
        <w:spacing w:after="120" w:line="440" w:lineRule="exact"/>
        <w:ind w:firstLine="480"/>
      </w:pPr>
      <w:r>
        <w:rPr>
          <w:rFonts w:ascii="FangSong" w:hAnsi="FangSong" w:eastAsia="FangSong"/>
          <w:color w:val="1565C0"/>
          <w:sz w:val="19"/>
        </w:rPr>
        <w:t>【与现有做法对比】当前虚拟电厂入市以“自愿申报+人工审核”为主，运营商各自接入手册标准不统一。本项目提出的标准化普查方法首次实现贵州全省统一的分级分类体系，并在全国率先将V2G充电桩纳入了可调资源评估框架。</w:t>
      </w:r>
    </w:p>
    <w:p>
      <w:pPr>
        <w:spacing w:before="240" w:after="160" w:line="520" w:lineRule="exact"/>
      </w:pPr>
      <w:r>
        <w:rPr>
          <w:rFonts w:ascii="KaiTi" w:hAnsi="KaiTi" w:eastAsia="KaiTi"/>
          <w:b/>
          <w:sz w:val="26"/>
        </w:rPr>
        <w:t>创新点二：“直控+邀约”双通道协同调控模式</w:t>
      </w:r>
    </w:p>
    <w:p>
      <w:pPr>
        <w:spacing w:after="120" w:line="440" w:lineRule="exact"/>
        <w:ind w:firstLine="480"/>
      </w:pPr>
      <w:r>
        <w:rPr>
          <w:rFonts w:ascii="FangSong" w:hAnsi="FangSong" w:eastAsia="FangSong"/>
          <w:sz w:val="24"/>
        </w:rPr>
        <w:t>针对贵州高载能工业园区的工艺约束与连续生产需求，首创“直控型资源秒级响应+邀约型资源经济激励”的双通道协同调控模式，在保障企业生产安全的前提下实现柔性调节。该模式解决了传统需求响应“一刀切限电”的痛点，为高载能产业园区参与虚拟电厂提供了可落地的商业路径。</w:t>
      </w:r>
    </w:p>
    <w:p>
      <w:pPr>
        <w:spacing w:after="120" w:line="440" w:lineRule="exact"/>
        <w:ind w:firstLine="480"/>
      </w:pPr>
      <w:r>
        <w:rPr>
          <w:rFonts w:ascii="FangSong" w:hAnsi="FangSong" w:eastAsia="FangSong"/>
          <w:color w:val="1565C0"/>
          <w:sz w:val="19"/>
        </w:rPr>
        <w:t>【与现有做法对比】现有虚拟电厂调控以邀约型为主，响应时效慢（小时级）、执行率偏低。本项目将直控型资源响应压缩至秒级，同时保留邀约型的经济激励灵活性，兼顾调控精度与参与意愿。</w:t>
      </w:r>
    </w:p>
    <w:p>
      <w:pPr>
        <w:spacing w:before="240" w:after="160" w:line="520" w:lineRule="exact"/>
      </w:pPr>
      <w:r>
        <w:rPr>
          <w:rFonts w:ascii="KaiTi" w:hAnsi="KaiTi" w:eastAsia="KaiTi"/>
          <w:b/>
          <w:sz w:val="26"/>
        </w:rPr>
        <w:t>创新点三：多市场AI联合报价与自主交易决策引擎</w:t>
      </w:r>
    </w:p>
    <w:p>
      <w:pPr>
        <w:spacing w:after="120" w:line="440" w:lineRule="exact"/>
        <w:ind w:firstLine="480"/>
      </w:pPr>
      <w:r>
        <w:rPr>
          <w:rFonts w:ascii="FangSong" w:hAnsi="FangSong" w:eastAsia="FangSong"/>
          <w:sz w:val="24"/>
        </w:rPr>
        <w:t>基于大语言模型+强化学习的AI交易引擎，构建覆盖现货市场、辅助服务市场、绿电绿证交易、碳市场四类交易品种的联合报价策略自动生成方法，实现从“人工分析报价”到“AI自主交易”的跨越。对标山西风行测控已验证的AI调度模式（聚合超220万千瓦、年结算电量超13亿千瓦时），本项目的AI交易引擎还将纳入贵州特有的水电出力预测和西电东送通道约束，形成适配贵州电网特点的差异化AI策略。</w:t>
      </w:r>
    </w:p>
    <w:p>
      <w:pPr>
        <w:spacing w:after="120" w:line="440" w:lineRule="exact"/>
        <w:ind w:firstLine="480"/>
      </w:pPr>
      <w:r>
        <w:rPr>
          <w:rFonts w:ascii="FangSong" w:hAnsi="FangSong" w:eastAsia="FangSong"/>
          <w:color w:val="1565C0"/>
          <w:sz w:val="19"/>
        </w:rPr>
        <w:t>【与现有做法对比】现有虚拟电厂交易以人工经验决策为主，难以应对多品种、多时段耦合的复杂市场。本项目将AI从“辅助看数”升级为“自主决策”，交易决策效率从小时级压缩至秒级。</w:t>
      </w:r>
    </w:p>
    <w:p>
      <w:pPr>
        <w:spacing w:before="240" w:after="160" w:line="520" w:lineRule="exact"/>
      </w:pPr>
      <w:r>
        <w:rPr>
          <w:rFonts w:ascii="KaiTi" w:hAnsi="KaiTi" w:eastAsia="KaiTi"/>
          <w:b/>
          <w:sz w:val="26"/>
        </w:rPr>
        <w:t>创新点四：算电协同+电碳耦合“双场景”创新运营</w:t>
      </w:r>
    </w:p>
    <w:p>
      <w:pPr>
        <w:spacing w:after="120" w:line="440" w:lineRule="exact"/>
        <w:ind w:firstLine="480"/>
      </w:pPr>
      <w:r>
        <w:rPr>
          <w:rFonts w:ascii="FangSong" w:hAnsi="FangSong" w:eastAsia="FangSong"/>
          <w:sz w:val="24"/>
        </w:rPr>
        <w:t>依托贵州贵安新区全国算力枢纽节点的独特优势，首次将“数据中心弹性算力负荷”纳入虚拟电厂调控资源池，同时构建“绿电消纳-绿证开发-碳减排核算”的绿色价值全链条。对标大唐发电200万千瓦算电协同项目，贵州贵安数据中心集群的算力密度和规模更具优势，算电协同将形成虚拟电厂调节能力的“第二增长曲线”。</w:t>
      </w:r>
    </w:p>
    <w:p>
      <w:pPr>
        <w:spacing w:after="120" w:line="440" w:lineRule="exact"/>
        <w:ind w:firstLine="480"/>
      </w:pPr>
      <w:r>
        <w:rPr>
          <w:rFonts w:ascii="FangSong" w:hAnsi="FangSong" w:eastAsia="FangSong"/>
          <w:color w:val="1565C0"/>
          <w:sz w:val="19"/>
        </w:rPr>
        <w:t>【与现有做法对比】现有虚拟电厂几乎未涉及数据中心算力负荷的聚合调度，也未建立电碳耦合的全链条绿色价值变现体系。本项目首创将两个前沿场景整合在同一运营平台上，实现“算力弹性+碳价值”的双轮驱动。</w:t>
      </w:r>
    </w:p>
    <w:p>
      <w:pPr>
        <w:jc w:val="center"/>
      </w:pPr>
      <w:r>
        <w:drawing>
          <wp:inline xmlns:a="http://schemas.openxmlformats.org/drawingml/2006/main" xmlns:pic="http://schemas.openxmlformats.org/drawingml/2006/picture">
            <wp:extent cx="5029200" cy="3079898"/>
            <wp:docPr id="2" name="Picture 2"/>
            <wp:cNvGraphicFramePr>
              <a:graphicFrameLocks noChangeAspect="1"/>
            </wp:cNvGraphicFramePr>
            <a:graphic>
              <a:graphicData uri="http://schemas.openxmlformats.org/drawingml/2006/picture">
                <pic:pic>
                  <pic:nvPicPr>
                    <pic:cNvPr id="0" name="fig_vpp_sysarch.png"/>
                    <pic:cNvPicPr/>
                  </pic:nvPicPr>
                  <pic:blipFill>
                    <a:blip r:embed="rId10"/>
                    <a:stretch>
                      <a:fillRect/>
                    </a:stretch>
                  </pic:blipFill>
                  <pic:spPr>
                    <a:xfrm>
                      <a:off x="0" y="0"/>
                      <a:ext cx="5029200" cy="3079898"/>
                    </a:xfrm>
                    <a:prstGeom prst="rect"/>
                  </pic:spPr>
                </pic:pic>
              </a:graphicData>
            </a:graphic>
          </wp:inline>
        </w:drawing>
      </w:r>
    </w:p>
    <w:p>
      <w:pPr>
        <w:jc w:val="center"/>
      </w:pPr>
      <w:r>
        <w:rPr>
          <w:rFonts w:ascii="SimSun" w:hAnsi="SimSun" w:eastAsia="SimSun"/>
          <w:color w:val="666666"/>
          <w:sz w:val="18"/>
        </w:rPr>
        <w:t>图3-1  虚拟电厂“多时空尺度智能协同运营”系统总体架构</w:t>
      </w:r>
    </w:p>
    <w:p>
      <w:r>
        <w:br w:type="page"/>
      </w:r>
    </w:p>
    <w:p>
      <w:pPr>
        <w:spacing w:before="320" w:after="160" w:line="520" w:lineRule="exact"/>
      </w:pPr>
      <w:r>
        <w:rPr>
          <w:rFonts w:ascii="SimHei" w:hAnsi="SimHei" w:eastAsia="SimHei"/>
          <w:b/>
          <w:sz w:val="32"/>
        </w:rPr>
        <w:t>四、资金情况</w:t>
      </w:r>
    </w:p>
    <w:p>
      <w:pPr>
        <w:spacing w:after="120" w:line="440" w:lineRule="exact"/>
        <w:ind w:firstLine="480"/>
      </w:pPr>
      <w:r>
        <w:rPr>
          <w:rFonts w:ascii="FangSong" w:hAnsi="FangSong" w:eastAsia="FangSong"/>
          <w:sz w:val="24"/>
        </w:rPr>
        <w:t>本项目总预算为2000万元（较v4增加200万元，专项用于新增的算电协同与V2G场景研究），资金来源包括：国家能源局“人工智能+”能源专项补贴、贵州电网科技项目配套资金、联合申报单位自筹资金三部分。资金安排坚持“业务价值导向+前瞻场景布局”，重点保障可验证的核心业务场景研发与算电协同、V2G等前沿方向探索。</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Pr>
      <w:tblGrid>
        <w:gridCol w:w="1660"/>
        <w:gridCol w:w="1660"/>
        <w:gridCol w:w="1660"/>
        <w:gridCol w:w="1660"/>
        <w:gridCol w:w="1660"/>
      </w:tblGrid>
      <w:tr>
        <w:tc>
          <w:tcPr>
            <w:tcW w:type="dxa" w:w="680"/>
            <w:shd w:fill="1A237E" w:val="clear"/>
          </w:tcPr>
          <w:p>
            <w:pPr>
              <w:jc w:val="center"/>
            </w:pPr>
            <w:r/>
            <w:r>
              <w:rPr>
                <w:rFonts w:ascii="SimHei" w:hAnsi="SimHei" w:eastAsia="SimHei"/>
                <w:b/>
                <w:color w:val="FFFFFF"/>
                <w:sz w:val="20"/>
              </w:rPr>
              <w:t>序号</w:t>
            </w:r>
          </w:p>
        </w:tc>
        <w:tc>
          <w:tcPr>
            <w:tcW w:type="dxa" w:w="2835"/>
            <w:shd w:fill="1A237E" w:val="clear"/>
          </w:tcPr>
          <w:p>
            <w:pPr>
              <w:jc w:val="center"/>
            </w:pPr>
            <w:r/>
            <w:r>
              <w:rPr>
                <w:rFonts w:ascii="SimHei" w:hAnsi="SimHei" w:eastAsia="SimHei"/>
                <w:b/>
                <w:color w:val="FFFFFF"/>
                <w:sz w:val="20"/>
              </w:rPr>
              <w:t>预算科目</w:t>
            </w:r>
          </w:p>
        </w:tc>
        <w:tc>
          <w:tcPr>
            <w:tcW w:type="dxa" w:w="1417"/>
            <w:shd w:fill="1A237E" w:val="clear"/>
          </w:tcPr>
          <w:p>
            <w:pPr>
              <w:jc w:val="center"/>
            </w:pPr>
            <w:r/>
            <w:r>
              <w:rPr>
                <w:rFonts w:ascii="SimHei" w:hAnsi="SimHei" w:eastAsia="SimHei"/>
                <w:b/>
                <w:color w:val="FFFFFF"/>
                <w:sz w:val="20"/>
              </w:rPr>
              <w:t>金额（万元）</w:t>
            </w:r>
          </w:p>
        </w:tc>
        <w:tc>
          <w:tcPr>
            <w:tcW w:type="dxa" w:w="1020"/>
            <w:shd w:fill="1A237E" w:val="clear"/>
          </w:tcPr>
          <w:p>
            <w:pPr>
              <w:jc w:val="center"/>
            </w:pPr>
            <w:r/>
            <w:r>
              <w:rPr>
                <w:rFonts w:ascii="SimHei" w:hAnsi="SimHei" w:eastAsia="SimHei"/>
                <w:b/>
                <w:color w:val="FFFFFF"/>
                <w:sz w:val="20"/>
              </w:rPr>
              <w:t>占比</w:t>
            </w:r>
          </w:p>
        </w:tc>
        <w:tc>
          <w:tcPr>
            <w:tcW w:type="dxa" w:w="3118"/>
            <w:shd w:fill="1A237E" w:val="clear"/>
          </w:tcPr>
          <w:p>
            <w:pPr>
              <w:jc w:val="center"/>
            </w:pPr>
            <w:r/>
            <w:r>
              <w:rPr>
                <w:rFonts w:ascii="SimHei" w:hAnsi="SimHei" w:eastAsia="SimHei"/>
                <w:b/>
                <w:color w:val="FFFFFF"/>
                <w:sz w:val="20"/>
              </w:rPr>
              <w:t>主要用途</w:t>
            </w:r>
          </w:p>
        </w:tc>
      </w:tr>
      <w:tr>
        <w:tc>
          <w:tcPr>
            <w:tcW w:type="dxa" w:w="680"/>
            <w:shd w:fill="E8EAF6" w:val="clear"/>
          </w:tcPr>
          <w:p>
            <w:pPr>
              <w:jc w:val="center"/>
            </w:pPr>
            <w:r/>
            <w:r>
              <w:rPr>
                <w:rFonts w:ascii="SimHei" w:hAnsi="SimHei" w:eastAsia="SimHei"/>
                <w:b/>
                <w:sz w:val="20"/>
              </w:rPr>
              <w:t>序号</w:t>
            </w:r>
          </w:p>
        </w:tc>
        <w:tc>
          <w:tcPr>
            <w:tcW w:type="dxa" w:w="2835"/>
          </w:tcPr>
          <w:p>
            <w:pPr>
              <w:jc w:val="center"/>
            </w:pPr>
            <w:r/>
            <w:r>
              <w:rPr>
                <w:rFonts w:ascii="SimHei" w:hAnsi="SimHei" w:eastAsia="SimHei"/>
                <w:sz w:val="20"/>
              </w:rPr>
              <w:t>预算科目</w:t>
            </w:r>
          </w:p>
        </w:tc>
        <w:tc>
          <w:tcPr>
            <w:tcW w:type="dxa" w:w="1417"/>
          </w:tcPr>
          <w:p>
            <w:pPr>
              <w:jc w:val="center"/>
            </w:pPr>
            <w:r/>
            <w:r>
              <w:rPr>
                <w:rFonts w:ascii="SimHei" w:hAnsi="SimHei" w:eastAsia="SimHei"/>
                <w:sz w:val="20"/>
              </w:rPr>
              <w:t>金额（万元）</w:t>
            </w:r>
          </w:p>
        </w:tc>
        <w:tc>
          <w:tcPr>
            <w:tcW w:type="dxa" w:w="1020"/>
          </w:tcPr>
          <w:p>
            <w:pPr>
              <w:jc w:val="center"/>
            </w:pPr>
            <w:r/>
            <w:r>
              <w:rPr>
                <w:rFonts w:ascii="SimHei" w:hAnsi="SimHei" w:eastAsia="SimHei"/>
                <w:sz w:val="20"/>
              </w:rPr>
              <w:t>占比</w:t>
            </w:r>
          </w:p>
        </w:tc>
        <w:tc>
          <w:tcPr>
            <w:tcW w:type="dxa" w:w="3118"/>
          </w:tcPr>
          <w:p>
            <w:pPr>
              <w:jc w:val="center"/>
            </w:pPr>
            <w:r/>
            <w:r>
              <w:rPr>
                <w:rFonts w:ascii="FangSong" w:hAnsi="FangSong" w:eastAsia="FangSong"/>
                <w:sz w:val="20"/>
              </w:rPr>
              <w:t>主要用途</w:t>
            </w:r>
          </w:p>
        </w:tc>
      </w:tr>
      <w:tr>
        <w:tc>
          <w:tcPr>
            <w:tcW w:type="dxa" w:w="680"/>
            <w:shd w:fill="E8EAF6" w:val="clear"/>
          </w:tcPr>
          <w:p>
            <w:pPr>
              <w:jc w:val="center"/>
            </w:pPr>
            <w:r/>
            <w:r>
              <w:rPr>
                <w:rFonts w:ascii="SimHei" w:hAnsi="SimHei" w:eastAsia="SimHei"/>
                <w:b/>
                <w:sz w:val="20"/>
              </w:rPr>
              <w:t>1</w:t>
            </w:r>
          </w:p>
        </w:tc>
        <w:tc>
          <w:tcPr>
            <w:tcW w:type="dxa" w:w="2835"/>
          </w:tcPr>
          <w:p>
            <w:pPr>
              <w:jc w:val="center"/>
            </w:pPr>
            <w:r/>
            <w:r>
              <w:rPr>
                <w:rFonts w:ascii="SimHei" w:hAnsi="SimHei" w:eastAsia="SimHei"/>
                <w:sz w:val="20"/>
              </w:rPr>
              <w:t>资源普查与潜力评估平台建设</w:t>
            </w:r>
          </w:p>
        </w:tc>
        <w:tc>
          <w:tcPr>
            <w:tcW w:type="dxa" w:w="1417"/>
          </w:tcPr>
          <w:p>
            <w:pPr>
              <w:jc w:val="center"/>
            </w:pPr>
            <w:r/>
            <w:r>
              <w:rPr>
                <w:rFonts w:ascii="SimHei" w:hAnsi="SimHei" w:eastAsia="SimHei"/>
                <w:sz w:val="20"/>
              </w:rPr>
              <w:t>360</w:t>
            </w:r>
          </w:p>
        </w:tc>
        <w:tc>
          <w:tcPr>
            <w:tcW w:type="dxa" w:w="1020"/>
          </w:tcPr>
          <w:p>
            <w:pPr>
              <w:jc w:val="center"/>
            </w:pPr>
            <w:r/>
            <w:r>
              <w:rPr>
                <w:rFonts w:ascii="SimHei" w:hAnsi="SimHei" w:eastAsia="SimHei"/>
                <w:sz w:val="20"/>
              </w:rPr>
              <w:t>18%</w:t>
            </w:r>
          </w:p>
        </w:tc>
        <w:tc>
          <w:tcPr>
            <w:tcW w:type="dxa" w:w="3118"/>
          </w:tcPr>
          <w:p>
            <w:pPr>
              <w:jc w:val="center"/>
            </w:pPr>
            <w:r/>
            <w:r>
              <w:rPr>
                <w:rFonts w:ascii="FangSong" w:hAnsi="FangSong" w:eastAsia="FangSong"/>
                <w:sz w:val="20"/>
              </w:rPr>
              <w:t>覆盖贵州省9个市州的分布式资源普查系统开发与实地调研</w:t>
            </w:r>
          </w:p>
        </w:tc>
      </w:tr>
      <w:tr>
        <w:tc>
          <w:tcPr>
            <w:tcW w:type="dxa" w:w="680"/>
            <w:shd w:fill="E8EAF6" w:val="clear"/>
          </w:tcPr>
          <w:p>
            <w:pPr>
              <w:jc w:val="center"/>
            </w:pPr>
            <w:r/>
            <w:r>
              <w:rPr>
                <w:rFonts w:ascii="SimHei" w:hAnsi="SimHei" w:eastAsia="SimHei"/>
                <w:b/>
                <w:sz w:val="20"/>
              </w:rPr>
              <w:t>2</w:t>
            </w:r>
          </w:p>
        </w:tc>
        <w:tc>
          <w:tcPr>
            <w:tcW w:type="dxa" w:w="2835"/>
          </w:tcPr>
          <w:p>
            <w:pPr>
              <w:jc w:val="center"/>
            </w:pPr>
            <w:r/>
            <w:r>
              <w:rPr>
                <w:rFonts w:ascii="SimHei" w:hAnsi="SimHei" w:eastAsia="SimHei"/>
                <w:sz w:val="20"/>
              </w:rPr>
              <w:t>多市场AI联合交易引擎研发</w:t>
            </w:r>
          </w:p>
        </w:tc>
        <w:tc>
          <w:tcPr>
            <w:tcW w:type="dxa" w:w="1417"/>
          </w:tcPr>
          <w:p>
            <w:pPr>
              <w:jc w:val="center"/>
            </w:pPr>
            <w:r/>
            <w:r>
              <w:rPr>
                <w:rFonts w:ascii="SimHei" w:hAnsi="SimHei" w:eastAsia="SimHei"/>
                <w:sz w:val="20"/>
              </w:rPr>
              <w:t>500</w:t>
            </w:r>
          </w:p>
        </w:tc>
        <w:tc>
          <w:tcPr>
            <w:tcW w:type="dxa" w:w="1020"/>
          </w:tcPr>
          <w:p>
            <w:pPr>
              <w:jc w:val="center"/>
            </w:pPr>
            <w:r/>
            <w:r>
              <w:rPr>
                <w:rFonts w:ascii="SimHei" w:hAnsi="SimHei" w:eastAsia="SimHei"/>
                <w:sz w:val="20"/>
              </w:rPr>
              <w:t>25%</w:t>
            </w:r>
          </w:p>
        </w:tc>
        <w:tc>
          <w:tcPr>
            <w:tcW w:type="dxa" w:w="3118"/>
          </w:tcPr>
          <w:p>
            <w:pPr>
              <w:jc w:val="center"/>
            </w:pPr>
            <w:r/>
            <w:r>
              <w:rPr>
                <w:rFonts w:ascii="FangSong" w:hAnsi="FangSong" w:eastAsia="FangSong"/>
                <w:sz w:val="20"/>
              </w:rPr>
              <w:t>融合大语言模型+强化学习的现货/辅助服务/绿电/碳市场联合报价AI系统</w:t>
            </w:r>
          </w:p>
        </w:tc>
      </w:tr>
      <w:tr>
        <w:tc>
          <w:tcPr>
            <w:tcW w:type="dxa" w:w="680"/>
            <w:shd w:fill="E8EAF6" w:val="clear"/>
          </w:tcPr>
          <w:p>
            <w:pPr>
              <w:jc w:val="center"/>
            </w:pPr>
            <w:r/>
            <w:r>
              <w:rPr>
                <w:rFonts w:ascii="SimHei" w:hAnsi="SimHei" w:eastAsia="SimHei"/>
                <w:b/>
                <w:sz w:val="20"/>
              </w:rPr>
              <w:t>3</w:t>
            </w:r>
          </w:p>
        </w:tc>
        <w:tc>
          <w:tcPr>
            <w:tcW w:type="dxa" w:w="2835"/>
          </w:tcPr>
          <w:p>
            <w:pPr>
              <w:jc w:val="center"/>
            </w:pPr>
            <w:r/>
            <w:r>
              <w:rPr>
                <w:rFonts w:ascii="SimHei" w:hAnsi="SimHei" w:eastAsia="SimHei"/>
                <w:sz w:val="20"/>
              </w:rPr>
              <w:t>双通道协同调控平台开发与部署</w:t>
            </w:r>
          </w:p>
        </w:tc>
        <w:tc>
          <w:tcPr>
            <w:tcW w:type="dxa" w:w="1417"/>
          </w:tcPr>
          <w:p>
            <w:pPr>
              <w:jc w:val="center"/>
            </w:pPr>
            <w:r/>
            <w:r>
              <w:rPr>
                <w:rFonts w:ascii="SimHei" w:hAnsi="SimHei" w:eastAsia="SimHei"/>
                <w:sz w:val="20"/>
              </w:rPr>
              <w:t>360</w:t>
            </w:r>
          </w:p>
        </w:tc>
        <w:tc>
          <w:tcPr>
            <w:tcW w:type="dxa" w:w="1020"/>
          </w:tcPr>
          <w:p>
            <w:pPr>
              <w:jc w:val="center"/>
            </w:pPr>
            <w:r/>
            <w:r>
              <w:rPr>
                <w:rFonts w:ascii="SimHei" w:hAnsi="SimHei" w:eastAsia="SimHei"/>
                <w:sz w:val="20"/>
              </w:rPr>
              <w:t>18%</w:t>
            </w:r>
          </w:p>
        </w:tc>
        <w:tc>
          <w:tcPr>
            <w:tcW w:type="dxa" w:w="3118"/>
          </w:tcPr>
          <w:p>
            <w:pPr>
              <w:jc w:val="center"/>
            </w:pPr>
            <w:r/>
            <w:r>
              <w:rPr>
                <w:rFonts w:ascii="FangSong" w:hAnsi="FangSong" w:eastAsia="FangSong"/>
                <w:sz w:val="20"/>
              </w:rPr>
              <w:t>直控通道AGC/API对接、邀约通道应用开发、边缘计算网关部署</w:t>
            </w:r>
          </w:p>
        </w:tc>
      </w:tr>
      <w:tr>
        <w:tc>
          <w:tcPr>
            <w:tcW w:type="dxa" w:w="680"/>
            <w:shd w:fill="E8EAF6" w:val="clear"/>
          </w:tcPr>
          <w:p>
            <w:pPr>
              <w:jc w:val="center"/>
            </w:pPr>
            <w:r/>
            <w:r>
              <w:rPr>
                <w:rFonts w:ascii="SimHei" w:hAnsi="SimHei" w:eastAsia="SimHei"/>
                <w:b/>
                <w:sz w:val="20"/>
              </w:rPr>
              <w:t>4</w:t>
            </w:r>
          </w:p>
        </w:tc>
        <w:tc>
          <w:tcPr>
            <w:tcW w:type="dxa" w:w="2835"/>
          </w:tcPr>
          <w:p>
            <w:pPr>
              <w:jc w:val="center"/>
            </w:pPr>
            <w:r/>
            <w:r>
              <w:rPr>
                <w:rFonts w:ascii="SimHei" w:hAnsi="SimHei" w:eastAsia="SimHei"/>
                <w:sz w:val="20"/>
              </w:rPr>
              <w:t>算电协同与V2G场景验证</w:t>
            </w:r>
          </w:p>
        </w:tc>
        <w:tc>
          <w:tcPr>
            <w:tcW w:type="dxa" w:w="1417"/>
          </w:tcPr>
          <w:p>
            <w:pPr>
              <w:jc w:val="center"/>
            </w:pPr>
            <w:r/>
            <w:r>
              <w:rPr>
                <w:rFonts w:ascii="SimHei" w:hAnsi="SimHei" w:eastAsia="SimHei"/>
                <w:sz w:val="20"/>
              </w:rPr>
              <w:t>200</w:t>
            </w:r>
          </w:p>
        </w:tc>
        <w:tc>
          <w:tcPr>
            <w:tcW w:type="dxa" w:w="1020"/>
          </w:tcPr>
          <w:p>
            <w:pPr>
              <w:jc w:val="center"/>
            </w:pPr>
            <w:r/>
            <w:r>
              <w:rPr>
                <w:rFonts w:ascii="SimHei" w:hAnsi="SimHei" w:eastAsia="SimHei"/>
                <w:sz w:val="20"/>
              </w:rPr>
              <w:t>10%</w:t>
            </w:r>
          </w:p>
        </w:tc>
        <w:tc>
          <w:tcPr>
            <w:tcW w:type="dxa" w:w="3118"/>
          </w:tcPr>
          <w:p>
            <w:pPr>
              <w:jc w:val="center"/>
            </w:pPr>
            <w:r/>
            <w:r>
              <w:rPr>
                <w:rFonts w:ascii="FangSong" w:hAnsi="FangSong" w:eastAsia="FangSong"/>
                <w:sz w:val="20"/>
              </w:rPr>
              <w:t>贵安数据中心集群算力负荷评估、V2G充电桩聚合调度原型验证</w:t>
            </w:r>
          </w:p>
        </w:tc>
      </w:tr>
      <w:tr>
        <w:tc>
          <w:tcPr>
            <w:tcW w:type="dxa" w:w="680"/>
            <w:shd w:fill="E8EAF6" w:val="clear"/>
          </w:tcPr>
          <w:p>
            <w:pPr>
              <w:jc w:val="center"/>
            </w:pPr>
            <w:r/>
            <w:r>
              <w:rPr>
                <w:rFonts w:ascii="SimHei" w:hAnsi="SimHei" w:eastAsia="SimHei"/>
                <w:b/>
                <w:sz w:val="20"/>
              </w:rPr>
              <w:t>5</w:t>
            </w:r>
          </w:p>
        </w:tc>
        <w:tc>
          <w:tcPr>
            <w:tcW w:type="dxa" w:w="2835"/>
          </w:tcPr>
          <w:p>
            <w:pPr>
              <w:jc w:val="center"/>
            </w:pPr>
            <w:r/>
            <w:r>
              <w:rPr>
                <w:rFonts w:ascii="SimHei" w:hAnsi="SimHei" w:eastAsia="SimHei"/>
                <w:sz w:val="20"/>
              </w:rPr>
              <w:t>试点园区改造与调控终端安装</w:t>
            </w:r>
          </w:p>
        </w:tc>
        <w:tc>
          <w:tcPr>
            <w:tcW w:type="dxa" w:w="1417"/>
          </w:tcPr>
          <w:p>
            <w:pPr>
              <w:jc w:val="center"/>
            </w:pPr>
            <w:r/>
            <w:r>
              <w:rPr>
                <w:rFonts w:ascii="SimHei" w:hAnsi="SimHei" w:eastAsia="SimHei"/>
                <w:sz w:val="20"/>
              </w:rPr>
              <w:t>290</w:t>
            </w:r>
          </w:p>
        </w:tc>
        <w:tc>
          <w:tcPr>
            <w:tcW w:type="dxa" w:w="1020"/>
          </w:tcPr>
          <w:p>
            <w:pPr>
              <w:jc w:val="center"/>
            </w:pPr>
            <w:r/>
            <w:r>
              <w:rPr>
                <w:rFonts w:ascii="SimHei" w:hAnsi="SimHei" w:eastAsia="SimHei"/>
                <w:sz w:val="20"/>
              </w:rPr>
              <w:t>14.5%</w:t>
            </w:r>
          </w:p>
        </w:tc>
        <w:tc>
          <w:tcPr>
            <w:tcW w:type="dxa" w:w="3118"/>
          </w:tcPr>
          <w:p>
            <w:pPr>
              <w:jc w:val="center"/>
            </w:pPr>
            <w:r/>
            <w:r>
              <w:rPr>
                <w:rFonts w:ascii="FangSong" w:hAnsi="FangSong" w:eastAsia="FangSong"/>
                <w:sz w:val="20"/>
              </w:rPr>
              <w:t>黔能三安园区、贵州矿能园区合计不低于5000千瓦可调负荷改造</w:t>
            </w:r>
          </w:p>
        </w:tc>
      </w:tr>
      <w:tr>
        <w:tc>
          <w:tcPr>
            <w:tcW w:type="dxa" w:w="680"/>
            <w:shd w:fill="E8EAF6" w:val="clear"/>
          </w:tcPr>
          <w:p>
            <w:pPr>
              <w:jc w:val="center"/>
            </w:pPr>
            <w:r/>
            <w:r>
              <w:rPr>
                <w:rFonts w:ascii="SimHei" w:hAnsi="SimHei" w:eastAsia="SimHei"/>
                <w:b/>
                <w:sz w:val="20"/>
              </w:rPr>
              <w:t>6</w:t>
            </w:r>
          </w:p>
        </w:tc>
        <w:tc>
          <w:tcPr>
            <w:tcW w:type="dxa" w:w="2835"/>
          </w:tcPr>
          <w:p>
            <w:pPr>
              <w:jc w:val="center"/>
            </w:pPr>
            <w:r/>
            <w:r>
              <w:rPr>
                <w:rFonts w:ascii="SimHei" w:hAnsi="SimHei" w:eastAsia="SimHei"/>
                <w:sz w:val="20"/>
              </w:rPr>
              <w:t>项目管理与成果推广</w:t>
            </w:r>
          </w:p>
        </w:tc>
        <w:tc>
          <w:tcPr>
            <w:tcW w:type="dxa" w:w="1417"/>
          </w:tcPr>
          <w:p>
            <w:pPr>
              <w:jc w:val="center"/>
            </w:pPr>
            <w:r/>
            <w:r>
              <w:rPr>
                <w:rFonts w:ascii="SimHei" w:hAnsi="SimHei" w:eastAsia="SimHei"/>
                <w:sz w:val="20"/>
              </w:rPr>
              <w:t>290</w:t>
            </w:r>
          </w:p>
        </w:tc>
        <w:tc>
          <w:tcPr>
            <w:tcW w:type="dxa" w:w="1020"/>
          </w:tcPr>
          <w:p>
            <w:pPr>
              <w:jc w:val="center"/>
            </w:pPr>
            <w:r/>
            <w:r>
              <w:rPr>
                <w:rFonts w:ascii="SimHei" w:hAnsi="SimHei" w:eastAsia="SimHei"/>
                <w:sz w:val="20"/>
              </w:rPr>
              <w:t>14.5%</w:t>
            </w:r>
          </w:p>
        </w:tc>
        <w:tc>
          <w:tcPr>
            <w:tcW w:type="dxa" w:w="3118"/>
          </w:tcPr>
          <w:p>
            <w:pPr>
              <w:jc w:val="center"/>
            </w:pPr>
            <w:r/>
            <w:r>
              <w:rPr>
                <w:rFonts w:ascii="FangSong" w:hAnsi="FangSong" w:eastAsia="FangSong"/>
                <w:sz w:val="20"/>
              </w:rPr>
              <w:t>技术标准编制、专利申报、成果示范推广与培训、绿电绿证开发</w:t>
            </w:r>
          </w:p>
        </w:tc>
      </w:tr>
      <w:tr>
        <w:tc>
          <w:tcPr>
            <w:tcW w:type="dxa" w:w="680"/>
            <w:shd w:fill="E8EAF6" w:val="clear"/>
          </w:tcPr>
          <w:p>
            <w:pPr>
              <w:jc w:val="center"/>
            </w:pPr>
            <w:r/>
            <w:r>
              <w:rPr>
                <w:rFonts w:ascii="SimHei" w:hAnsi="SimHei" w:eastAsia="SimHei"/>
                <w:b/>
                <w:sz w:val="20"/>
              </w:rPr>
            </w:r>
          </w:p>
        </w:tc>
        <w:tc>
          <w:tcPr>
            <w:tcW w:type="dxa" w:w="2835"/>
          </w:tcPr>
          <w:p>
            <w:pPr>
              <w:jc w:val="center"/>
            </w:pPr>
            <w:r/>
            <w:r>
              <w:rPr>
                <w:rFonts w:ascii="SimHei" w:hAnsi="SimHei" w:eastAsia="SimHei"/>
                <w:sz w:val="20"/>
              </w:rPr>
              <w:t>合计</w:t>
            </w:r>
          </w:p>
        </w:tc>
        <w:tc>
          <w:tcPr>
            <w:tcW w:type="dxa" w:w="1417"/>
          </w:tcPr>
          <w:p>
            <w:pPr>
              <w:jc w:val="center"/>
            </w:pPr>
            <w:r/>
            <w:r>
              <w:rPr>
                <w:rFonts w:ascii="SimHei" w:hAnsi="SimHei" w:eastAsia="SimHei"/>
                <w:sz w:val="20"/>
              </w:rPr>
              <w:t>2000</w:t>
            </w:r>
          </w:p>
        </w:tc>
        <w:tc>
          <w:tcPr>
            <w:tcW w:type="dxa" w:w="1020"/>
          </w:tcPr>
          <w:p>
            <w:pPr>
              <w:jc w:val="center"/>
            </w:pPr>
            <w:r/>
            <w:r>
              <w:rPr>
                <w:rFonts w:ascii="SimHei" w:hAnsi="SimHei" w:eastAsia="SimHei"/>
                <w:sz w:val="20"/>
              </w:rPr>
              <w:t>100%</w:t>
            </w:r>
          </w:p>
        </w:tc>
        <w:tc>
          <w:tcPr>
            <w:tcW w:type="dxa" w:w="3118"/>
          </w:tcPr>
          <w:p>
            <w:pPr>
              <w:jc w:val="center"/>
            </w:pPr>
            <w:r/>
            <w:r>
              <w:rPr>
                <w:rFonts w:ascii="FangSong" w:hAnsi="FangSong" w:eastAsia="FangSong"/>
                <w:sz w:val="20"/>
              </w:rPr>
            </w:r>
          </w:p>
        </w:tc>
      </w:tr>
    </w:tbl>
    <w:p>
      <w:r>
        <w:br w:type="page"/>
      </w:r>
    </w:p>
    <w:p>
      <w:pPr>
        <w:spacing w:before="320" w:after="160" w:line="520" w:lineRule="exact"/>
      </w:pPr>
      <w:r>
        <w:rPr>
          <w:rFonts w:ascii="SimHei" w:hAnsi="SimHei" w:eastAsia="SimHei"/>
          <w:b/>
          <w:sz w:val="32"/>
        </w:rPr>
        <w:t>五、项目整体计划</w:t>
      </w:r>
    </w:p>
    <w:tbl>
      <w:tblPr>
        <w:tblW w:type="auto" w:w="0"/>
        <w:jc w:val="center"/>
        <w:tblLook w:firstColumn="1" w:firstRow="1" w:lastColumn="0" w:lastRow="0" w:noHBand="0" w:noVBand="1" w:val="04A0"/>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Pr>
      <w:tblGrid>
        <w:gridCol w:w="1660"/>
        <w:gridCol w:w="1660"/>
        <w:gridCol w:w="1660"/>
        <w:gridCol w:w="1660"/>
        <w:gridCol w:w="1660"/>
      </w:tblGrid>
      <w:tr>
        <w:tc>
          <w:tcPr>
            <w:tcW w:type="dxa" w:w="567"/>
            <w:shd w:fill="1A237E" w:val="clear"/>
          </w:tcPr>
          <w:p>
            <w:pPr>
              <w:jc w:val="center"/>
            </w:pPr>
            <w:r/>
            <w:r>
              <w:rPr>
                <w:rFonts w:ascii="SimHei" w:hAnsi="SimHei" w:eastAsia="SimHei"/>
                <w:b/>
                <w:color w:val="FFFFFF"/>
                <w:sz w:val="20"/>
              </w:rPr>
              <w:t>序号</w:t>
            </w:r>
          </w:p>
        </w:tc>
        <w:tc>
          <w:tcPr>
            <w:tcW w:type="dxa" w:w="1984"/>
            <w:shd w:fill="1A237E" w:val="clear"/>
          </w:tcPr>
          <w:p>
            <w:pPr>
              <w:jc w:val="center"/>
            </w:pPr>
            <w:r/>
            <w:r>
              <w:rPr>
                <w:rFonts w:ascii="SimHei" w:hAnsi="SimHei" w:eastAsia="SimHei"/>
                <w:b/>
                <w:color w:val="FFFFFF"/>
                <w:sz w:val="20"/>
              </w:rPr>
              <w:t>任务名称</w:t>
            </w:r>
          </w:p>
        </w:tc>
        <w:tc>
          <w:tcPr>
            <w:tcW w:type="dxa" w:w="1134"/>
            <w:shd w:fill="1A237E" w:val="clear"/>
          </w:tcPr>
          <w:p>
            <w:pPr>
              <w:jc w:val="center"/>
            </w:pPr>
            <w:r/>
            <w:r>
              <w:rPr>
                <w:rFonts w:ascii="SimHei" w:hAnsi="SimHei" w:eastAsia="SimHei"/>
                <w:b/>
                <w:color w:val="FFFFFF"/>
                <w:sz w:val="20"/>
              </w:rPr>
              <w:t>开始时间</w:t>
            </w:r>
          </w:p>
        </w:tc>
        <w:tc>
          <w:tcPr>
            <w:tcW w:type="dxa" w:w="1020"/>
            <w:shd w:fill="1A237E" w:val="clear"/>
          </w:tcPr>
          <w:p>
            <w:pPr>
              <w:jc w:val="center"/>
            </w:pPr>
            <w:r/>
            <w:r>
              <w:rPr>
                <w:rFonts w:ascii="SimHei" w:hAnsi="SimHei" w:eastAsia="SimHei"/>
                <w:b/>
                <w:color w:val="FFFFFF"/>
                <w:sz w:val="20"/>
              </w:rPr>
              <w:t>工期</w:t>
            </w:r>
          </w:p>
        </w:tc>
        <w:tc>
          <w:tcPr>
            <w:tcW w:type="dxa" w:w="3515"/>
            <w:shd w:fill="1A237E" w:val="clear"/>
          </w:tcPr>
          <w:p>
            <w:pPr>
              <w:jc w:val="center"/>
            </w:pPr>
            <w:r/>
            <w:r>
              <w:rPr>
                <w:rFonts w:ascii="SimHei" w:hAnsi="SimHei" w:eastAsia="SimHei"/>
                <w:b/>
                <w:color w:val="FFFFFF"/>
                <w:sz w:val="20"/>
              </w:rPr>
              <w:t>任务描述</w:t>
            </w:r>
          </w:p>
        </w:tc>
      </w:tr>
      <w:tr>
        <w:tc>
          <w:tcPr>
            <w:tcW w:type="dxa" w:w="567"/>
          </w:tcPr>
          <w:p>
            <w:pPr>
              <w:jc w:val="center"/>
            </w:pPr>
            <w:r/>
            <w:r>
              <w:rPr>
                <w:rFonts w:ascii="FangSong" w:hAnsi="FangSong" w:eastAsia="FangSong"/>
                <w:sz w:val="18"/>
              </w:rPr>
              <w:t>1</w:t>
            </w:r>
          </w:p>
        </w:tc>
        <w:tc>
          <w:tcPr>
            <w:tcW w:type="dxa" w:w="1984"/>
          </w:tcPr>
          <w:p>
            <w:pPr>
              <w:jc w:val="center"/>
            </w:pPr>
            <w:r/>
            <w:r>
              <w:rPr>
                <w:rFonts w:ascii="FangSong" w:hAnsi="FangSong" w:eastAsia="FangSong"/>
                <w:sz w:val="18"/>
              </w:rPr>
              <w:t>准备阶段：资源普查与现状调研</w:t>
            </w:r>
          </w:p>
        </w:tc>
        <w:tc>
          <w:tcPr>
            <w:tcW w:type="dxa" w:w="1134"/>
          </w:tcPr>
          <w:p>
            <w:pPr>
              <w:jc w:val="center"/>
            </w:pPr>
            <w:r/>
            <w:r>
              <w:rPr>
                <w:rFonts w:ascii="FangSong" w:hAnsi="FangSong" w:eastAsia="FangSong"/>
                <w:sz w:val="18"/>
              </w:rPr>
              <w:t>2026.Q3</w:t>
            </w:r>
          </w:p>
        </w:tc>
        <w:tc>
          <w:tcPr>
            <w:tcW w:type="dxa" w:w="1020"/>
          </w:tcPr>
          <w:p>
            <w:pPr>
              <w:jc w:val="center"/>
            </w:pPr>
            <w:r/>
            <w:r>
              <w:rPr>
                <w:rFonts w:ascii="FangSong" w:hAnsi="FangSong" w:eastAsia="FangSong"/>
                <w:sz w:val="18"/>
              </w:rPr>
              <w:t>3个月</w:t>
            </w:r>
          </w:p>
        </w:tc>
        <w:tc>
          <w:tcPr>
            <w:tcW w:type="dxa" w:w="3515"/>
          </w:tcPr>
          <w:p>
            <w:pPr>
              <w:jc w:val="left"/>
            </w:pPr>
            <w:r/>
            <w:r>
              <w:rPr>
                <w:rFonts w:ascii="FangSong" w:hAnsi="FangSong" w:eastAsia="FangSong"/>
                <w:sz w:val="18"/>
              </w:rPr>
              <w:t>完成贵州省9个市州分布式可调资源普查，建立资源台账（含贵安数据中心集群与充电桩V2G潜力评估）；完成现有平台现状调研与业务痛点分析。</w:t>
            </w:r>
          </w:p>
        </w:tc>
      </w:tr>
      <w:tr>
        <w:tc>
          <w:tcPr>
            <w:tcW w:type="dxa" w:w="567"/>
          </w:tcPr>
          <w:p>
            <w:pPr>
              <w:jc w:val="center"/>
            </w:pPr>
            <w:r/>
            <w:r>
              <w:rPr>
                <w:rFonts w:ascii="FangSong" w:hAnsi="FangSong" w:eastAsia="FangSong"/>
                <w:sz w:val="18"/>
              </w:rPr>
              <w:t>2</w:t>
            </w:r>
          </w:p>
        </w:tc>
        <w:tc>
          <w:tcPr>
            <w:tcW w:type="dxa" w:w="1984"/>
          </w:tcPr>
          <w:p>
            <w:pPr>
              <w:jc w:val="center"/>
            </w:pPr>
            <w:r/>
            <w:r>
              <w:rPr>
                <w:rFonts w:ascii="FangSong" w:hAnsi="FangSong" w:eastAsia="FangSong"/>
                <w:sz w:val="18"/>
              </w:rPr>
              <w:t>研发阶段一：资源评估与准入标准</w:t>
            </w:r>
          </w:p>
        </w:tc>
        <w:tc>
          <w:tcPr>
            <w:tcW w:type="dxa" w:w="1134"/>
          </w:tcPr>
          <w:p>
            <w:pPr>
              <w:jc w:val="center"/>
            </w:pPr>
            <w:r/>
            <w:r>
              <w:rPr>
                <w:rFonts w:ascii="FangSong" w:hAnsi="FangSong" w:eastAsia="FangSong"/>
                <w:sz w:val="18"/>
              </w:rPr>
              <w:t>2026.Q4</w:t>
            </w:r>
          </w:p>
        </w:tc>
        <w:tc>
          <w:tcPr>
            <w:tcW w:type="dxa" w:w="1020"/>
          </w:tcPr>
          <w:p>
            <w:pPr>
              <w:jc w:val="center"/>
            </w:pPr>
            <w:r/>
            <w:r>
              <w:rPr>
                <w:rFonts w:ascii="FangSong" w:hAnsi="FangSong" w:eastAsia="FangSong"/>
                <w:sz w:val="18"/>
              </w:rPr>
              <w:t>3个月</w:t>
            </w:r>
          </w:p>
        </w:tc>
        <w:tc>
          <w:tcPr>
            <w:tcW w:type="dxa" w:w="3515"/>
          </w:tcPr>
          <w:p>
            <w:pPr>
              <w:jc w:val="left"/>
            </w:pPr>
            <w:r/>
            <w:r>
              <w:rPr>
                <w:rFonts w:ascii="FangSong" w:hAnsi="FangSong" w:eastAsia="FangSong"/>
                <w:sz w:val="18"/>
              </w:rPr>
              <w:t>研发多类型资源分级分类可调潜力评估模型（含V2G充电桩）；制定资源准入标准与质量分级体系；开发资源普查与潜力评估平台原型。</w:t>
            </w:r>
          </w:p>
        </w:tc>
      </w:tr>
      <w:tr>
        <w:tc>
          <w:tcPr>
            <w:tcW w:type="dxa" w:w="567"/>
          </w:tcPr>
          <w:p>
            <w:pPr>
              <w:jc w:val="center"/>
            </w:pPr>
            <w:r/>
            <w:r>
              <w:rPr>
                <w:rFonts w:ascii="FangSong" w:hAnsi="FangSong" w:eastAsia="FangSong"/>
                <w:sz w:val="18"/>
              </w:rPr>
              <w:t>3</w:t>
            </w:r>
          </w:p>
        </w:tc>
        <w:tc>
          <w:tcPr>
            <w:tcW w:type="dxa" w:w="1984"/>
          </w:tcPr>
          <w:p>
            <w:pPr>
              <w:jc w:val="center"/>
            </w:pPr>
            <w:r/>
            <w:r>
              <w:rPr>
                <w:rFonts w:ascii="FangSong" w:hAnsi="FangSong" w:eastAsia="FangSong"/>
                <w:sz w:val="18"/>
              </w:rPr>
              <w:t>研发阶段二：多市场AI联合交易引擎</w:t>
            </w:r>
          </w:p>
        </w:tc>
        <w:tc>
          <w:tcPr>
            <w:tcW w:type="dxa" w:w="1134"/>
          </w:tcPr>
          <w:p>
            <w:pPr>
              <w:jc w:val="center"/>
            </w:pPr>
            <w:r/>
            <w:r>
              <w:rPr>
                <w:rFonts w:ascii="FangSong" w:hAnsi="FangSong" w:eastAsia="FangSong"/>
                <w:sz w:val="18"/>
              </w:rPr>
              <w:t>2027.Q1</w:t>
            </w:r>
          </w:p>
        </w:tc>
        <w:tc>
          <w:tcPr>
            <w:tcW w:type="dxa" w:w="1020"/>
          </w:tcPr>
          <w:p>
            <w:pPr>
              <w:jc w:val="center"/>
            </w:pPr>
            <w:r/>
            <w:r>
              <w:rPr>
                <w:rFonts w:ascii="FangSong" w:hAnsi="FangSong" w:eastAsia="FangSong"/>
                <w:sz w:val="18"/>
              </w:rPr>
              <w:t>3个月</w:t>
            </w:r>
          </w:p>
        </w:tc>
        <w:tc>
          <w:tcPr>
            <w:tcW w:type="dxa" w:w="3515"/>
          </w:tcPr>
          <w:p>
            <w:pPr>
              <w:jc w:val="left"/>
            </w:pPr>
            <w:r/>
            <w:r>
              <w:rPr>
                <w:rFonts w:ascii="FangSong" w:hAnsi="FangSong" w:eastAsia="FangSong"/>
                <w:sz w:val="18"/>
              </w:rPr>
              <w:t>研发融合大语言模型+强化学习的现货/辅助服务/绿电/碳市场联合报价AI系统；完成多市场交易仿真环境搭建并验证策略有效性。</w:t>
            </w:r>
          </w:p>
        </w:tc>
      </w:tr>
      <w:tr>
        <w:tc>
          <w:tcPr>
            <w:tcW w:type="dxa" w:w="567"/>
          </w:tcPr>
          <w:p>
            <w:pPr>
              <w:jc w:val="center"/>
            </w:pPr>
            <w:r/>
            <w:r>
              <w:rPr>
                <w:rFonts w:ascii="FangSong" w:hAnsi="FangSong" w:eastAsia="FangSong"/>
                <w:sz w:val="18"/>
              </w:rPr>
              <w:t>4</w:t>
            </w:r>
          </w:p>
        </w:tc>
        <w:tc>
          <w:tcPr>
            <w:tcW w:type="dxa" w:w="1984"/>
          </w:tcPr>
          <w:p>
            <w:pPr>
              <w:jc w:val="center"/>
            </w:pPr>
            <w:r/>
            <w:r>
              <w:rPr>
                <w:rFonts w:ascii="FangSong" w:hAnsi="FangSong" w:eastAsia="FangSong"/>
                <w:sz w:val="18"/>
              </w:rPr>
              <w:t>研发阶段三：双通道调控+前沿场景验证</w:t>
            </w:r>
          </w:p>
        </w:tc>
        <w:tc>
          <w:tcPr>
            <w:tcW w:type="dxa" w:w="1134"/>
          </w:tcPr>
          <w:p>
            <w:pPr>
              <w:jc w:val="center"/>
            </w:pPr>
            <w:r/>
            <w:r>
              <w:rPr>
                <w:rFonts w:ascii="FangSong" w:hAnsi="FangSong" w:eastAsia="FangSong"/>
                <w:sz w:val="18"/>
              </w:rPr>
              <w:t>2027.Q2</w:t>
            </w:r>
          </w:p>
        </w:tc>
        <w:tc>
          <w:tcPr>
            <w:tcW w:type="dxa" w:w="1020"/>
          </w:tcPr>
          <w:p>
            <w:pPr>
              <w:jc w:val="center"/>
            </w:pPr>
            <w:r/>
            <w:r>
              <w:rPr>
                <w:rFonts w:ascii="FangSong" w:hAnsi="FangSong" w:eastAsia="FangSong"/>
                <w:sz w:val="18"/>
              </w:rPr>
              <w:t>3个月</w:t>
            </w:r>
          </w:p>
        </w:tc>
        <w:tc>
          <w:tcPr>
            <w:tcW w:type="dxa" w:w="3515"/>
          </w:tcPr>
          <w:p>
            <w:pPr>
              <w:jc w:val="left"/>
            </w:pPr>
            <w:r/>
            <w:r>
              <w:rPr>
                <w:rFonts w:ascii="FangSong" w:hAnsi="FangSong" w:eastAsia="FangSong"/>
                <w:sz w:val="18"/>
              </w:rPr>
              <w:t>研发直控+邀约双通道调控平台；开展贵安数据中心算力负荷弹性调度验证与V2G充电桩聚合调度原型验证。</w:t>
            </w:r>
          </w:p>
        </w:tc>
      </w:tr>
      <w:tr>
        <w:tc>
          <w:tcPr>
            <w:tcW w:type="dxa" w:w="567"/>
          </w:tcPr>
          <w:p>
            <w:pPr>
              <w:jc w:val="center"/>
            </w:pPr>
            <w:r/>
            <w:r>
              <w:rPr>
                <w:rFonts w:ascii="FangSong" w:hAnsi="FangSong" w:eastAsia="FangSong"/>
                <w:sz w:val="18"/>
              </w:rPr>
              <w:t>5</w:t>
            </w:r>
          </w:p>
        </w:tc>
        <w:tc>
          <w:tcPr>
            <w:tcW w:type="dxa" w:w="1984"/>
          </w:tcPr>
          <w:p>
            <w:pPr>
              <w:jc w:val="center"/>
            </w:pPr>
            <w:r/>
            <w:r>
              <w:rPr>
                <w:rFonts w:ascii="FangSong" w:hAnsi="FangSong" w:eastAsia="FangSong"/>
                <w:sz w:val="18"/>
              </w:rPr>
              <w:t>试点验证：全流程多场景业务跑通</w:t>
            </w:r>
          </w:p>
        </w:tc>
        <w:tc>
          <w:tcPr>
            <w:tcW w:type="dxa" w:w="1134"/>
          </w:tcPr>
          <w:p>
            <w:pPr>
              <w:jc w:val="center"/>
            </w:pPr>
            <w:r/>
            <w:r>
              <w:rPr>
                <w:rFonts w:ascii="FangSong" w:hAnsi="FangSong" w:eastAsia="FangSong"/>
                <w:sz w:val="18"/>
              </w:rPr>
              <w:t>2027.Q3</w:t>
            </w:r>
          </w:p>
        </w:tc>
        <w:tc>
          <w:tcPr>
            <w:tcW w:type="dxa" w:w="1020"/>
          </w:tcPr>
          <w:p>
            <w:pPr>
              <w:jc w:val="center"/>
            </w:pPr>
            <w:r/>
            <w:r>
              <w:rPr>
                <w:rFonts w:ascii="FangSong" w:hAnsi="FangSong" w:eastAsia="FangSong"/>
                <w:sz w:val="18"/>
              </w:rPr>
              <w:t>3个月</w:t>
            </w:r>
          </w:p>
        </w:tc>
        <w:tc>
          <w:tcPr>
            <w:tcW w:type="dxa" w:w="3515"/>
          </w:tcPr>
          <w:p>
            <w:pPr>
              <w:jc w:val="left"/>
            </w:pPr>
            <w:r/>
            <w:r>
              <w:rPr>
                <w:rFonts w:ascii="FangSong" w:hAnsi="FangSong" w:eastAsia="FangSong"/>
                <w:sz w:val="18"/>
              </w:rPr>
              <w:t>在贵州选取不少于2个高载能工业园区+1个数据中心集群开展全流程试点；完成不低于5000千瓦可调负荷的常态化调控；形成{LQ}贵州模式{RQ}运营标准。</w:t>
            </w:r>
          </w:p>
        </w:tc>
      </w:tr>
    </w:tbl>
    <w:p>
      <w:pPr>
        <w:jc w:val="center"/>
      </w:pPr>
      <w:r>
        <w:drawing>
          <wp:inline xmlns:a="http://schemas.openxmlformats.org/drawingml/2006/main" xmlns:pic="http://schemas.openxmlformats.org/drawingml/2006/picture">
            <wp:extent cx="5029200" cy="2503543"/>
            <wp:docPr id="3" name="Picture 3"/>
            <wp:cNvGraphicFramePr>
              <a:graphicFrameLocks noChangeAspect="1"/>
            </wp:cNvGraphicFramePr>
            <a:graphic>
              <a:graphicData uri="http://schemas.openxmlformats.org/drawingml/2006/picture">
                <pic:pic>
                  <pic:nvPicPr>
                    <pic:cNvPr id="0" name="fig_vpp_gantt.png"/>
                    <pic:cNvPicPr/>
                  </pic:nvPicPr>
                  <pic:blipFill>
                    <a:blip r:embed="rId11"/>
                    <a:stretch>
                      <a:fillRect/>
                    </a:stretch>
                  </pic:blipFill>
                  <pic:spPr>
                    <a:xfrm>
                      <a:off x="0" y="0"/>
                      <a:ext cx="5029200" cy="2503543"/>
                    </a:xfrm>
                    <a:prstGeom prst="rect"/>
                  </pic:spPr>
                </pic:pic>
              </a:graphicData>
            </a:graphic>
          </wp:inline>
        </w:drawing>
      </w:r>
    </w:p>
    <w:p>
      <w:pPr>
        <w:jc w:val="center"/>
      </w:pPr>
      <w:r>
        <w:rPr>
          <w:rFonts w:ascii="SimSun" w:hAnsi="SimSun" w:eastAsia="SimSun"/>
          <w:color w:val="666666"/>
          <w:sz w:val="18"/>
        </w:rPr>
        <w:t>图5-1  虚拟电厂“多时空尺度智能协同运营”项目实施计划甘特图（15个月）</w:t>
      </w:r>
    </w:p>
    <w:p>
      <w:r>
        <w:br w:type="page"/>
      </w:r>
    </w:p>
    <w:p>
      <w:pPr>
        <w:spacing w:before="320" w:after="160" w:line="520" w:lineRule="exact"/>
      </w:pPr>
      <w:r>
        <w:rPr>
          <w:rFonts w:ascii="SimHei" w:hAnsi="SimHei" w:eastAsia="SimHei"/>
          <w:b/>
          <w:sz w:val="32"/>
        </w:rPr>
        <w:t>六、待协调事项</w:t>
      </w:r>
    </w:p>
    <w:p>
      <w:pPr>
        <w:spacing w:after="120" w:line="440" w:lineRule="exact"/>
        <w:ind w:firstLine="480"/>
      </w:pPr>
      <w:r>
        <w:rPr>
          <w:rFonts w:ascii="FangSong" w:hAnsi="FangSong" w:eastAsia="FangSong"/>
          <w:sz w:val="24"/>
        </w:rPr>
        <w:t>为确保项目顺利推进和实施，以下事项需在项目启动前期重点协调落实：</w:t>
      </w:r>
    </w:p>
    <w:p>
      <w:pPr>
        <w:spacing w:before="240" w:after="160" w:line="520" w:lineRule="exact"/>
      </w:pPr>
      <w:r>
        <w:rPr>
          <w:rFonts w:ascii="KaiTi" w:hAnsi="KaiTi" w:eastAsia="KaiTi"/>
          <w:b/>
          <w:sz w:val="26"/>
        </w:rPr>
        <w:t>事项一：贵州电网调度中心AGC/API直控接口开放</w:t>
      </w:r>
    </w:p>
    <w:p>
      <w:pPr>
        <w:spacing w:after="120" w:line="440" w:lineRule="exact"/>
        <w:ind w:firstLine="480"/>
      </w:pPr>
      <w:r>
        <w:rPr>
          <w:rFonts w:ascii="FangSong" w:hAnsi="FangSong" w:eastAsia="FangSong"/>
          <w:sz w:val="24"/>
        </w:rPr>
        <w:t>双通道调控模式中的“直控通道”需要调度中心开放AGC系统API接口，支持虚拟电厂平台以秒级/分钟级频次下发调控指令。需协调调度中心明确接口开放的时间表、接口规范与安全认证机制，并纳入2026年电网数字化技改计划统筹实施。</w:t>
      </w:r>
    </w:p>
    <w:p>
      <w:pPr>
        <w:spacing w:before="240" w:after="160" w:line="520" w:lineRule="exact"/>
      </w:pPr>
      <w:r>
        <w:rPr>
          <w:rFonts w:ascii="KaiTi" w:hAnsi="KaiTi" w:eastAsia="KaiTi"/>
          <w:b/>
          <w:sz w:val="26"/>
        </w:rPr>
        <w:t>事项二：贵州省电力交易中心虚拟电厂准入与结算规则细则</w:t>
      </w:r>
    </w:p>
    <w:p>
      <w:pPr>
        <w:spacing w:after="120" w:line="440" w:lineRule="exact"/>
        <w:ind w:firstLine="480"/>
      </w:pPr>
      <w:r>
        <w:rPr>
          <w:rFonts w:ascii="FangSong" w:hAnsi="FangSong" w:eastAsia="FangSong"/>
          <w:sz w:val="24"/>
        </w:rPr>
        <w:t>当前贵州省虚拟电厂参与现货市场、绿电绿证交易、辅助服务市场的准入条件、结算规则、收益分配指引尚未出台细则，导致项目商业化运营路径存在政策不确定性。需协调省交易中心加快制定多市场参与的入市细则，明确“聚合商注册-资源准入-多市场交易-绿证核发-结算分配”全链路规则。</w:t>
      </w:r>
    </w:p>
    <w:p>
      <w:pPr>
        <w:spacing w:before="240" w:after="160" w:line="520" w:lineRule="exact"/>
      </w:pPr>
      <w:r>
        <w:rPr>
          <w:rFonts w:ascii="KaiTi" w:hAnsi="KaiTi" w:eastAsia="KaiTi"/>
          <w:b/>
          <w:sz w:val="26"/>
        </w:rPr>
        <w:t>事项三：贵安新区数据中心集群算力负荷数据共享与协同机制</w:t>
      </w:r>
    </w:p>
    <w:p>
      <w:pPr>
        <w:spacing w:after="120" w:line="440" w:lineRule="exact"/>
        <w:ind w:firstLine="480"/>
      </w:pPr>
      <w:r>
        <w:rPr>
          <w:rFonts w:ascii="FangSong" w:hAnsi="FangSong" w:eastAsia="FangSong"/>
          <w:sz w:val="24"/>
        </w:rPr>
        <w:t>算电协同场景需要接入贵安新区数据中心集群的实时算力负荷数据，涉及腾讯、华为、苹果等多家数据中心运营商的商业数据共享与协同配合。需协调贵安新区管委会、省大数据局及各数据中心运营商，建立算力负荷数据共享机制与弹性调度合作协议。</w:t>
      </w:r>
    </w:p>
    <w:p>
      <w:pPr>
        <w:spacing w:before="240" w:after="160" w:line="520" w:lineRule="exact"/>
      </w:pPr>
      <w:r>
        <w:rPr>
          <w:rFonts w:ascii="KaiTi" w:hAnsi="KaiTi" w:eastAsia="KaiTi"/>
          <w:b/>
          <w:sz w:val="26"/>
        </w:rPr>
        <w:t>事项四：联合申报单位的任务分工与知识产权归属</w:t>
      </w:r>
    </w:p>
    <w:p>
      <w:pPr>
        <w:spacing w:after="120" w:line="440" w:lineRule="exact"/>
        <w:ind w:firstLine="480"/>
      </w:pPr>
      <w:r>
        <w:rPr>
          <w:rFonts w:ascii="FangSong" w:hAnsi="FangSong" w:eastAsia="FangSong"/>
          <w:sz w:val="24"/>
        </w:rPr>
        <w:t>本项目参与方较多（贵州电网、朗新科技、黔能三安、贵州矿能、贵州国能、贵州大学、贵安新区），需在各参与方之间明确任务分工、交付物标准、知识产权归属与成果转化收益分配机制，并签署正式的联合申报协议与任务书，保障项目规范实施。</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