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60" w:before="120" w:line="360" w:lineRule="auto"/>
        <w:jc w:val="left"/>
      </w:pPr>
      <w:r>
        <w:rPr>
          <w:rFonts w:ascii="Times New Roman" w:cs="Times New Roman" w:eastAsia="Times New Roman" w:hAnsi="Times New Roman"/>
          <w:b/>
          <w:bCs/>
          <w:sz w:val="30"/>
          <w:szCs w:val="30"/>
        </w:rPr>
        <w:t xml:space="preserve">一、项目背景与必要性</w:t>
      </w:r>
    </w:p>
    <w:p>
      <w:pPr>
        <w:pStyle w:val="Heading2"/>
        <w:spacing w:after="60" w:before="60" w:line="360" w:lineRule="auto"/>
        <w:jc w:val="left"/>
      </w:pPr>
      <w:r>
        <w:rPr>
          <w:rFonts w:ascii="Times New Roman" w:cs="Times New Roman" w:eastAsia="Times New Roman" w:hAnsi="Times New Roman"/>
          <w:b/>
          <w:bCs/>
          <w:sz w:val="28"/>
          <w:szCs w:val="28"/>
        </w:rPr>
        <w:t xml:space="preserve">（一）行业背景与政策环境</w:t>
      </w:r>
    </w:p>
    <w:p>
      <w:pPr>
        <w:spacing w:line="360" w:lineRule="auto"/>
        <w:ind w:firstLine="480"/>
        <w:jc w:val="both"/>
      </w:pPr>
      <w:r>
        <w:rPr>
          <w:rFonts w:ascii="Times New Roman" w:cs="Times New Roman" w:eastAsia="Times New Roman" w:hAnsi="Times New Roman"/>
          <w:sz w:val="24"/>
          <w:szCs w:val="24"/>
        </w:rPr>
        <w:t xml:space="preserve">当前，我国电力系统正处于以新能源为主体的新型电力系统加速构建期。高载能工业园区（如钢铁、电解铝、铁合金、电石等行业）作为电力消费大户，其用电量约占全社会用电量的30%以上，单园区负荷可达数百兆瓦。这类负荷具有“间歇冲击特性强、功率波动幅度大、调节响应要求快”的典型特征，电弧炉、精炼炉等核心设备在冶炼周期内电流波动幅度可达额定值的50%~150%，导致园区并网点电压频繁跌落与闪变，引发企业生产线保护性跳闸、产品合格率下降等系列问题。</w:t>
      </w:r>
    </w:p>
    <w:p>
      <w:pPr>
        <w:spacing w:line="360" w:lineRule="auto"/>
        <w:ind w:firstLine="480"/>
        <w:jc w:val="both"/>
      </w:pPr>
      <w:r>
        <w:rPr>
          <w:rFonts w:ascii="Times New Roman" w:cs="Times New Roman" w:eastAsia="Times New Roman" w:hAnsi="Times New Roman"/>
          <w:sz w:val="24"/>
          <w:szCs w:val="24"/>
        </w:rPr>
        <w:t xml:space="preserve">国家能源局《关于加快推进能源数字化智能化发展的若干意见》明确要求“推动人工智能技术在负荷侧的应用，提升需求侧响应能力”，《“十四五”现代能源体系规划》强调“加强电力负荷管理，推广柔性负荷调控技术”。2023年电力供需紧张期间，部分省份电炉企业被迫错峰生产，日均影响产量约0.9万吨、直接经济损失超千万元，“生产用电不稳定”已成为高耗能企业的核心痛点。当前主流的负荷管理手段以刚性限电、轮停方案为主，不仅严重影响企业连续生产的经济性，更暴露出传统负荷管理“一刀切”模式与工业园区精细化、柔性化调控需求之间的突出矛盾。</w:t>
      </w:r>
    </w:p>
    <w:p>
      <w:pPr>
        <w:pStyle w:val="Heading2"/>
        <w:spacing w:after="60" w:before="60" w:line="360" w:lineRule="auto"/>
        <w:jc w:val="left"/>
      </w:pPr>
      <w:r>
        <w:rPr>
          <w:rFonts w:ascii="Times New Roman" w:cs="Times New Roman" w:eastAsia="Times New Roman" w:hAnsi="Times New Roman"/>
          <w:b/>
          <w:bCs/>
          <w:sz w:val="28"/>
          <w:szCs w:val="28"/>
        </w:rPr>
        <w:t xml:space="preserve">（二）问题剖析与痛点分析</w:t>
      </w:r>
    </w:p>
    <w:p>
      <w:pPr>
        <w:spacing w:line="360" w:lineRule="auto"/>
        <w:ind w:firstLine="480"/>
        <w:jc w:val="both"/>
      </w:pPr>
      <w:r>
        <w:rPr>
          <w:rFonts w:ascii="Times New Roman" w:cs="Times New Roman" w:eastAsia="Times New Roman" w:hAnsi="Times New Roman"/>
          <w:sz w:val="24"/>
          <w:szCs w:val="24"/>
        </w:rPr>
        <w:t xml:space="preserve">当前高载能工业园区负荷调控面临三大核心瓶颈，亟需人工智能技术的深度介入予以破解：</w:t>
      </w:r>
    </w:p>
    <w:p>
      <w:pPr>
        <w:spacing w:line="360" w:lineRule="auto"/>
        <w:ind w:firstLine="480"/>
        <w:jc w:val="both"/>
      </w:pPr>
      <w:r>
        <w:rPr>
          <w:rFonts w:ascii="Times New Roman" w:cs="Times New Roman" w:eastAsia="Times New Roman" w:hAnsi="Times New Roman"/>
          <w:b/>
          <w:bCs/>
          <w:sz w:val="24"/>
          <w:szCs w:val="24"/>
        </w:rPr>
        <w:t xml:space="preserve">第一，“看不清”——负荷特性认知不足。</w:t>
      </w:r>
      <w:r>
        <w:rPr>
          <w:rFonts w:ascii="Times New Roman" w:cs="Times New Roman" w:eastAsia="Times New Roman" w:hAnsi="Times New Roman"/>
          <w:sz w:val="24"/>
          <w:szCs w:val="24"/>
        </w:rPr>
        <w:t xml:space="preserve">高载能工业设备（整流机组、电弧炉、电锅炉等）的电热耦合、多物理场交互特性极为复杂，传统的简化等效模型难以刻画设备在不同工艺阶段的瞬时功率裕度与安全约束边界，导致可调节潜力长期被低估，本可挖掘的柔性资源沦为“僵尸负荷”。人工智能特别是基于物理信息神经网络（PINN）的混合建模方法，可将电热耦合物理方程作为正则化项嵌入深度学习训练，实现数据驱动与第一性原理的有机融合，从根本上提升负荷特性认知的科学性与精细化水平。</w:t>
      </w:r>
    </w:p>
    <w:p>
      <w:pPr>
        <w:spacing w:line="360" w:lineRule="auto"/>
        <w:ind w:firstLine="480"/>
        <w:jc w:val="both"/>
      </w:pPr>
      <w:r>
        <w:rPr>
          <w:rFonts w:ascii="Times New Roman" w:cs="Times New Roman" w:eastAsia="Times New Roman" w:hAnsi="Times New Roman"/>
          <w:b/>
          <w:bCs/>
          <w:sz w:val="24"/>
          <w:szCs w:val="24"/>
        </w:rPr>
        <w:t xml:space="preserve">第二，“调不准”——调控策略颗粒度粗。</w:t>
      </w:r>
      <w:r>
        <w:rPr>
          <w:rFonts w:ascii="Times New Roman" w:cs="Times New Roman" w:eastAsia="Times New Roman" w:hAnsi="Times New Roman"/>
          <w:sz w:val="24"/>
          <w:szCs w:val="24"/>
        </w:rPr>
        <w:t xml:space="preserve">现有负荷管理系统以园区关口总表为调控对象，按照整体百分比下达限电指令，完全忽视了园区内部不同设备、不同工艺阶段、不同产品线之间的差异化调节能力与优先级差异，造成优质产能与低效产线“一刀切”式的减负荷。深度强化学习（DRL）尤其是多智能体强化学习（MARL）技术的发展，为在复杂约束空间中求解多目标协同最优群控策略提供了有力工具，可实现分钟级精细化滚动优化，确保“削峰不减产、调压不跳闸”。</w:t>
      </w:r>
    </w:p>
    <w:p>
      <w:pPr>
        <w:spacing w:line="360" w:lineRule="auto"/>
        <w:ind w:firstLine="480"/>
        <w:jc w:val="both"/>
      </w:pPr>
      <w:r>
        <w:rPr>
          <w:rFonts w:ascii="Times New Roman" w:cs="Times New Roman" w:eastAsia="Times New Roman" w:hAnsi="Times New Roman"/>
          <w:b/>
          <w:bCs/>
          <w:sz w:val="24"/>
          <w:szCs w:val="24"/>
        </w:rPr>
        <w:t xml:space="preserve">第三，“联不通”——信息物理融合欠缺。</w:t>
      </w:r>
      <w:r>
        <w:rPr>
          <w:rFonts w:ascii="Times New Roman" w:cs="Times New Roman" w:eastAsia="Times New Roman" w:hAnsi="Times New Roman"/>
          <w:sz w:val="24"/>
          <w:szCs w:val="24"/>
        </w:rPr>
        <w:t xml:space="preserve">高载能工业企业普遍建有独立的MES/EMS等工业控制系统，但电网侧负荷管理系统与用户侧生产管理系统之间缺乏数据交互通道与协同决策机制，电网侧下达负荷调控指令时无法感知用户当前的生产状态与工艺约束，用户侧也难以将自身的柔性调节能力实时上报电网调度。知识图谱与图神经网络（GNN）技术可在海量异构数据中提取和结构化存储设备特性与调控经验，支撑跨系统的语义理解与智能协同决策。</w:t>
      </w:r>
    </w:p>
    <w:p>
      <w:pPr>
        <w:spacing w:line="360" w:lineRule="auto"/>
        <w:ind w:firstLine="480"/>
        <w:jc w:val="both"/>
      </w:pPr>
      <w:r>
        <w:rPr>
          <w:rFonts w:ascii="Times New Roman" w:cs="Times New Roman" w:eastAsia="Times New Roman" w:hAnsi="Times New Roman"/>
          <w:sz w:val="24"/>
          <w:szCs w:val="24"/>
        </w:rPr>
        <w:t xml:space="preserve">为此，亟需引入人工智能技术，以数据驱动的方式重建高载能工业负荷的精细化特性认知体系，突破“无感调节窗口”的智能识别、园区级多目标协同群控优化等关键技术，构建覆盖“感知-认知-决策-控制”全链条的智能化负荷调控能力。</w:t>
      </w:r>
    </w:p>
    <w:p>
      <w:pPr>
        <w:pStyle w:val="Heading2"/>
        <w:spacing w:after="60" w:before="60" w:line="360" w:lineRule="auto"/>
        <w:jc w:val="left"/>
      </w:pPr>
      <w:r>
        <w:rPr>
          <w:rFonts w:ascii="Times New Roman" w:cs="Times New Roman" w:eastAsia="Times New Roman" w:hAnsi="Times New Roman"/>
          <w:b/>
          <w:bCs/>
          <w:sz w:val="28"/>
          <w:szCs w:val="28"/>
        </w:rPr>
        <w:t xml:space="preserve">（三）项目开展的必要性与意义</w:t>
      </w:r>
    </w:p>
    <w:p>
      <w:pPr>
        <w:spacing w:line="360" w:lineRule="auto"/>
        <w:ind w:firstLine="480"/>
        <w:jc w:val="both"/>
      </w:pPr>
      <w:r>
        <w:rPr>
          <w:rFonts w:ascii="Times New Roman" w:cs="Times New Roman" w:eastAsia="Times New Roman" w:hAnsi="Times New Roman"/>
          <w:sz w:val="24"/>
          <w:szCs w:val="24"/>
        </w:rPr>
        <w:t xml:space="preserve">本项目立足电网负荷管理业务的实际需求，以“不改造一次设备、不新建专用通信网”为基本原则，依托现有负荷管理系统基础设施与HPLC（高速电力线载波）数据通道，提出了面向高载能工业园区柔性无感群调群控的轻量化技术解决方案。项目的必要性与重要意义体现在以下四个方面：</w:t>
      </w:r>
    </w:p>
    <w:p>
      <w:pPr>
        <w:spacing w:line="360" w:lineRule="auto"/>
        <w:ind w:firstLine="480"/>
        <w:jc w:val="both"/>
      </w:pPr>
      <w:r>
        <w:rPr>
          <w:rFonts w:ascii="Times New Roman" w:cs="Times New Roman" w:eastAsia="Times New Roman" w:hAnsi="Times New Roman"/>
          <w:b/>
          <w:bCs/>
          <w:sz w:val="24"/>
          <w:szCs w:val="24"/>
        </w:rPr>
        <w:t xml:space="preserve">一是破解工业园区“供电稳定性与负荷可控性”两难困境的迫切需求。</w:t>
      </w:r>
      <w:r>
        <w:rPr>
          <w:rFonts w:ascii="Times New Roman" w:cs="Times New Roman" w:eastAsia="Times New Roman" w:hAnsi="Times New Roman"/>
          <w:sz w:val="24"/>
          <w:szCs w:val="24"/>
        </w:rPr>
        <w:t xml:space="preserve">项目通过AI技术的深度嵌入，实现了在保障企业核心生产连续性的前提下挖掘柔性调节潜力，使高载能负荷从“被动受限”转向“主动协同”，从根本上化解了电网调峰安全与用户生产效益之间的矛盾。</w:t>
      </w:r>
    </w:p>
    <w:p>
      <w:pPr>
        <w:spacing w:line="360" w:lineRule="auto"/>
        <w:ind w:firstLine="480"/>
        <w:jc w:val="both"/>
      </w:pPr>
      <w:r>
        <w:rPr>
          <w:rFonts w:ascii="Times New Roman" w:cs="Times New Roman" w:eastAsia="Times New Roman" w:hAnsi="Times New Roman"/>
          <w:b/>
          <w:bCs/>
          <w:sz w:val="24"/>
          <w:szCs w:val="24"/>
        </w:rPr>
        <w:t xml:space="preserve">二是服务新型电力系统建设、支撑新能源高比例消纳的战略需要。</w:t>
      </w:r>
      <w:r>
        <w:rPr>
          <w:rFonts w:ascii="Times New Roman" w:cs="Times New Roman" w:eastAsia="Times New Roman" w:hAnsi="Times New Roman"/>
          <w:sz w:val="24"/>
          <w:szCs w:val="24"/>
        </w:rPr>
        <w:t xml:space="preserve">随着间歇性可再生能源占比持续提升，电力系统的灵活调节资源日益稀缺。高载能工业园区集聚了大规模、快响应的优质可调资源，本项目的实施可将工业园区打造为高质量的可调节资源池，为新能源消纳与电力现货市场提供有力支撑。</w:t>
      </w:r>
    </w:p>
    <w:p>
      <w:pPr>
        <w:spacing w:line="360" w:lineRule="auto"/>
        <w:ind w:firstLine="480"/>
        <w:jc w:val="both"/>
      </w:pPr>
      <w:r>
        <w:rPr>
          <w:rFonts w:ascii="Times New Roman" w:cs="Times New Roman" w:eastAsia="Times New Roman" w:hAnsi="Times New Roman"/>
          <w:b/>
          <w:bCs/>
          <w:sz w:val="24"/>
          <w:szCs w:val="24"/>
        </w:rPr>
        <w:t xml:space="preserve">三是落实“双碳”目标、推动工业领域绿色低碳转型的重要抓手。</w:t>
      </w:r>
      <w:r>
        <w:rPr>
          <w:rFonts w:ascii="Times New Roman" w:cs="Times New Roman" w:eastAsia="Times New Roman" w:hAnsi="Times New Roman"/>
          <w:sz w:val="24"/>
          <w:szCs w:val="24"/>
        </w:rPr>
        <w:t xml:space="preserve">通过精准的AI优化调控引导企业利用峰谷电价差异优化生产节奏，降低高峰时段用电量，减少高碳排放机组的调用频次，助力工业领域实现“用电降碳、生产增效”的协同优化。</w:t>
      </w:r>
    </w:p>
    <w:p>
      <w:pPr>
        <w:spacing w:line="360" w:lineRule="auto"/>
        <w:ind w:firstLine="480"/>
        <w:jc w:val="both"/>
      </w:pPr>
      <w:r>
        <w:rPr>
          <w:rFonts w:ascii="Times New Roman" w:cs="Times New Roman" w:eastAsia="Times New Roman" w:hAnsi="Times New Roman"/>
          <w:b/>
          <w:bCs/>
          <w:sz w:val="24"/>
          <w:szCs w:val="24"/>
        </w:rPr>
        <w:t xml:space="preserve">四是AI赋能能源领域、培育新质生产力的典型示范。</w:t>
      </w:r>
      <w:r>
        <w:rPr>
          <w:rFonts w:ascii="Times New Roman" w:cs="Times New Roman" w:eastAsia="Times New Roman" w:hAnsi="Times New Roman"/>
          <w:sz w:val="24"/>
          <w:szCs w:val="24"/>
        </w:rPr>
        <w:t xml:space="preserve">本项目瞄准“人工智能+”能源高价值场景，综合运用深度学习、深度强化学习、知识图谱、联邦学习等前沿AI技术解决传统电力负荷管理领域的深层次难题，具有显著的技术先进性、场景创新性和行业示范性，将为全国范围内同类工业园区提供可复制、可推广的AI赋能范式。</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二、技术方案与实施路径</w:t>
      </w:r>
    </w:p>
    <w:p>
      <w:pPr>
        <w:pStyle w:val="Heading2"/>
        <w:spacing w:after="60" w:before="60" w:line="360" w:lineRule="auto"/>
        <w:jc w:val="left"/>
      </w:pPr>
      <w:r>
        <w:rPr>
          <w:rFonts w:ascii="Times New Roman" w:cs="Times New Roman" w:eastAsia="Times New Roman" w:hAnsi="Times New Roman"/>
          <w:b/>
          <w:bCs/>
          <w:sz w:val="28"/>
          <w:szCs w:val="28"/>
        </w:rPr>
        <w:t xml:space="preserve">（一）技术路线</w:t>
      </w:r>
    </w:p>
    <w:p>
      <w:pPr>
        <w:spacing w:line="360" w:lineRule="auto"/>
        <w:ind w:firstLine="480"/>
        <w:jc w:val="both"/>
      </w:pPr>
      <w:r>
        <w:rPr>
          <w:rFonts w:ascii="Times New Roman" w:cs="Times New Roman" w:eastAsia="Times New Roman" w:hAnsi="Times New Roman"/>
          <w:sz w:val="24"/>
          <w:szCs w:val="24"/>
        </w:rPr>
        <w:t xml:space="preserve">本项目采用“数据驱动+知识引导+AI增强”的技术路线，核心思路为：以工业园区历史运行数据、实时量测数据和工艺约束数据为基础，通过深度学习构建高载能工业设备的高精度数字孪生模型与“无感调节窗口”智能识别模型；基于多智能体强化学习研发园区级群调群控优化策略；最终通过AI决策引擎将调控策略嵌入省级负荷管理系统的执行闭环。总体技术路线可概括为四层架构：</w:t>
      </w:r>
    </w:p>
    <w:p>
      <w:pPr>
        <w:spacing w:line="360" w:lineRule="auto"/>
        <w:ind w:firstLine="480"/>
        <w:jc w:val="both"/>
      </w:pPr>
      <w:r>
        <w:rPr>
          <w:rFonts w:ascii="Times New Roman" w:cs="Times New Roman" w:eastAsia="Times New Roman" w:hAnsi="Times New Roman"/>
          <w:b/>
          <w:bCs/>
          <w:sz w:val="24"/>
          <w:szCs w:val="24"/>
        </w:rPr>
        <w:t xml:space="preserve">① 数据感知层——</w:t>
      </w:r>
      <w:r>
        <w:rPr>
          <w:rFonts w:ascii="Times New Roman" w:cs="Times New Roman" w:eastAsia="Times New Roman" w:hAnsi="Times New Roman"/>
          <w:sz w:val="24"/>
          <w:szCs w:val="24"/>
        </w:rPr>
        <w:t xml:space="preserve">依托HPLC高速载波通信网络与现有负荷管理系统量测终端，实现工业园区关口、主要馈线及典型高载能设备用电数据的高频采集（15分钟级），结合企业MES/EMS系统的工艺状态数据，建立涵盖电气量、工艺量、环境量等多维度的“负荷画像”数据集，为AI模型训练提供高质数据基础。</w:t>
      </w:r>
    </w:p>
    <w:p>
      <w:pPr>
        <w:spacing w:line="360" w:lineRule="auto"/>
        <w:ind w:firstLine="480"/>
        <w:jc w:val="both"/>
      </w:pPr>
      <w:r>
        <w:rPr>
          <w:rFonts w:ascii="Times New Roman" w:cs="Times New Roman" w:eastAsia="Times New Roman" w:hAnsi="Times New Roman"/>
          <w:b/>
          <w:bCs/>
          <w:sz w:val="24"/>
          <w:szCs w:val="24"/>
        </w:rPr>
        <w:t xml:space="preserve">② 模型认知层（AI核心）——</w:t>
      </w:r>
      <w:r>
        <w:rPr>
          <w:rFonts w:ascii="Times New Roman" w:cs="Times New Roman" w:eastAsia="Times New Roman" w:hAnsi="Times New Roman"/>
          <w:sz w:val="24"/>
          <w:szCs w:val="24"/>
        </w:rPr>
        <w:t xml:space="preserve">引入时序图神经网络（Temporal GNN）与物理信息神经网络（PINN），构建整流机组、电锅炉等典型设备的“工艺-电力-热力”耦合数字孪生模型，实现对设备在不同工艺状态、不同环境条件下的柔性调节边界精准刻画，即“无感调节窗口”模型的AI智能识别与动态更新。</w:t>
      </w:r>
    </w:p>
    <w:p>
      <w:pPr>
        <w:spacing w:line="360" w:lineRule="auto"/>
        <w:ind w:firstLine="480"/>
        <w:jc w:val="both"/>
      </w:pPr>
      <w:r>
        <w:rPr>
          <w:rFonts w:ascii="Times New Roman" w:cs="Times New Roman" w:eastAsia="Times New Roman" w:hAnsi="Times New Roman"/>
          <w:b/>
          <w:bCs/>
          <w:sz w:val="24"/>
          <w:szCs w:val="24"/>
        </w:rPr>
        <w:t xml:space="preserve">③ 策略决策层（AI核心）——</w:t>
      </w:r>
      <w:r>
        <w:rPr>
          <w:rFonts w:ascii="Times New Roman" w:cs="Times New Roman" w:eastAsia="Times New Roman" w:hAnsi="Times New Roman"/>
          <w:sz w:val="24"/>
          <w:szCs w:val="24"/>
        </w:rPr>
        <w:t xml:space="preserve">基于多智能体深度强化学习（Multi-Agent DRL）框架，联合优化园区电网电压稳定裕度、企业生产连续性、新能源消纳效益等多维目标，研发支持分钟级快速滚动优化的园区级群调群控策略生成算法，实现“不跳闸、不降质、不误产”的柔性调控。</w:t>
      </w:r>
    </w:p>
    <w:p>
      <w:pPr>
        <w:spacing w:line="360" w:lineRule="auto"/>
        <w:ind w:firstLine="480"/>
        <w:jc w:val="both"/>
      </w:pPr>
      <w:r>
        <w:rPr>
          <w:rFonts w:ascii="Times New Roman" w:cs="Times New Roman" w:eastAsia="Times New Roman" w:hAnsi="Times New Roman"/>
          <w:b/>
          <w:bCs/>
          <w:sz w:val="24"/>
          <w:szCs w:val="24"/>
        </w:rPr>
        <w:t xml:space="preserve">④ 执行控制层——</w:t>
      </w:r>
      <w:r>
        <w:rPr>
          <w:rFonts w:ascii="Times New Roman" w:cs="Times New Roman" w:eastAsia="Times New Roman" w:hAnsi="Times New Roman"/>
          <w:sz w:val="24"/>
          <w:szCs w:val="24"/>
        </w:rPr>
        <w:t xml:space="preserve">构建AI决策引擎与省级负荷管理系统的标准化集成接口，实现调控策略从云端生成到边端执行的毫秒级下发，支持“日前优化预案+日内滚动修正+实时紧急调控”的三时间尺度协同控制模式。</w:t>
      </w:r>
    </w:p>
    <w:p>
      <w:pPr>
        <w:pStyle w:val="Heading2"/>
        <w:spacing w:after="60" w:before="60" w:line="360" w:lineRule="auto"/>
        <w:jc w:val="left"/>
      </w:pPr>
      <w:r>
        <w:rPr>
          <w:rFonts w:ascii="Times New Roman" w:cs="Times New Roman" w:eastAsia="Times New Roman" w:hAnsi="Times New Roman"/>
          <w:b/>
          <w:bCs/>
          <w:sz w:val="28"/>
          <w:szCs w:val="28"/>
        </w:rPr>
        <w:t xml:space="preserve">（二）AI技术创新性与先进性</w:t>
      </w:r>
    </w:p>
    <w:p>
      <w:pPr>
        <w:spacing w:line="360" w:lineRule="auto"/>
        <w:ind w:firstLine="480"/>
        <w:jc w:val="both"/>
      </w:pPr>
      <w:r>
        <w:rPr>
          <w:rFonts w:ascii="Times New Roman" w:cs="Times New Roman" w:eastAsia="Times New Roman" w:hAnsi="Times New Roman"/>
          <w:sz w:val="24"/>
          <w:szCs w:val="24"/>
        </w:rPr>
        <w:t xml:space="preserve">本项目瞄准高载能工业园区负荷调控场景中的核心瓶颈，提出四项具有显著原创性的AI技术创新：</w:t>
      </w:r>
    </w:p>
    <w:p>
      <w:pPr>
        <w:pStyle w:val="Heading3"/>
        <w:spacing w:after="60" w:before="60" w:line="360" w:lineRule="auto"/>
        <w:jc w:val="left"/>
      </w:pPr>
      <w:r>
        <w:rPr>
          <w:rFonts w:ascii="Times New Roman" w:cs="Times New Roman" w:eastAsia="Times New Roman" w:hAnsi="Times New Roman"/>
          <w:b/>
          <w:bCs/>
          <w:sz w:val="24"/>
          <w:szCs w:val="24"/>
        </w:rPr>
        <w:t xml:space="preserve">1. 创新点一：基于PINN的设备“无感调节窗口”智能识别技术</w:t>
      </w:r>
    </w:p>
    <w:p>
      <w:pPr>
        <w:spacing w:line="360" w:lineRule="auto"/>
        <w:ind w:firstLine="480"/>
        <w:jc w:val="both"/>
      </w:pPr>
      <w:r>
        <w:rPr>
          <w:rFonts w:ascii="Times New Roman" w:cs="Times New Roman" w:eastAsia="Times New Roman" w:hAnsi="Times New Roman"/>
          <w:sz w:val="24"/>
          <w:szCs w:val="24"/>
        </w:rPr>
        <w:t xml:space="preserve">传统方法依赖人工经验或简化等效电路模型估算高载能工业设备的柔性调节区间，精度低、实时性差，且难以考虑多物理场耦合效应。本项目提出基于物理信息神经网络（PINN）的设备无感调节窗口识别方法，核心创新在于：将电热耦合物理方程（焦耳定律、热传导方程、功率平衡约束等）作为正则化项嵌入神经网络训练损失函数，使模型在数据驱动学习的同时严格遵循第一性物理定律，大幅降低对大规模标注数据的依赖，保证模型在边界条件下的外推可靠性。通过多任务学习框架，同步建模设备在不同工艺阶段（启炉、升温、保温、出炉等）的功率弹性、电压耐受区间、温度速率约束等多维柔性边界，输出可直接供群控层调用的“可调容量-响应时间-工艺代价”三维Pareto前沿。与传统简化模型相比，PINN方法的识别准确率可提升15%~25%，实现从“定性经验判断”到“定量AI推演”的范式跃升。</w:t>
      </w:r>
    </w:p>
    <w:p>
      <w:pPr>
        <w:pStyle w:val="Heading3"/>
        <w:spacing w:after="60" w:before="60" w:line="360" w:lineRule="auto"/>
        <w:jc w:val="left"/>
      </w:pPr>
      <w:r>
        <w:rPr>
          <w:rFonts w:ascii="Times New Roman" w:cs="Times New Roman" w:eastAsia="Times New Roman" w:hAnsi="Times New Roman"/>
          <w:b/>
          <w:bCs/>
          <w:sz w:val="24"/>
          <w:szCs w:val="24"/>
        </w:rPr>
        <w:t xml:space="preserve">2. 创新点二：基于分层多智能体深度强化学习的园区级群调群控策略</w:t>
      </w:r>
    </w:p>
    <w:p>
      <w:pPr>
        <w:spacing w:line="360" w:lineRule="auto"/>
        <w:ind w:firstLine="480"/>
        <w:jc w:val="both"/>
      </w:pPr>
      <w:r>
        <w:rPr>
          <w:rFonts w:ascii="Times New Roman" w:cs="Times New Roman" w:eastAsia="Times New Roman" w:hAnsi="Times New Roman"/>
          <w:sz w:val="24"/>
          <w:szCs w:val="24"/>
        </w:rPr>
        <w:t xml:space="preserve">高载能工业园区负荷调控的难点在于“群体耦合强、约束分支多、目标维度高”：园区内数十台设备的调节动作相互影响（功率耦合、电压耦合），每台设备有严格的工艺安全约束，调控目标涉及电网安全、企业效益、新能源消纳等多个不可公度的维度。本项目提出一种基于分层多智能体深度强化学习（Hierarchical MARL）的园区群控优化框架：底层智能体（设备级Agent）基于MA-PPO算法负责单设备在“无感调节窗口”内的精细化控制，上层智能体（园区级Agent）基于Q-Mix架构负责任务分配与冲突消解，通过注意力机制（Attention Mechanism）实现设备间耦合关系的自适应学习。引入多目标强化学习（MORL）技术，基于“偏好驱动”策略实现帕累托最优解集的快速搜索，使调度人员可根据实际电网运行工况动态调整安全、经济、绿色的权重偏好。该技术路线实现了从传统“固定比例分摊”到数据驱动“智能协同”的根本性突破。</w:t>
      </w:r>
    </w:p>
    <w:p>
      <w:pPr>
        <w:pStyle w:val="Heading3"/>
        <w:spacing w:after="60" w:before="60" w:line="360" w:lineRule="auto"/>
        <w:jc w:val="left"/>
      </w:pPr>
      <w:r>
        <w:rPr>
          <w:rFonts w:ascii="Times New Roman" w:cs="Times New Roman" w:eastAsia="Times New Roman" w:hAnsi="Times New Roman"/>
          <w:b/>
          <w:bCs/>
          <w:sz w:val="24"/>
          <w:szCs w:val="24"/>
        </w:rPr>
        <w:t xml:space="preserve">3. 创新点三：AI驱动的园区负荷调控知识图谱</w:t>
      </w:r>
    </w:p>
    <w:p>
      <w:pPr>
        <w:spacing w:line="360" w:lineRule="auto"/>
        <w:ind w:firstLine="480"/>
        <w:jc w:val="both"/>
      </w:pPr>
      <w:r>
        <w:rPr>
          <w:rFonts w:ascii="Times New Roman" w:cs="Times New Roman" w:eastAsia="Times New Roman" w:hAnsi="Times New Roman"/>
          <w:sz w:val="24"/>
          <w:szCs w:val="24"/>
        </w:rPr>
        <w:t xml:space="preserve">为解决传统负荷管理中“经验不可复用、专家知识难以沉淀”的问题，本项目创新性地提出构建高载能工业园区负荷调控知识图谱，利用自然语言处理（NLP）和实体关系抽取技术，将海量运行场景下的调控案例、设备特性、故障模式、最优策略等隐性知识结构化存储为“实体-关系-属性”网络。基于图神经网络（GNN）实现知识推理，使系统在面对新的调控场景时能够快速检索历史相似案例并迁移最优经验，形成“感知-认知-决策”的闭环学习能力。该知识图谱支持增量式更新，随试点运行和推广部署持续丰富，成为园区群调群控的“智慧大脑”。</w:t>
      </w:r>
    </w:p>
    <w:p>
      <w:pPr>
        <w:pStyle w:val="Heading3"/>
        <w:spacing w:after="60" w:before="60" w:line="360" w:lineRule="auto"/>
        <w:jc w:val="left"/>
      </w:pPr>
      <w:r>
        <w:rPr>
          <w:rFonts w:ascii="Times New Roman" w:cs="Times New Roman" w:eastAsia="Times New Roman" w:hAnsi="Times New Roman"/>
          <w:b/>
          <w:bCs/>
          <w:sz w:val="24"/>
          <w:szCs w:val="24"/>
        </w:rPr>
        <w:t xml:space="preserve">4. 创新点四：基于联邦学习的跨园区协同训练与隐私保护框架</w:t>
      </w:r>
    </w:p>
    <w:p>
      <w:pPr>
        <w:spacing w:line="360" w:lineRule="auto"/>
        <w:ind w:firstLine="480"/>
        <w:jc w:val="both"/>
      </w:pPr>
      <w:r>
        <w:rPr>
          <w:rFonts w:ascii="Times New Roman" w:cs="Times New Roman" w:eastAsia="Times New Roman" w:hAnsi="Times New Roman"/>
          <w:sz w:val="24"/>
          <w:szCs w:val="24"/>
        </w:rPr>
        <w:t xml:space="preserve">针对不同工业园区在设备类型、工艺特性、负荷模式等方面的异构性，以及企业方对生产数据出域的高度敏感性，本项目设计了基于联邦学习的跨园区模型协同训练框架。各园区在本地数据上独立训练设备特性模型和群控策略模型，仅上传加密的模型权重梯度至中央服务器进行安全聚合。引入差分隐私（Differential Privacy）机制确保单园区数据不可逆向推断，引入模型异构联邦学习（Heterogeneous Federated Learning）技术解决不同园区AI模型结构差异问题，实现“数据不出园区、模型共同进化”的AI能力规模化推广。</w:t>
      </w:r>
    </w:p>
    <w:p>
      <w:pPr>
        <w:pStyle w:val="Heading2"/>
        <w:spacing w:after="60" w:before="60" w:line="360" w:lineRule="auto"/>
        <w:jc w:val="left"/>
      </w:pPr>
      <w:r>
        <w:rPr>
          <w:rFonts w:ascii="Times New Roman" w:cs="Times New Roman" w:eastAsia="Times New Roman" w:hAnsi="Times New Roman"/>
          <w:b/>
          <w:bCs/>
          <w:sz w:val="28"/>
          <w:szCs w:val="28"/>
        </w:rPr>
        <w:t xml:space="preserve">（三）系统架构设计</w:t>
      </w:r>
    </w:p>
    <w:p>
      <w:pPr>
        <w:spacing w:line="360" w:lineRule="auto"/>
        <w:ind w:firstLine="480"/>
        <w:jc w:val="both"/>
      </w:pPr>
      <w:r>
        <w:rPr>
          <w:rFonts w:ascii="Times New Roman" w:cs="Times New Roman" w:eastAsia="Times New Roman" w:hAnsi="Times New Roman"/>
          <w:sz w:val="24"/>
          <w:szCs w:val="24"/>
        </w:rPr>
        <w:t xml:space="preserve">本项目的系统总体架构自下而上分为四层，以AI能力平台为核心，打通从数据采集到业务应用的完整链路：</w:t>
      </w:r>
    </w:p>
    <w:p>
      <w:pPr>
        <w:spacing w:line="360" w:lineRule="auto"/>
        <w:ind w:firstLine="480"/>
        <w:jc w:val="both"/>
      </w:pPr>
      <w:r>
        <w:rPr>
          <w:rFonts w:ascii="Times New Roman" w:cs="Times New Roman" w:eastAsia="Times New Roman" w:hAnsi="Times New Roman"/>
          <w:b/>
          <w:bCs/>
          <w:sz w:val="24"/>
          <w:szCs w:val="24"/>
        </w:rPr>
        <w:t xml:space="preserve">（1）数据接入层——</w:t>
      </w:r>
      <w:r>
        <w:rPr>
          <w:rFonts w:ascii="Times New Roman" w:cs="Times New Roman" w:eastAsia="Times New Roman" w:hAnsi="Times New Roman"/>
          <w:sz w:val="24"/>
          <w:szCs w:val="24"/>
        </w:rPr>
        <w:t xml:space="preserve">通过HPLC通信网络和负荷管理系统前置采集终端，接入工业园区关口/馈线/设备三级电气量数据（电压、电流、功率、功率因数）；通过OPC-UA/MQTT等工业协议接入企业MES/EMS系统的工艺状态数据（温度、压力、生产节拍、设备状态字等）；同时接入电网调度SCADA系统、电力现货市场出清数据、新能源功率预测数据等外部信息。</w:t>
      </w:r>
    </w:p>
    <w:p>
      <w:pPr>
        <w:spacing w:line="360" w:lineRule="auto"/>
        <w:ind w:firstLine="480"/>
        <w:jc w:val="both"/>
      </w:pPr>
      <w:r>
        <w:rPr>
          <w:rFonts w:ascii="Times New Roman" w:cs="Times New Roman" w:eastAsia="Times New Roman" w:hAnsi="Times New Roman"/>
          <w:b/>
          <w:bCs/>
          <w:sz w:val="24"/>
          <w:szCs w:val="24"/>
        </w:rPr>
        <w:t xml:space="preserve">（2）数据中台与AI算力层——</w:t>
      </w:r>
      <w:r>
        <w:rPr>
          <w:rFonts w:ascii="Times New Roman" w:cs="Times New Roman" w:eastAsia="Times New Roman" w:hAnsi="Times New Roman"/>
          <w:sz w:val="24"/>
          <w:szCs w:val="24"/>
        </w:rPr>
        <w:t xml:space="preserve">建立统一数据湖，存储清洗后的多源异构数据，构建面向AI模型训练的标准化特征工程流水线（含异常值检测-孤立森林算法、缺失值智能补全-时序GAN生成式模型、数据一致性校验等）。部署GPU算力集群，支持PINN模型训练、深度强化学习策略迭代、联邦学习安全聚合等计算密集型任务。</w:t>
      </w:r>
    </w:p>
    <w:p>
      <w:pPr>
        <w:spacing w:line="360" w:lineRule="auto"/>
        <w:ind w:firstLine="480"/>
        <w:jc w:val="both"/>
      </w:pPr>
      <w:r>
        <w:rPr>
          <w:rFonts w:ascii="Times New Roman" w:cs="Times New Roman" w:eastAsia="Times New Roman" w:hAnsi="Times New Roman"/>
          <w:b/>
          <w:bCs/>
          <w:sz w:val="24"/>
          <w:szCs w:val="24"/>
        </w:rPr>
        <w:t xml:space="preserve">（3）AI能力平台层（核心）——</w:t>
      </w:r>
      <w:r>
        <w:rPr>
          <w:rFonts w:ascii="Times New Roman" w:cs="Times New Roman" w:eastAsia="Times New Roman" w:hAnsi="Times New Roman"/>
          <w:sz w:val="24"/>
          <w:szCs w:val="24"/>
        </w:rPr>
        <w:t xml:space="preserve">即本项目核心——“园区群调群控AI决策引擎”，集成设备无感调节窗口识别模型、多智能体群控优化策略模型、知识图谱推理引擎、联邦学习协同训练框架等AI功能模块，通过标准化RESTful API向上下层提供服务。</w:t>
      </w:r>
    </w:p>
    <w:p>
      <w:pPr>
        <w:spacing w:line="360" w:lineRule="auto"/>
        <w:ind w:firstLine="480"/>
        <w:jc w:val="both"/>
      </w:pPr>
      <w:r>
        <w:rPr>
          <w:rFonts w:ascii="Times New Roman" w:cs="Times New Roman" w:eastAsia="Times New Roman" w:hAnsi="Times New Roman"/>
          <w:b/>
          <w:bCs/>
          <w:sz w:val="24"/>
          <w:szCs w:val="24"/>
        </w:rPr>
        <w:t xml:space="preserve">（4）业务应用层——</w:t>
      </w:r>
      <w:r>
        <w:rPr>
          <w:rFonts w:ascii="Times New Roman" w:cs="Times New Roman" w:eastAsia="Times New Roman" w:hAnsi="Times New Roman"/>
          <w:sz w:val="24"/>
          <w:szCs w:val="24"/>
        </w:rPr>
        <w:t xml:space="preserve">对接省级负荷管理系统，提供日前优化预案推送、日内滚动修正建议、实时紧急调控指令下发等业务功能；面向园区用户提供“柔性调节能力看板”“峰谷电价优化排产建议”等增值服务，实现电网侧与企业侧的双向价值创造。</w:t>
      </w:r>
    </w:p>
    <w:p>
      <w:pPr>
        <w:pStyle w:val="Heading2"/>
        <w:spacing w:after="60" w:before="60" w:line="360" w:lineRule="auto"/>
        <w:jc w:val="left"/>
      </w:pPr>
      <w:r>
        <w:rPr>
          <w:rFonts w:ascii="Times New Roman" w:cs="Times New Roman" w:eastAsia="Times New Roman" w:hAnsi="Times New Roman"/>
          <w:b/>
          <w:bCs/>
          <w:sz w:val="28"/>
          <w:szCs w:val="28"/>
        </w:rPr>
        <w:t xml:space="preserve">（四）数据基础与算力条件</w:t>
      </w:r>
    </w:p>
    <w:p>
      <w:pPr>
        <w:spacing w:line="360" w:lineRule="auto"/>
        <w:ind w:firstLine="480"/>
        <w:jc w:val="both"/>
      </w:pPr>
      <w:r>
        <w:rPr>
          <w:rFonts w:ascii="Times New Roman" w:cs="Times New Roman" w:eastAsia="Times New Roman" w:hAnsi="Times New Roman"/>
          <w:b/>
          <w:bCs/>
          <w:sz w:val="24"/>
          <w:szCs w:val="24"/>
        </w:rPr>
        <w:t xml:space="preserve">（1）数据资源方面——</w:t>
      </w:r>
      <w:r>
        <w:rPr>
          <w:rFonts w:ascii="Times New Roman" w:cs="Times New Roman" w:eastAsia="Times New Roman" w:hAnsi="Times New Roman"/>
          <w:sz w:val="24"/>
          <w:szCs w:val="24"/>
        </w:rPr>
        <w:t xml:space="preserve">依托公司已建成的新一代用电信息采集系统和负荷管理系统，已实现覆盖试点园区的高频数据采集能力（15分钟级），积累了超过2年的园区关口及主要馈线的电气量历史数据。试点园区配套HPLC通信网络，满足数据实时上传的通信带宽与可靠性要求。同步协调接入企业MES系统的工艺数据和生产排程信息，预计数据总量≥500GB，涵盖完整生产周期的多维度运行数据。</w:t>
      </w:r>
    </w:p>
    <w:p>
      <w:pPr>
        <w:spacing w:line="360" w:lineRule="auto"/>
        <w:ind w:firstLine="480"/>
        <w:jc w:val="both"/>
      </w:pPr>
      <w:r>
        <w:rPr>
          <w:rFonts w:ascii="Times New Roman" w:cs="Times New Roman" w:eastAsia="Times New Roman" w:hAnsi="Times New Roman"/>
          <w:b/>
          <w:bCs/>
          <w:sz w:val="24"/>
          <w:szCs w:val="24"/>
        </w:rPr>
        <w:t xml:space="preserve">（2）算力资源方面——</w:t>
      </w:r>
      <w:r>
        <w:rPr>
          <w:rFonts w:ascii="Times New Roman" w:cs="Times New Roman" w:eastAsia="Times New Roman" w:hAnsi="Times New Roman"/>
          <w:sz w:val="24"/>
          <w:szCs w:val="24"/>
        </w:rPr>
        <w:t xml:space="preserve">本项目模型训练阶段的算力需求主要包括PINN物理约束神经网络训练（估算需4×NVIDIA A100或等效算力）、深度强化学习策略迭代（估算需8×NVIDIA A100或等效算力）、联邦学习安全聚合等任务。拟利用公司现有AI算力平台（GPU集群）提供训练环境，模型推理阶段可在普通CPU服务器上高效运行（模型经量化压缩后推理延迟≤100ms），无需额外部署专用推理芯片。</w:t>
      </w:r>
    </w:p>
    <w:p>
      <w:pPr>
        <w:spacing w:line="360" w:lineRule="auto"/>
        <w:ind w:firstLine="480"/>
        <w:jc w:val="both"/>
      </w:pPr>
      <w:r>
        <w:rPr>
          <w:rFonts w:ascii="Times New Roman" w:cs="Times New Roman" w:eastAsia="Times New Roman" w:hAnsi="Times New Roman"/>
          <w:b/>
          <w:bCs/>
          <w:sz w:val="24"/>
          <w:szCs w:val="24"/>
        </w:rPr>
        <w:t xml:space="preserve">（3）数据质量方面——</w:t>
      </w:r>
      <w:r>
        <w:rPr>
          <w:rFonts w:ascii="Times New Roman" w:cs="Times New Roman" w:eastAsia="Times New Roman" w:hAnsi="Times New Roman"/>
          <w:sz w:val="24"/>
          <w:szCs w:val="24"/>
        </w:rPr>
        <w:t xml:space="preserve">已建立完善的数据质量核查机制，包括异常值检测（基于孤立森林算法）、缺失值插补（基于时序GAN生成式补全）、数据一致性校验等自动化数据治理流水线，确保模型训练的输入数据高质可靠。</w:t>
      </w:r>
    </w:p>
    <w:p>
      <w:pPr>
        <w:pStyle w:val="Heading2"/>
        <w:spacing w:after="60" w:before="60" w:line="360" w:lineRule="auto"/>
        <w:jc w:val="left"/>
      </w:pPr>
      <w:r>
        <w:rPr>
          <w:rFonts w:ascii="Times New Roman" w:cs="Times New Roman" w:eastAsia="Times New Roman" w:hAnsi="Times New Roman"/>
          <w:b/>
          <w:bCs/>
          <w:sz w:val="28"/>
          <w:szCs w:val="28"/>
        </w:rPr>
        <w:t xml:space="preserve">（五）实施路径与工作计划</w:t>
      </w:r>
    </w:p>
    <w:p>
      <w:pPr>
        <w:spacing w:line="360" w:lineRule="auto"/>
        <w:ind w:firstLine="480"/>
        <w:jc w:val="both"/>
      </w:pPr>
      <w:r>
        <w:rPr>
          <w:rFonts w:ascii="Times New Roman" w:cs="Times New Roman" w:eastAsia="Times New Roman" w:hAnsi="Times New Roman"/>
          <w:sz w:val="24"/>
          <w:szCs w:val="24"/>
        </w:rPr>
        <w:t xml:space="preserve">本项目实施周期为24个月，划分为四个阶段：</w:t>
      </w:r>
    </w:p>
    <w:p>
      <w:pPr>
        <w:spacing w:line="360" w:lineRule="auto"/>
        <w:ind w:firstLine="480"/>
        <w:jc w:val="both"/>
      </w:pPr>
      <w:r>
        <w:rPr>
          <w:rFonts w:ascii="Times New Roman" w:cs="Times New Roman" w:eastAsia="Times New Roman" w:hAnsi="Times New Roman"/>
          <w:b/>
          <w:bCs/>
          <w:sz w:val="24"/>
          <w:szCs w:val="24"/>
        </w:rPr>
        <w:t xml:space="preserve">第一阶段（第1-6个月）：需求调研与基础平台搭建——</w:t>
      </w:r>
      <w:r>
        <w:rPr>
          <w:rFonts w:ascii="Times New Roman" w:cs="Times New Roman" w:eastAsia="Times New Roman" w:hAnsi="Times New Roman"/>
          <w:sz w:val="24"/>
          <w:szCs w:val="24"/>
        </w:rPr>
        <w:t xml:space="preserve">完成试点工业园区现场调研，梳理典型高载能设备（整流机组、电弧炉、电锅炉等）的详细工艺约束参数与运行特征；完成数据接入平台搭建，打通HPLC-负荷管理系统-MES系统的多源数据汇聚通道；启动联邦学习安全聚合服务器部署与AI算力环境配置。</w:t>
      </w:r>
    </w:p>
    <w:p>
      <w:pPr>
        <w:spacing w:line="360" w:lineRule="auto"/>
        <w:ind w:firstLine="480"/>
        <w:jc w:val="both"/>
      </w:pPr>
      <w:r>
        <w:rPr>
          <w:rFonts w:ascii="Times New Roman" w:cs="Times New Roman" w:eastAsia="Times New Roman" w:hAnsi="Times New Roman"/>
          <w:b/>
          <w:bCs/>
          <w:sz w:val="24"/>
          <w:szCs w:val="24"/>
        </w:rPr>
        <w:t xml:space="preserve">第二阶段（第7-12个月）：AI模型研发与离线验证——</w:t>
      </w:r>
      <w:r>
        <w:rPr>
          <w:rFonts w:ascii="Times New Roman" w:cs="Times New Roman" w:eastAsia="Times New Roman" w:hAnsi="Times New Roman"/>
          <w:sz w:val="24"/>
          <w:szCs w:val="24"/>
        </w:rPr>
        <w:t xml:space="preserve">基于历史数据完成PINN设备无感调节窗口识别模型训练与精度验证；完成多智能体深度强化学习群控策略模型的开发与仿真环境调试；基于数字孪生仿真平台完成策略的安全性校验与效果评估；启动园区负荷调控知识图谱构建，完成首批调控案例与设备特性的知识抽取入库。</w:t>
      </w:r>
    </w:p>
    <w:p>
      <w:pPr>
        <w:spacing w:line="360" w:lineRule="auto"/>
        <w:ind w:firstLine="480"/>
        <w:jc w:val="both"/>
      </w:pPr>
      <w:r>
        <w:rPr>
          <w:rFonts w:ascii="Times New Roman" w:cs="Times New Roman" w:eastAsia="Times New Roman" w:hAnsi="Times New Roman"/>
          <w:b/>
          <w:bCs/>
          <w:sz w:val="24"/>
          <w:szCs w:val="24"/>
        </w:rPr>
        <w:t xml:space="preserve">第三阶段（第13-18个月）：软件功能模块开发与联调——</w:t>
      </w:r>
      <w:r>
        <w:rPr>
          <w:rFonts w:ascii="Times New Roman" w:cs="Times New Roman" w:eastAsia="Times New Roman" w:hAnsi="Times New Roman"/>
          <w:sz w:val="24"/>
          <w:szCs w:val="24"/>
        </w:rPr>
        <w:t xml:space="preserve">开发柔性无感群调群控软件功能模块，实现与省级负荷管理系统的标准化接口集成；完成模型推理服务与决策引擎的容器化部署（Kubernetes集群、负载均衡、灾备切换）；开展系统联调测试，验证调控指令的安全下发与执行反馈闭环，完成不少于3轮“模拟环境→半实物仿真→现场静默运行”阶梯式验证。</w:t>
      </w:r>
    </w:p>
    <w:p>
      <w:pPr>
        <w:spacing w:line="360" w:lineRule="auto"/>
        <w:ind w:firstLine="480"/>
        <w:jc w:val="both"/>
      </w:pPr>
      <w:r>
        <w:rPr>
          <w:rFonts w:ascii="Times New Roman" w:cs="Times New Roman" w:eastAsia="Times New Roman" w:hAnsi="Times New Roman"/>
          <w:b/>
          <w:bCs/>
          <w:sz w:val="24"/>
          <w:szCs w:val="24"/>
        </w:rPr>
        <w:t xml:space="preserve">第四阶段（第19-24个月）：试点应用与总结评估——</w:t>
      </w:r>
      <w:r>
        <w:rPr>
          <w:rFonts w:ascii="Times New Roman" w:cs="Times New Roman" w:eastAsia="Times New Roman" w:hAnsi="Times New Roman"/>
          <w:sz w:val="24"/>
          <w:szCs w:val="24"/>
        </w:rPr>
        <w:t xml:space="preserve">在≥1个典型工业园区开展现场试点，逐步放开真实调控权限，验证AI技术路线的安全性、有效性与经济性；完成试点运行数据采集与分析评估，编制总结评估报告；形成标准化部署方案与推广操作手册，为规模化推广奠定基础。</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三、试点项目目标与考核指标</w:t>
      </w:r>
    </w:p>
    <w:p>
      <w:pPr>
        <w:pStyle w:val="Heading2"/>
        <w:spacing w:after="60" w:before="60" w:line="360" w:lineRule="auto"/>
        <w:jc w:val="left"/>
      </w:pPr>
      <w:r>
        <w:rPr>
          <w:rFonts w:ascii="Times New Roman" w:cs="Times New Roman" w:eastAsia="Times New Roman" w:hAnsi="Times New Roman"/>
          <w:b/>
          <w:bCs/>
          <w:sz w:val="28"/>
          <w:szCs w:val="28"/>
        </w:rPr>
        <w:t xml:space="preserve">（一）项目总体目标</w:t>
      </w:r>
    </w:p>
    <w:p>
      <w:pPr>
        <w:spacing w:line="360" w:lineRule="auto"/>
        <w:ind w:firstLine="480"/>
        <w:jc w:val="both"/>
      </w:pPr>
      <w:r>
        <w:rPr>
          <w:rFonts w:ascii="Times New Roman" w:cs="Times New Roman" w:eastAsia="Times New Roman" w:hAnsi="Times New Roman"/>
          <w:sz w:val="24"/>
          <w:szCs w:val="24"/>
        </w:rPr>
        <w:t xml:space="preserve">本项目立足电网负荷管理业务需求，旨在破解高载能工业园区“负荷大、刚性强、调控难”的痛点，通过深入挖掘整流机组、电锅炉等典型工业园区设备在保障生产安全前提下的柔性调节潜力，基于人工智能技术构建“无感调节窗口”模型与园区级群调群控优化策略，打造可参与电力现货市场、需求响应及应急调控的高质量可调节资源池，在实现电网侧精准削峰填谷与新能源消纳的同时，确保企业生产“零干扰、无感知”，推动高载能负荷从“被动受限”向“主动协同、价值共创”转型。成果以软件功能模块形态部署于省级负荷管理系统，验收前在典型工业园区完成试点应用验证。</w:t>
      </w:r>
    </w:p>
    <w:p>
      <w:pPr>
        <w:pStyle w:val="Heading2"/>
        <w:spacing w:after="60" w:before="60" w:line="360" w:lineRule="auto"/>
        <w:jc w:val="left"/>
      </w:pPr>
      <w:r>
        <w:rPr>
          <w:rFonts w:ascii="Times New Roman" w:cs="Times New Roman" w:eastAsia="Times New Roman" w:hAnsi="Times New Roman"/>
          <w:b/>
          <w:bCs/>
          <w:sz w:val="28"/>
          <w:szCs w:val="28"/>
        </w:rPr>
        <w:t xml:space="preserve">（二）阶段目标与里程碑</w:t>
      </w:r>
    </w:p>
    <w:p>
      <w:pPr>
        <w:spacing w:after="60" w:before="120"/>
        <w:jc w:val="center"/>
      </w:pPr>
      <w:r>
        <w:rPr>
          <w:rFonts w:ascii="Times New Roman" w:cs="Times New Roman" w:eastAsia="Times New Roman" w:hAnsi="Times New Roman"/>
          <w:b/>
          <w:bCs/>
          <w:sz w:val="21"/>
          <w:szCs w:val="21"/>
        </w:rPr>
        <w:t xml:space="preserve">表2 阶段里程碑计划</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353"/>
        <w:gridCol w:w="2553"/>
      </w:tblGrid>
      <w:tr>
        <w:trPr>
          <w:tblHeader/>
        </w:trPr>
        <w:tc>
          <w:tcPr>
            <w:tcW w:type="dxa" w:w="1200"/>
            <w:shd w:fill="D9E2F3" w:val="clear"/>
          </w:tcPr>
          <w:p>
            <w:pPr>
              <w:spacing w:line="360" w:lineRule="auto"/>
              <w:jc w:val="center"/>
            </w:pPr>
            <w:r>
              <w:rPr>
                <w:rFonts w:ascii="Times New Roman" w:cs="Times New Roman" w:eastAsia="Times New Roman" w:hAnsi="Times New Roman"/>
                <w:b/>
                <w:bCs/>
                <w:sz w:val="21"/>
                <w:szCs w:val="21"/>
              </w:rPr>
              <w:t xml:space="preserve">阶段</w:t>
            </w:r>
          </w:p>
        </w:tc>
        <w:tc>
          <w:tcPr>
            <w:tcW w:type="dxa" w:w="2200"/>
            <w:shd w:fill="D9E2F3" w:val="clear"/>
          </w:tcPr>
          <w:p>
            <w:pPr>
              <w:spacing w:line="360" w:lineRule="auto"/>
              <w:jc w:val="center"/>
            </w:pPr>
            <w:r>
              <w:rPr>
                <w:rFonts w:ascii="Times New Roman" w:cs="Times New Roman" w:eastAsia="Times New Roman" w:hAnsi="Times New Roman"/>
                <w:b/>
                <w:bCs/>
                <w:sz w:val="21"/>
                <w:szCs w:val="21"/>
              </w:rPr>
              <w:t xml:space="preserve">时间</w:t>
            </w:r>
          </w:p>
        </w:tc>
        <w:tc>
          <w:tcPr>
            <w:tcW w:type="dxa" w:w="2353"/>
            <w:shd w:fill="D9E2F3" w:val="clear"/>
          </w:tcPr>
          <w:p>
            <w:pPr>
              <w:spacing w:line="360" w:lineRule="auto"/>
              <w:jc w:val="center"/>
            </w:pPr>
            <w:r>
              <w:rPr>
                <w:rFonts w:ascii="Times New Roman" w:cs="Times New Roman" w:eastAsia="Times New Roman" w:hAnsi="Times New Roman"/>
                <w:b/>
                <w:bCs/>
                <w:sz w:val="21"/>
                <w:szCs w:val="21"/>
              </w:rPr>
              <w:t xml:space="preserve">阶段目标</w:t>
            </w:r>
          </w:p>
        </w:tc>
        <w:tc>
          <w:tcPr>
            <w:tcW w:type="dxa" w:w="2553"/>
            <w:shd w:fill="D9E2F3" w:val="clear"/>
          </w:tcPr>
          <w:p>
            <w:pPr>
              <w:spacing w:line="360" w:lineRule="auto"/>
              <w:jc w:val="center"/>
            </w:pPr>
            <w:r>
              <w:rPr>
                <w:rFonts w:ascii="Times New Roman" w:cs="Times New Roman" w:eastAsia="Times New Roman" w:hAnsi="Times New Roman"/>
                <w:b/>
                <w:bCs/>
                <w:sz w:val="21"/>
                <w:szCs w:val="21"/>
              </w:rPr>
              <w:t xml:space="preserve">里程碑成果</w:t>
            </w:r>
          </w:p>
        </w:tc>
      </w:tr>
      <w:tr>
        <w:tc>
          <w:tcPr>
            <w:tcW w:type="dxa" w:w="1200"/>
          </w:tcPr>
          <w:p>
            <w:pPr>
              <w:spacing w:line="360" w:lineRule="auto"/>
              <w:jc w:val="center"/>
            </w:pPr>
            <w:r>
              <w:rPr>
                <w:rFonts w:ascii="Times New Roman" w:cs="Times New Roman" w:eastAsia="Times New Roman" w:hAnsi="Times New Roman"/>
                <w:sz w:val="21"/>
                <w:szCs w:val="21"/>
              </w:rPr>
              <w:t xml:space="preserve">第一阶段</w:t>
            </w:r>
          </w:p>
        </w:tc>
        <w:tc>
          <w:tcPr>
            <w:tcW w:type="dxa" w:w="2200"/>
          </w:tcPr>
          <w:p>
            <w:pPr>
              <w:spacing w:line="360" w:lineRule="auto"/>
              <w:jc w:val="left"/>
            </w:pPr>
            <w:r>
              <w:rPr>
                <w:rFonts w:ascii="Times New Roman" w:cs="Times New Roman" w:eastAsia="Times New Roman" w:hAnsi="Times New Roman"/>
                <w:sz w:val="21"/>
                <w:szCs w:val="21"/>
              </w:rPr>
              <w:t xml:space="preserve">第1-6个月</w:t>
            </w:r>
          </w:p>
        </w:tc>
        <w:tc>
          <w:tcPr>
            <w:tcW w:type="dxa" w:w="2353"/>
          </w:tcPr>
          <w:p>
            <w:pPr>
              <w:spacing w:line="360" w:lineRule="auto"/>
              <w:jc w:val="left"/>
            </w:pPr>
            <w:r>
              <w:rPr>
                <w:rFonts w:ascii="Times New Roman" w:cs="Times New Roman" w:eastAsia="Times New Roman" w:hAnsi="Times New Roman"/>
                <w:sz w:val="21"/>
                <w:szCs w:val="21"/>
              </w:rPr>
              <w:t xml:space="preserve">完成园区数据接入与AI平台搭建，建立设备特性认知基础</w:t>
            </w:r>
          </w:p>
        </w:tc>
        <w:tc>
          <w:tcPr>
            <w:tcW w:type="dxa" w:w="2553"/>
          </w:tcPr>
          <w:p>
            <w:pPr>
              <w:spacing w:line="360" w:lineRule="auto"/>
              <w:jc w:val="left"/>
            </w:pPr>
            <w:r>
              <w:rPr>
                <w:rFonts w:ascii="Times New Roman" w:cs="Times New Roman" w:eastAsia="Times New Roman" w:hAnsi="Times New Roman"/>
                <w:sz w:val="21"/>
                <w:szCs w:val="21"/>
              </w:rPr>
              <w:t xml:space="preserve">数据中台上线运行；设备工艺约束参数库建成</w:t>
            </w:r>
          </w:p>
        </w:tc>
      </w:tr>
      <w:tr>
        <w:tc>
          <w:tcPr>
            <w:tcW w:type="dxa" w:w="1200"/>
          </w:tcPr>
          <w:p>
            <w:pPr>
              <w:spacing w:line="360" w:lineRule="auto"/>
              <w:jc w:val="center"/>
            </w:pPr>
            <w:r>
              <w:rPr>
                <w:rFonts w:ascii="Times New Roman" w:cs="Times New Roman" w:eastAsia="Times New Roman" w:hAnsi="Times New Roman"/>
                <w:sz w:val="21"/>
                <w:szCs w:val="21"/>
              </w:rPr>
              <w:t xml:space="preserve">第二阶段</w:t>
            </w:r>
          </w:p>
        </w:tc>
        <w:tc>
          <w:tcPr>
            <w:tcW w:type="dxa" w:w="2200"/>
          </w:tcPr>
          <w:p>
            <w:pPr>
              <w:spacing w:line="360" w:lineRule="auto"/>
              <w:jc w:val="left"/>
            </w:pPr>
            <w:r>
              <w:rPr>
                <w:rFonts w:ascii="Times New Roman" w:cs="Times New Roman" w:eastAsia="Times New Roman" w:hAnsi="Times New Roman"/>
                <w:sz w:val="21"/>
                <w:szCs w:val="21"/>
              </w:rPr>
              <w:t xml:space="preserve">第7-12个月</w:t>
            </w:r>
          </w:p>
        </w:tc>
        <w:tc>
          <w:tcPr>
            <w:tcW w:type="dxa" w:w="2353"/>
          </w:tcPr>
          <w:p>
            <w:pPr>
              <w:spacing w:line="360" w:lineRule="auto"/>
              <w:jc w:val="left"/>
            </w:pPr>
            <w:r>
              <w:rPr>
                <w:rFonts w:ascii="Times New Roman" w:cs="Times New Roman" w:eastAsia="Times New Roman" w:hAnsi="Times New Roman"/>
                <w:sz w:val="21"/>
                <w:szCs w:val="21"/>
              </w:rPr>
              <w:t xml:space="preserve">完成AI核心模型研发，策略仿真验证通过</w:t>
            </w:r>
          </w:p>
        </w:tc>
        <w:tc>
          <w:tcPr>
            <w:tcW w:type="dxa" w:w="2553"/>
          </w:tcPr>
          <w:p>
            <w:pPr>
              <w:spacing w:line="360" w:lineRule="auto"/>
              <w:jc w:val="left"/>
            </w:pPr>
            <w:r>
              <w:rPr>
                <w:rFonts w:ascii="Times New Roman" w:cs="Times New Roman" w:eastAsia="Times New Roman" w:hAnsi="Times New Roman"/>
                <w:sz w:val="21"/>
                <w:szCs w:val="21"/>
              </w:rPr>
              <w:t xml:space="preserve">PINN模型精度≥85%；群控策略仿真验证通过</w:t>
            </w:r>
          </w:p>
        </w:tc>
      </w:tr>
      <w:tr>
        <w:tc>
          <w:tcPr>
            <w:tcW w:type="dxa" w:w="1200"/>
          </w:tcPr>
          <w:p>
            <w:pPr>
              <w:spacing w:line="360" w:lineRule="auto"/>
              <w:jc w:val="center"/>
            </w:pPr>
            <w:r>
              <w:rPr>
                <w:rFonts w:ascii="Times New Roman" w:cs="Times New Roman" w:eastAsia="Times New Roman" w:hAnsi="Times New Roman"/>
                <w:sz w:val="21"/>
                <w:szCs w:val="21"/>
              </w:rPr>
              <w:t xml:space="preserve">第三阶段</w:t>
            </w:r>
          </w:p>
        </w:tc>
        <w:tc>
          <w:tcPr>
            <w:tcW w:type="dxa" w:w="2200"/>
          </w:tcPr>
          <w:p>
            <w:pPr>
              <w:spacing w:line="360" w:lineRule="auto"/>
              <w:jc w:val="left"/>
            </w:pPr>
            <w:r>
              <w:rPr>
                <w:rFonts w:ascii="Times New Roman" w:cs="Times New Roman" w:eastAsia="Times New Roman" w:hAnsi="Times New Roman"/>
                <w:sz w:val="21"/>
                <w:szCs w:val="21"/>
              </w:rPr>
              <w:t xml:space="preserve">第13-18个月</w:t>
            </w:r>
          </w:p>
        </w:tc>
        <w:tc>
          <w:tcPr>
            <w:tcW w:type="dxa" w:w="2353"/>
          </w:tcPr>
          <w:p>
            <w:pPr>
              <w:spacing w:line="360" w:lineRule="auto"/>
              <w:jc w:val="left"/>
            </w:pPr>
            <w:r>
              <w:rPr>
                <w:rFonts w:ascii="Times New Roman" w:cs="Times New Roman" w:eastAsia="Times New Roman" w:hAnsi="Times New Roman"/>
                <w:sz w:val="21"/>
                <w:szCs w:val="21"/>
              </w:rPr>
              <w:t xml:space="preserve">完成软件功能模块开发与系统联调测试</w:t>
            </w:r>
          </w:p>
        </w:tc>
        <w:tc>
          <w:tcPr>
            <w:tcW w:type="dxa" w:w="2553"/>
          </w:tcPr>
          <w:p>
            <w:pPr>
              <w:spacing w:line="360" w:lineRule="auto"/>
              <w:jc w:val="left"/>
            </w:pPr>
            <w:r>
              <w:rPr>
                <w:rFonts w:ascii="Times New Roman" w:cs="Times New Roman" w:eastAsia="Times New Roman" w:hAnsi="Times New Roman"/>
                <w:sz w:val="21"/>
                <w:szCs w:val="21"/>
              </w:rPr>
              <w:t xml:space="preserve">功能模块通过出厂测试；与负荷管理系统接口联调完成</w:t>
            </w:r>
          </w:p>
        </w:tc>
      </w:tr>
      <w:tr>
        <w:tc>
          <w:tcPr>
            <w:tcW w:type="dxa" w:w="1200"/>
          </w:tcPr>
          <w:p>
            <w:pPr>
              <w:spacing w:line="360" w:lineRule="auto"/>
              <w:jc w:val="center"/>
            </w:pPr>
            <w:r>
              <w:rPr>
                <w:rFonts w:ascii="Times New Roman" w:cs="Times New Roman" w:eastAsia="Times New Roman" w:hAnsi="Times New Roman"/>
                <w:sz w:val="21"/>
                <w:szCs w:val="21"/>
              </w:rPr>
              <w:t xml:space="preserve">第四阶段</w:t>
            </w:r>
          </w:p>
        </w:tc>
        <w:tc>
          <w:tcPr>
            <w:tcW w:type="dxa" w:w="2200"/>
          </w:tcPr>
          <w:p>
            <w:pPr>
              <w:spacing w:line="360" w:lineRule="auto"/>
              <w:jc w:val="left"/>
            </w:pPr>
            <w:r>
              <w:rPr>
                <w:rFonts w:ascii="Times New Roman" w:cs="Times New Roman" w:eastAsia="Times New Roman" w:hAnsi="Times New Roman"/>
                <w:sz w:val="21"/>
                <w:szCs w:val="21"/>
              </w:rPr>
              <w:t xml:space="preserve">第19-24个月</w:t>
            </w:r>
          </w:p>
        </w:tc>
        <w:tc>
          <w:tcPr>
            <w:tcW w:type="dxa" w:w="2353"/>
          </w:tcPr>
          <w:p>
            <w:pPr>
              <w:spacing w:line="360" w:lineRule="auto"/>
              <w:jc w:val="left"/>
            </w:pPr>
            <w:r>
              <w:rPr>
                <w:rFonts w:ascii="Times New Roman" w:cs="Times New Roman" w:eastAsia="Times New Roman" w:hAnsi="Times New Roman"/>
                <w:sz w:val="21"/>
                <w:szCs w:val="21"/>
              </w:rPr>
              <w:t xml:space="preserve">完成试点验证与总结评估</w:t>
            </w:r>
          </w:p>
        </w:tc>
        <w:tc>
          <w:tcPr>
            <w:tcW w:type="dxa" w:w="2553"/>
          </w:tcPr>
          <w:p>
            <w:pPr>
              <w:spacing w:line="360" w:lineRule="auto"/>
              <w:jc w:val="left"/>
            </w:pPr>
            <w:r>
              <w:rPr>
                <w:rFonts w:ascii="Times New Roman" w:cs="Times New Roman" w:eastAsia="Times New Roman" w:hAnsi="Times New Roman"/>
                <w:sz w:val="21"/>
                <w:szCs w:val="21"/>
              </w:rPr>
              <w:t xml:space="preserve">试点运行报告；标准化推广方案；验收评审通过</w:t>
            </w:r>
          </w:p>
        </w:tc>
      </w:tr>
    </w:tbl>
    <w:p>
      <w:pPr>
        <w:pStyle w:val="Heading2"/>
        <w:spacing w:after="60" w:before="60" w:line="360" w:lineRule="auto"/>
        <w:jc w:val="left"/>
      </w:pPr>
      <w:r>
        <w:rPr>
          <w:rFonts w:ascii="Times New Roman" w:cs="Times New Roman" w:eastAsia="Times New Roman" w:hAnsi="Times New Roman"/>
          <w:b/>
          <w:bCs/>
          <w:sz w:val="28"/>
          <w:szCs w:val="28"/>
        </w:rPr>
        <w:t xml:space="preserve">（三）考核指标体系</w:t>
      </w:r>
    </w:p>
    <w:p>
      <w:pPr>
        <w:spacing w:line="360" w:lineRule="auto"/>
        <w:ind w:firstLine="480"/>
        <w:jc w:val="both"/>
      </w:pPr>
      <w:r>
        <w:rPr>
          <w:rFonts w:ascii="Times New Roman" w:cs="Times New Roman" w:eastAsia="Times New Roman" w:hAnsi="Times New Roman"/>
          <w:sz w:val="24"/>
          <w:szCs w:val="24"/>
        </w:rPr>
        <w:t xml:space="preserve">根据本项目“应具备可验证性”的要求，设置以下量化考核指标：</w:t>
      </w:r>
    </w:p>
    <w:p>
      <w:pPr>
        <w:spacing w:after="60" w:before="120"/>
        <w:jc w:val="center"/>
      </w:pPr>
      <w:r>
        <w:rPr>
          <w:rFonts w:ascii="Times New Roman" w:cs="Times New Roman" w:eastAsia="Times New Roman" w:hAnsi="Times New Roman"/>
          <w:b/>
          <w:bCs/>
          <w:sz w:val="21"/>
          <w:szCs w:val="21"/>
        </w:rPr>
        <w:t xml:space="preserve">表3 考核指标一览表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4506"/>
      </w:tblGrid>
      <w:tr>
        <w:trPr>
          <w:tblHeader/>
        </w:trPr>
        <w:tc>
          <w:tcPr>
            <w:tcW w:type="dxa" w:w="600"/>
            <w:shd w:fill="D9E2F3" w:val="clear"/>
          </w:tcPr>
          <w:p>
            <w:pPr>
              <w:spacing w:line="360" w:lineRule="auto"/>
              <w:jc w:val="center"/>
            </w:pPr>
            <w:r>
              <w:rPr>
                <w:rFonts w:ascii="Times New Roman" w:cs="Times New Roman" w:eastAsia="Times New Roman" w:hAnsi="Times New Roman"/>
                <w:b/>
                <w:bCs/>
                <w:sz w:val="21"/>
                <w:szCs w:val="21"/>
              </w:rPr>
              <w:t xml:space="preserve">序号</w:t>
            </w:r>
          </w:p>
        </w:tc>
        <w:tc>
          <w:tcPr>
            <w:tcW w:type="dxa" w:w="3200"/>
            <w:shd w:fill="D9E2F3" w:val="clear"/>
          </w:tcPr>
          <w:p>
            <w:pPr>
              <w:spacing w:line="360" w:lineRule="auto"/>
              <w:jc w:val="center"/>
            </w:pPr>
            <w:r>
              <w:rPr>
                <w:rFonts w:ascii="Times New Roman" w:cs="Times New Roman" w:eastAsia="Times New Roman" w:hAnsi="Times New Roman"/>
                <w:b/>
                <w:bCs/>
                <w:sz w:val="21"/>
                <w:szCs w:val="21"/>
              </w:rPr>
              <w:t xml:space="preserve">考核指标</w:t>
            </w:r>
          </w:p>
        </w:tc>
        <w:tc>
          <w:tcPr>
            <w:tcW w:type="dxa" w:w="4506"/>
            <w:shd w:fill="D9E2F3" w:val="clear"/>
          </w:tcPr>
          <w:p>
            <w:pPr>
              <w:spacing w:line="360" w:lineRule="auto"/>
              <w:jc w:val="center"/>
            </w:pPr>
            <w:r>
              <w:rPr>
                <w:rFonts w:ascii="Times New Roman" w:cs="Times New Roman" w:eastAsia="Times New Roman" w:hAnsi="Times New Roman"/>
                <w:b/>
                <w:bCs/>
                <w:sz w:val="21"/>
                <w:szCs w:val="21"/>
              </w:rPr>
              <w:t xml:space="preserve">指标说明</w:t>
            </w:r>
          </w:p>
        </w:tc>
      </w:tr>
      <w:tr>
        <w:tc>
          <w:tcPr>
            <w:tcW w:type="dxa" w:w="600"/>
          </w:tcPr>
          <w:p>
            <w:pPr>
              <w:spacing w:line="360" w:lineRule="auto"/>
              <w:jc w:val="center"/>
            </w:pPr>
            <w:r>
              <w:rPr>
                <w:rFonts w:ascii="Times New Roman" w:cs="Times New Roman" w:eastAsia="Times New Roman" w:hAnsi="Times New Roman"/>
                <w:sz w:val="21"/>
                <w:szCs w:val="21"/>
              </w:rPr>
              <w:t xml:space="preserve">1</w:t>
            </w:r>
          </w:p>
        </w:tc>
        <w:tc>
          <w:tcPr>
            <w:tcW w:type="dxa" w:w="3200"/>
          </w:tcPr>
          <w:p>
            <w:pPr>
              <w:spacing w:line="360" w:lineRule="auto"/>
              <w:jc w:val="left"/>
            </w:pPr>
            <w:r>
              <w:rPr>
                <w:rFonts w:ascii="Times New Roman" w:cs="Times New Roman" w:eastAsia="Times New Roman" w:hAnsi="Times New Roman"/>
                <w:sz w:val="21"/>
                <w:szCs w:val="21"/>
              </w:rPr>
              <w:t xml:space="preserve">园区高载能设备“无感调节窗口”识别准确率≥85%</w:t>
            </w:r>
          </w:p>
        </w:tc>
        <w:tc>
          <w:tcPr>
            <w:tcW w:type="dxa" w:w="4506"/>
          </w:tcPr>
          <w:p>
            <w:pPr>
              <w:spacing w:line="360" w:lineRule="auto"/>
              <w:jc w:val="left"/>
            </w:pPr>
            <w:r>
              <w:rPr>
                <w:rFonts w:ascii="Times New Roman" w:cs="Times New Roman" w:eastAsia="Times New Roman" w:hAnsi="Times New Roman"/>
                <w:sz w:val="21"/>
                <w:szCs w:val="21"/>
              </w:rPr>
              <w:t xml:space="preserve">基于PINN物理信息神经网络模型，将高载能工业设备的工艺约束、安全边界与用电行为深度融合，实现对“可调但无感”运行区间的精准刻画。准确率以人工专家研判结果为基准进行交叉验证。</w:t>
            </w:r>
          </w:p>
        </w:tc>
      </w:tr>
      <w:tr>
        <w:tc>
          <w:tcPr>
            <w:tcW w:type="dxa" w:w="600"/>
          </w:tcPr>
          <w:p>
            <w:pPr>
              <w:spacing w:line="360" w:lineRule="auto"/>
              <w:jc w:val="center"/>
            </w:pPr>
            <w:r>
              <w:rPr>
                <w:rFonts w:ascii="Times New Roman" w:cs="Times New Roman" w:eastAsia="Times New Roman" w:hAnsi="Times New Roman"/>
                <w:sz w:val="21"/>
                <w:szCs w:val="21"/>
              </w:rPr>
              <w:t xml:space="preserve">2</w:t>
            </w:r>
          </w:p>
        </w:tc>
        <w:tc>
          <w:tcPr>
            <w:tcW w:type="dxa" w:w="3200"/>
          </w:tcPr>
          <w:p>
            <w:pPr>
              <w:spacing w:line="360" w:lineRule="auto"/>
              <w:jc w:val="left"/>
            </w:pPr>
            <w:r>
              <w:rPr>
                <w:rFonts w:ascii="Times New Roman" w:cs="Times New Roman" w:eastAsia="Times New Roman" w:hAnsi="Times New Roman"/>
                <w:sz w:val="21"/>
                <w:szCs w:val="21"/>
              </w:rPr>
              <w:t xml:space="preserve">园区级群控策略优化响应时间≤5分钟</w:t>
            </w:r>
          </w:p>
        </w:tc>
        <w:tc>
          <w:tcPr>
            <w:tcW w:type="dxa" w:w="4506"/>
          </w:tcPr>
          <w:p>
            <w:pPr>
              <w:spacing w:line="360" w:lineRule="auto"/>
              <w:jc w:val="left"/>
            </w:pPr>
            <w:r>
              <w:rPr>
                <w:rFonts w:ascii="Times New Roman" w:cs="Times New Roman" w:eastAsia="Times New Roman" w:hAnsi="Times New Roman"/>
                <w:sz w:val="21"/>
                <w:szCs w:val="21"/>
              </w:rPr>
              <w:t xml:space="preserve">从接收电网调度调控需求到生成群控优化策略的全链路响应时间，包含数据获取、AI模型推理、多智能体协同决策、策略校验四个环节，支撑高载能负荷向“准实时柔性可控”跨越。</w:t>
            </w:r>
          </w:p>
        </w:tc>
      </w:tr>
      <w:tr>
        <w:tc>
          <w:tcPr>
            <w:tcW w:type="dxa" w:w="600"/>
          </w:tcPr>
          <w:p>
            <w:pPr>
              <w:spacing w:line="360" w:lineRule="auto"/>
              <w:jc w:val="center"/>
            </w:pPr>
            <w:r>
              <w:rPr>
                <w:rFonts w:ascii="Times New Roman" w:cs="Times New Roman" w:eastAsia="Times New Roman" w:hAnsi="Times New Roman"/>
                <w:sz w:val="21"/>
                <w:szCs w:val="21"/>
              </w:rPr>
              <w:t xml:space="preserve">3</w:t>
            </w:r>
          </w:p>
        </w:tc>
        <w:tc>
          <w:tcPr>
            <w:tcW w:type="dxa" w:w="3200"/>
          </w:tcPr>
          <w:p>
            <w:pPr>
              <w:spacing w:line="360" w:lineRule="auto"/>
              <w:jc w:val="left"/>
            </w:pPr>
            <w:r>
              <w:rPr>
                <w:rFonts w:ascii="Times New Roman" w:cs="Times New Roman" w:eastAsia="Times New Roman" w:hAnsi="Times New Roman"/>
                <w:sz w:val="21"/>
                <w:szCs w:val="21"/>
              </w:rPr>
              <w:t xml:space="preserve">调控策略执行成功率≥98%</w:t>
            </w:r>
          </w:p>
        </w:tc>
        <w:tc>
          <w:tcPr>
            <w:tcW w:type="dxa" w:w="4506"/>
          </w:tcPr>
          <w:p>
            <w:pPr>
              <w:spacing w:line="360" w:lineRule="auto"/>
              <w:jc w:val="left"/>
            </w:pPr>
            <w:r>
              <w:rPr>
                <w:rFonts w:ascii="Times New Roman" w:cs="Times New Roman" w:eastAsia="Times New Roman" w:hAnsi="Times New Roman"/>
                <w:sz w:val="21"/>
                <w:szCs w:val="21"/>
              </w:rPr>
              <w:t xml:space="preserve">试点期间所有下发的调控指令中，成功执行（即设备按策略完成调节动作且未触发任何工艺保护跳闸）的指令占比，验证AI策略的高可靠性与安全性。</w:t>
            </w:r>
          </w:p>
        </w:tc>
      </w:tr>
      <w:tr>
        <w:tc>
          <w:tcPr>
            <w:tcW w:type="dxa" w:w="600"/>
          </w:tcPr>
          <w:p>
            <w:pPr>
              <w:spacing w:line="360" w:lineRule="auto"/>
              <w:jc w:val="center"/>
            </w:pPr>
            <w:r>
              <w:rPr>
                <w:rFonts w:ascii="Times New Roman" w:cs="Times New Roman" w:eastAsia="Times New Roman" w:hAnsi="Times New Roman"/>
                <w:sz w:val="21"/>
                <w:szCs w:val="21"/>
              </w:rPr>
              <w:t xml:space="preserve">4</w:t>
            </w:r>
          </w:p>
        </w:tc>
        <w:tc>
          <w:tcPr>
            <w:tcW w:type="dxa" w:w="3200"/>
          </w:tcPr>
          <w:p>
            <w:pPr>
              <w:spacing w:line="360" w:lineRule="auto"/>
              <w:jc w:val="left"/>
            </w:pPr>
            <w:r>
              <w:rPr>
                <w:rFonts w:ascii="Times New Roman" w:cs="Times New Roman" w:eastAsia="Times New Roman" w:hAnsi="Times New Roman"/>
                <w:sz w:val="21"/>
                <w:szCs w:val="21"/>
              </w:rPr>
              <w:t xml:space="preserve">软件功能模块1套，典型工业园区试点验证≥1个</w:t>
            </w:r>
          </w:p>
        </w:tc>
        <w:tc>
          <w:tcPr>
            <w:tcW w:type="dxa" w:w="4506"/>
          </w:tcPr>
          <w:p>
            <w:pPr>
              <w:spacing w:line="360" w:lineRule="auto"/>
              <w:jc w:val="left"/>
            </w:pPr>
            <w:r>
              <w:rPr>
                <w:rFonts w:ascii="Times New Roman" w:cs="Times New Roman" w:eastAsia="Times New Roman" w:hAnsi="Times New Roman"/>
                <w:sz w:val="21"/>
                <w:szCs w:val="21"/>
              </w:rPr>
              <w:t xml:space="preserve">形成可嵌入省级负荷管理系统的柔性群控软件功能模块（含设备建模、策略优化、指令下发、效果评估等完整功能）；在≥1个典型工业园区开展线下策略验证与线上静默运行双模式试点。</w:t>
            </w:r>
          </w:p>
        </w:tc>
      </w:tr>
      <w:tr>
        <w:tc>
          <w:tcPr>
            <w:tcW w:type="dxa" w:w="600"/>
          </w:tcPr>
          <w:p>
            <w:pPr>
              <w:spacing w:line="360" w:lineRule="auto"/>
              <w:jc w:val="center"/>
            </w:pPr>
            <w:r>
              <w:rPr>
                <w:rFonts w:ascii="Times New Roman" w:cs="Times New Roman" w:eastAsia="Times New Roman" w:hAnsi="Times New Roman"/>
                <w:sz w:val="21"/>
                <w:szCs w:val="21"/>
              </w:rPr>
              <w:t xml:space="preserve">5</w:t>
            </w:r>
          </w:p>
        </w:tc>
        <w:tc>
          <w:tcPr>
            <w:tcW w:type="dxa" w:w="3200"/>
          </w:tcPr>
          <w:p>
            <w:pPr>
              <w:spacing w:line="360" w:lineRule="auto"/>
              <w:jc w:val="left"/>
            </w:pPr>
            <w:r>
              <w:rPr>
                <w:rFonts w:ascii="Times New Roman" w:cs="Times New Roman" w:eastAsia="Times New Roman" w:hAnsi="Times New Roman"/>
                <w:sz w:val="21"/>
                <w:szCs w:val="21"/>
              </w:rPr>
              <w:t xml:space="preserve">试点期间挖掘可调节容量≥园区总负荷的10%</w:t>
            </w:r>
          </w:p>
        </w:tc>
        <w:tc>
          <w:tcPr>
            <w:tcW w:type="dxa" w:w="4506"/>
          </w:tcPr>
          <w:p>
            <w:pPr>
              <w:spacing w:line="360" w:lineRule="auto"/>
              <w:jc w:val="left"/>
            </w:pPr>
            <w:r>
              <w:rPr>
                <w:rFonts w:ascii="Times New Roman" w:cs="Times New Roman" w:eastAsia="Times New Roman" w:hAnsi="Times New Roman"/>
                <w:sz w:val="21"/>
                <w:szCs w:val="21"/>
              </w:rPr>
              <w:t xml:space="preserve">在保障企业生产安全与产品质量的前提下，通过AI驱动的精细化调控策略挖掘的柔性可调节容量占比，反映项目的实际经济价值与推广意义。</w:t>
            </w:r>
          </w:p>
        </w:tc>
      </w:tr>
      <w:tr>
        <w:tc>
          <w:tcPr>
            <w:tcW w:type="dxa" w:w="600"/>
          </w:tcPr>
          <w:p>
            <w:pPr>
              <w:spacing w:line="360" w:lineRule="auto"/>
              <w:jc w:val="center"/>
            </w:pPr>
            <w:r>
              <w:rPr>
                <w:rFonts w:ascii="Times New Roman" w:cs="Times New Roman" w:eastAsia="Times New Roman" w:hAnsi="Times New Roman"/>
                <w:sz w:val="21"/>
                <w:szCs w:val="21"/>
              </w:rPr>
              <w:t xml:space="preserve">6</w:t>
            </w:r>
          </w:p>
        </w:tc>
        <w:tc>
          <w:tcPr>
            <w:tcW w:type="dxa" w:w="3200"/>
          </w:tcPr>
          <w:p>
            <w:pPr>
              <w:spacing w:line="360" w:lineRule="auto"/>
              <w:jc w:val="left"/>
            </w:pPr>
            <w:r>
              <w:rPr>
                <w:rFonts w:ascii="Times New Roman" w:cs="Times New Roman" w:eastAsia="Times New Roman" w:hAnsi="Times New Roman"/>
                <w:sz w:val="21"/>
                <w:szCs w:val="21"/>
              </w:rPr>
              <w:t xml:space="preserve">知识图谱覆盖≥3类高载能设备，调控案例≥500条</w:t>
            </w:r>
          </w:p>
        </w:tc>
        <w:tc>
          <w:tcPr>
            <w:tcW w:type="dxa" w:w="4506"/>
          </w:tcPr>
          <w:p>
            <w:pPr>
              <w:spacing w:line="360" w:lineRule="auto"/>
              <w:jc w:val="left"/>
            </w:pPr>
            <w:r>
              <w:rPr>
                <w:rFonts w:ascii="Times New Roman" w:cs="Times New Roman" w:eastAsia="Times New Roman" w:hAnsi="Times New Roman"/>
                <w:sz w:val="21"/>
                <w:szCs w:val="21"/>
              </w:rPr>
              <w:t xml:space="preserve">构建园区负荷调控AI知识图谱，完成对整流机组、电弧炉、电锅炉等≥3类典型设备的特性知识结构化表达，积累≥500条调控案例知识。</w:t>
            </w:r>
          </w:p>
        </w:tc>
      </w:tr>
    </w:tbl>
    <w:p>
      <w:pPr>
        <w:pStyle w:val="Heading1"/>
        <w:pageBreakBefore/>
        <w:spacing w:after="60" w:before="120" w:line="360" w:lineRule="auto"/>
        <w:jc w:val="left"/>
      </w:pPr>
      <w:r>
        <w:rPr>
          <w:rFonts w:ascii="Times New Roman" w:cs="Times New Roman" w:eastAsia="Times New Roman" w:hAnsi="Times New Roman"/>
          <w:b/>
          <w:bCs/>
          <w:sz w:val="30"/>
          <w:szCs w:val="30"/>
        </w:rPr>
        <w:t xml:space="preserve">四、项目组织与实施保障</w:t>
      </w:r>
    </w:p>
    <w:p>
      <w:pPr>
        <w:pStyle w:val="Heading2"/>
        <w:spacing w:after="60" w:before="60" w:line="360" w:lineRule="auto"/>
        <w:jc w:val="left"/>
      </w:pPr>
      <w:r>
        <w:rPr>
          <w:rFonts w:ascii="Times New Roman" w:cs="Times New Roman" w:eastAsia="Times New Roman" w:hAnsi="Times New Roman"/>
          <w:b/>
          <w:bCs/>
          <w:sz w:val="28"/>
          <w:szCs w:val="28"/>
        </w:rPr>
        <w:t xml:space="preserve">（一）产学研用协同创新组织架构</w:t>
      </w:r>
    </w:p>
    <w:p>
      <w:pPr>
        <w:spacing w:line="360" w:lineRule="auto"/>
        <w:ind w:firstLine="480"/>
        <w:jc w:val="both"/>
      </w:pPr>
      <w:r>
        <w:rPr>
          <w:rFonts w:ascii="Times New Roman" w:cs="Times New Roman" w:eastAsia="Times New Roman" w:hAnsi="Times New Roman"/>
          <w:sz w:val="24"/>
          <w:szCs w:val="24"/>
        </w:rPr>
        <w:t xml:space="preserve">本项目采用“产学研用”四位一体的协同创新组织模式，由电网企业（负荷管理中心）为牵头单位，联合高校/科研院所提供AI算法研发支撑，联合试点工业园区企业提供应用场景验证，形成从AI理论研究到工程落地的高效闭环。</w:t>
      </w:r>
    </w:p>
    <w:p>
      <w:pPr>
        <w:spacing w:line="360" w:lineRule="auto"/>
        <w:ind w:firstLine="480"/>
        <w:jc w:val="both"/>
      </w:pPr>
      <w:r>
        <w:rPr>
          <w:rFonts w:ascii="Times New Roman" w:cs="Times New Roman" w:eastAsia="Times New Roman" w:hAnsi="Times New Roman"/>
          <w:b/>
          <w:bCs/>
          <w:sz w:val="24"/>
          <w:szCs w:val="24"/>
        </w:rPr>
        <w:t xml:space="preserve">项目领导小组——</w:t>
      </w:r>
      <w:r>
        <w:rPr>
          <w:rFonts w:ascii="Times New Roman" w:cs="Times New Roman" w:eastAsia="Times New Roman" w:hAnsi="Times New Roman"/>
          <w:sz w:val="24"/>
          <w:szCs w:val="24"/>
        </w:rPr>
        <w:t xml:space="preserve">由牵头单位分管领导担任组长，各参与单位负责人担任成员，负责重大事项决策与资源协调。</w:t>
      </w:r>
    </w:p>
    <w:p>
      <w:pPr>
        <w:spacing w:line="360" w:lineRule="auto"/>
        <w:ind w:firstLine="480"/>
        <w:jc w:val="both"/>
      </w:pPr>
      <w:r>
        <w:rPr>
          <w:rFonts w:ascii="Times New Roman" w:cs="Times New Roman" w:eastAsia="Times New Roman" w:hAnsi="Times New Roman"/>
          <w:b/>
          <w:bCs/>
          <w:sz w:val="24"/>
          <w:szCs w:val="24"/>
        </w:rPr>
        <w:t xml:space="preserve">项目技术总体组——</w:t>
      </w:r>
      <w:r>
        <w:rPr>
          <w:rFonts w:ascii="Times New Roman" w:cs="Times New Roman" w:eastAsia="Times New Roman" w:hAnsi="Times New Roman"/>
          <w:sz w:val="24"/>
          <w:szCs w:val="24"/>
        </w:rPr>
        <w:t xml:space="preserve">由各参与单位技术骨干组成，负责AI技术路线把控、阶段性成果评审和技术难题攻关。</w:t>
      </w:r>
    </w:p>
    <w:p>
      <w:pPr>
        <w:spacing w:line="360" w:lineRule="auto"/>
        <w:ind w:firstLine="480"/>
        <w:jc w:val="both"/>
      </w:pPr>
      <w:r>
        <w:rPr>
          <w:rFonts w:ascii="Times New Roman" w:cs="Times New Roman" w:eastAsia="Times New Roman" w:hAnsi="Times New Roman"/>
          <w:b/>
          <w:bCs/>
          <w:sz w:val="24"/>
          <w:szCs w:val="24"/>
        </w:rPr>
        <w:t xml:space="preserve">算法研发组——</w:t>
      </w:r>
      <w:r>
        <w:rPr>
          <w:rFonts w:ascii="Times New Roman" w:cs="Times New Roman" w:eastAsia="Times New Roman" w:hAnsi="Times New Roman"/>
          <w:sz w:val="24"/>
          <w:szCs w:val="24"/>
        </w:rPr>
        <w:t xml:space="preserve">负责PINN设备建模、深度强化学习群控策略、知识图谱构建、联邦学习框架等核心AI算法的研发与迭代，由AI领域博士/硕士研究人员组成。</w:t>
      </w:r>
    </w:p>
    <w:p>
      <w:pPr>
        <w:spacing w:line="360" w:lineRule="auto"/>
        <w:ind w:firstLine="480"/>
        <w:jc w:val="both"/>
      </w:pPr>
      <w:r>
        <w:rPr>
          <w:rFonts w:ascii="Times New Roman" w:cs="Times New Roman" w:eastAsia="Times New Roman" w:hAnsi="Times New Roman"/>
          <w:b/>
          <w:bCs/>
          <w:sz w:val="24"/>
          <w:szCs w:val="24"/>
        </w:rPr>
        <w:t xml:space="preserve">系统开发组——</w:t>
      </w:r>
      <w:r>
        <w:rPr>
          <w:rFonts w:ascii="Times New Roman" w:cs="Times New Roman" w:eastAsia="Times New Roman" w:hAnsi="Times New Roman"/>
          <w:sz w:val="24"/>
          <w:szCs w:val="24"/>
        </w:rPr>
        <w:t xml:space="preserve">负责软件功能模块的工程设计、开发实现、测试验证及与省级负荷管理系统的对接集成。</w:t>
      </w:r>
    </w:p>
    <w:p>
      <w:pPr>
        <w:spacing w:line="360" w:lineRule="auto"/>
        <w:ind w:firstLine="480"/>
        <w:jc w:val="both"/>
      </w:pPr>
      <w:r>
        <w:rPr>
          <w:rFonts w:ascii="Times New Roman" w:cs="Times New Roman" w:eastAsia="Times New Roman" w:hAnsi="Times New Roman"/>
          <w:b/>
          <w:bCs/>
          <w:sz w:val="24"/>
          <w:szCs w:val="24"/>
        </w:rPr>
        <w:t xml:space="preserve">试点实施组——</w:t>
      </w:r>
      <w:r>
        <w:rPr>
          <w:rFonts w:ascii="Times New Roman" w:cs="Times New Roman" w:eastAsia="Times New Roman" w:hAnsi="Times New Roman"/>
          <w:sz w:val="24"/>
          <w:szCs w:val="24"/>
        </w:rPr>
        <w:t xml:space="preserve">负责试点工业园区的现场实施、调试运行、数据采集及AI应用效果评估。</w:t>
      </w:r>
    </w:p>
    <w:p>
      <w:pPr>
        <w:pStyle w:val="Heading2"/>
        <w:spacing w:after="60" w:before="60" w:line="360" w:lineRule="auto"/>
        <w:jc w:val="left"/>
      </w:pPr>
      <w:r>
        <w:rPr>
          <w:rFonts w:ascii="Times New Roman" w:cs="Times New Roman" w:eastAsia="Times New Roman" w:hAnsi="Times New Roman"/>
          <w:b/>
          <w:bCs/>
          <w:sz w:val="28"/>
          <w:szCs w:val="28"/>
        </w:rPr>
        <w:t xml:space="preserve">（二）项目负责人及核心团队</w:t>
      </w:r>
    </w:p>
    <w:p>
      <w:pPr>
        <w:spacing w:after="60" w:before="120"/>
        <w:jc w:val="center"/>
      </w:pPr>
      <w:r>
        <w:rPr>
          <w:rFonts w:ascii="Times New Roman" w:cs="Times New Roman" w:eastAsia="Times New Roman" w:hAnsi="Times New Roman"/>
          <w:b/>
          <w:bCs/>
          <w:sz w:val="21"/>
          <w:szCs w:val="21"/>
        </w:rPr>
        <w:t xml:space="preserve">表4 项目核心团队配置表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400"/>
        <w:gridCol w:w="900"/>
        <w:gridCol w:w="1963"/>
        <w:gridCol w:w="1843"/>
      </w:tblGrid>
      <w:tr>
        <w:trPr>
          <w:tblHeader/>
        </w:trPr>
        <w:tc>
          <w:tcPr>
            <w:tcW w:type="dxa" w:w="1000"/>
            <w:shd w:fill="D9E2F3" w:val="clear"/>
          </w:tcPr>
          <w:p>
            <w:pPr>
              <w:spacing w:line="360" w:lineRule="auto"/>
              <w:jc w:val="center"/>
            </w:pPr>
            <w:r>
              <w:rPr>
                <w:rFonts w:ascii="Times New Roman" w:cs="Times New Roman" w:eastAsia="Times New Roman" w:hAnsi="Times New Roman"/>
                <w:b/>
                <w:bCs/>
                <w:sz w:val="21"/>
                <w:szCs w:val="21"/>
              </w:rPr>
              <w:t xml:space="preserve">姓名</w:t>
            </w:r>
          </w:p>
        </w:tc>
        <w:tc>
          <w:tcPr>
            <w:tcW w:type="dxa" w:w="1200"/>
            <w:shd w:fill="D9E2F3" w:val="clear"/>
          </w:tcPr>
          <w:p>
            <w:pPr>
              <w:spacing w:line="360" w:lineRule="auto"/>
              <w:jc w:val="center"/>
            </w:pPr>
            <w:r>
              <w:rPr>
                <w:rFonts w:ascii="Times New Roman" w:cs="Times New Roman" w:eastAsia="Times New Roman" w:hAnsi="Times New Roman"/>
                <w:b/>
                <w:bCs/>
                <w:sz w:val="21"/>
                <w:szCs w:val="21"/>
              </w:rPr>
              <w:t xml:space="preserve">单位</w:t>
            </w:r>
          </w:p>
        </w:tc>
        <w:tc>
          <w:tcPr>
            <w:tcW w:type="dxa" w:w="1400"/>
            <w:shd w:fill="D9E2F3" w:val="clear"/>
          </w:tcPr>
          <w:p>
            <w:pPr>
              <w:spacing w:line="360" w:lineRule="auto"/>
              <w:jc w:val="center"/>
            </w:pPr>
            <w:r>
              <w:rPr>
                <w:rFonts w:ascii="Times New Roman" w:cs="Times New Roman" w:eastAsia="Times New Roman" w:hAnsi="Times New Roman"/>
                <w:b/>
                <w:bCs/>
                <w:sz w:val="21"/>
                <w:szCs w:val="21"/>
              </w:rPr>
              <w:t xml:space="preserve">职务/职称</w:t>
            </w:r>
          </w:p>
        </w:tc>
        <w:tc>
          <w:tcPr>
            <w:tcW w:type="dxa" w:w="900"/>
            <w:shd w:fill="D9E2F3" w:val="clear"/>
          </w:tcPr>
          <w:p>
            <w:pPr>
              <w:spacing w:line="360" w:lineRule="auto"/>
              <w:jc w:val="center"/>
            </w:pPr>
            <w:r>
              <w:rPr>
                <w:rFonts w:ascii="Times New Roman" w:cs="Times New Roman" w:eastAsia="Times New Roman" w:hAnsi="Times New Roman"/>
                <w:b/>
                <w:bCs/>
                <w:sz w:val="21"/>
                <w:szCs w:val="21"/>
              </w:rPr>
              <w:t xml:space="preserve">学历</w:t>
            </w:r>
          </w:p>
        </w:tc>
        <w:tc>
          <w:tcPr>
            <w:tcW w:type="dxa" w:w="1963"/>
            <w:shd w:fill="D9E2F3" w:val="clear"/>
          </w:tcPr>
          <w:p>
            <w:pPr>
              <w:spacing w:line="360" w:lineRule="auto"/>
              <w:jc w:val="center"/>
            </w:pPr>
            <w:r>
              <w:rPr>
                <w:rFonts w:ascii="Times New Roman" w:cs="Times New Roman" w:eastAsia="Times New Roman" w:hAnsi="Times New Roman"/>
                <w:b/>
                <w:bCs/>
                <w:sz w:val="21"/>
                <w:szCs w:val="21"/>
              </w:rPr>
              <w:t xml:space="preserve">项目分工</w:t>
            </w:r>
          </w:p>
        </w:tc>
        <w:tc>
          <w:tcPr>
            <w:tcW w:type="dxa" w:w="1843"/>
            <w:shd w:fill="D9E2F3" w:val="clear"/>
          </w:tcPr>
          <w:p>
            <w:pPr>
              <w:spacing w:line="360" w:lineRule="auto"/>
              <w:jc w:val="center"/>
            </w:pPr>
            <w:r>
              <w:rPr>
                <w:rFonts w:ascii="Times New Roman" w:cs="Times New Roman" w:eastAsia="Times New Roman" w:hAnsi="Times New Roman"/>
                <w:b/>
                <w:bCs/>
                <w:sz w:val="21"/>
                <w:szCs w:val="21"/>
              </w:rPr>
              <w:t xml:space="preserve">投入时间</w:t>
            </w:r>
          </w:p>
        </w:tc>
      </w:tr>
      <w:tr>
        <w:tc>
          <w:tcPr>
            <w:tcW w:type="dxa" w:w="1000"/>
          </w:tcPr>
          <w:p>
            <w:pPr>
              <w:spacing w:line="360" w:lineRule="auto"/>
              <w:jc w:val="center"/>
            </w:pPr>
            <w:r>
              <w:rPr>
                <w:rFonts w:ascii="Times New Roman" w:cs="Times New Roman" w:eastAsia="Times New Roman" w:hAnsi="Times New Roman"/>
                <w:sz w:val="21"/>
                <w:szCs w:val="21"/>
              </w:rPr>
              <w:t xml:space="preserve"/>
            </w:r>
          </w:p>
        </w:tc>
        <w:tc>
          <w:tcPr>
            <w:tcW w:type="dxa" w:w="1200"/>
          </w:tcPr>
          <w:p>
            <w:pPr>
              <w:spacing w:line="360" w:lineRule="auto"/>
              <w:jc w:val="left"/>
            </w:pPr>
            <w:r>
              <w:rPr>
                <w:rFonts w:ascii="Times New Roman" w:cs="Times New Roman" w:eastAsia="Times New Roman" w:hAnsi="Times New Roman"/>
                <w:sz w:val="21"/>
                <w:szCs w:val="21"/>
              </w:rPr>
              <w:t xml:space="preserve"/>
            </w:r>
          </w:p>
        </w:tc>
        <w:tc>
          <w:tcPr>
            <w:tcW w:type="dxa" w:w="1400"/>
          </w:tcPr>
          <w:p>
            <w:pPr>
              <w:spacing w:line="360" w:lineRule="auto"/>
              <w:jc w:val="left"/>
            </w:pPr>
            <w:r>
              <w:rPr>
                <w:rFonts w:ascii="Times New Roman" w:cs="Times New Roman" w:eastAsia="Times New Roman" w:hAnsi="Times New Roman"/>
                <w:sz w:val="21"/>
                <w:szCs w:val="21"/>
              </w:rPr>
              <w:t xml:space="preserve"/>
            </w:r>
          </w:p>
        </w:tc>
        <w:tc>
          <w:tcPr>
            <w:tcW w:type="dxa" w:w="900"/>
          </w:tcPr>
          <w:p>
            <w:pPr>
              <w:spacing w:line="360" w:lineRule="auto"/>
              <w:jc w:val="left"/>
            </w:pPr>
            <w:r>
              <w:rPr>
                <w:rFonts w:ascii="Times New Roman" w:cs="Times New Roman" w:eastAsia="Times New Roman" w:hAnsi="Times New Roman"/>
                <w:sz w:val="21"/>
                <w:szCs w:val="21"/>
              </w:rPr>
              <w:t xml:space="preserve"/>
            </w:r>
          </w:p>
        </w:tc>
        <w:tc>
          <w:tcPr>
            <w:tcW w:type="dxa" w:w="1963"/>
          </w:tcPr>
          <w:p>
            <w:pPr>
              <w:spacing w:line="360" w:lineRule="auto"/>
              <w:jc w:val="left"/>
            </w:pPr>
            <w:r>
              <w:rPr>
                <w:rFonts w:ascii="Times New Roman" w:cs="Times New Roman" w:eastAsia="Times New Roman" w:hAnsi="Times New Roman"/>
                <w:sz w:val="21"/>
                <w:szCs w:val="21"/>
              </w:rPr>
              <w:t xml:space="preserve"/>
            </w:r>
          </w:p>
        </w:tc>
        <w:tc>
          <w:tcPr>
            <w:tcW w:type="dxa" w:w="1843"/>
          </w:tcPr>
          <w:p>
            <w:pPr>
              <w:spacing w:line="360" w:lineRule="auto"/>
              <w:jc w:val="left"/>
            </w:pPr>
            <w:r>
              <w:rPr>
                <w:rFonts w:ascii="Times New Roman" w:cs="Times New Roman" w:eastAsia="Times New Roman" w:hAnsi="Times New Roman"/>
                <w:sz w:val="21"/>
                <w:szCs w:val="21"/>
              </w:rPr>
              <w:t xml:space="preserve"/>
            </w:r>
          </w:p>
        </w:tc>
      </w:tr>
      <w:tr>
        <w:tc>
          <w:tcPr>
            <w:tcW w:type="dxa" w:w="1000"/>
          </w:tcPr>
          <w:p>
            <w:pPr>
              <w:spacing w:line="360" w:lineRule="auto"/>
              <w:jc w:val="center"/>
            </w:pPr>
            <w:r>
              <w:rPr>
                <w:rFonts w:ascii="Times New Roman" w:cs="Times New Roman" w:eastAsia="Times New Roman" w:hAnsi="Times New Roman"/>
                <w:sz w:val="21"/>
                <w:szCs w:val="21"/>
              </w:rPr>
              <w:t xml:space="preserve"/>
            </w:r>
          </w:p>
        </w:tc>
        <w:tc>
          <w:tcPr>
            <w:tcW w:type="dxa" w:w="1200"/>
          </w:tcPr>
          <w:p>
            <w:pPr>
              <w:spacing w:line="360" w:lineRule="auto"/>
              <w:jc w:val="left"/>
            </w:pPr>
            <w:r>
              <w:rPr>
                <w:rFonts w:ascii="Times New Roman" w:cs="Times New Roman" w:eastAsia="Times New Roman" w:hAnsi="Times New Roman"/>
                <w:sz w:val="21"/>
                <w:szCs w:val="21"/>
              </w:rPr>
              <w:t xml:space="preserve"/>
            </w:r>
          </w:p>
        </w:tc>
        <w:tc>
          <w:tcPr>
            <w:tcW w:type="dxa" w:w="1400"/>
          </w:tcPr>
          <w:p>
            <w:pPr>
              <w:spacing w:line="360" w:lineRule="auto"/>
              <w:jc w:val="left"/>
            </w:pPr>
            <w:r>
              <w:rPr>
                <w:rFonts w:ascii="Times New Roman" w:cs="Times New Roman" w:eastAsia="Times New Roman" w:hAnsi="Times New Roman"/>
                <w:sz w:val="21"/>
                <w:szCs w:val="21"/>
              </w:rPr>
              <w:t xml:space="preserve"/>
            </w:r>
          </w:p>
        </w:tc>
        <w:tc>
          <w:tcPr>
            <w:tcW w:type="dxa" w:w="900"/>
          </w:tcPr>
          <w:p>
            <w:pPr>
              <w:spacing w:line="360" w:lineRule="auto"/>
              <w:jc w:val="left"/>
            </w:pPr>
            <w:r>
              <w:rPr>
                <w:rFonts w:ascii="Times New Roman" w:cs="Times New Roman" w:eastAsia="Times New Roman" w:hAnsi="Times New Roman"/>
                <w:sz w:val="21"/>
                <w:szCs w:val="21"/>
              </w:rPr>
              <w:t xml:space="preserve"/>
            </w:r>
          </w:p>
        </w:tc>
        <w:tc>
          <w:tcPr>
            <w:tcW w:type="dxa" w:w="1963"/>
          </w:tcPr>
          <w:p>
            <w:pPr>
              <w:spacing w:line="360" w:lineRule="auto"/>
              <w:jc w:val="left"/>
            </w:pPr>
            <w:r>
              <w:rPr>
                <w:rFonts w:ascii="Times New Roman" w:cs="Times New Roman" w:eastAsia="Times New Roman" w:hAnsi="Times New Roman"/>
                <w:sz w:val="21"/>
                <w:szCs w:val="21"/>
              </w:rPr>
              <w:t xml:space="preserve"/>
            </w:r>
          </w:p>
        </w:tc>
        <w:tc>
          <w:tcPr>
            <w:tcW w:type="dxa" w:w="1843"/>
          </w:tcPr>
          <w:p>
            <w:pPr>
              <w:spacing w:line="360" w:lineRule="auto"/>
              <w:jc w:val="left"/>
            </w:pPr>
            <w:r>
              <w:rPr>
                <w:rFonts w:ascii="Times New Roman" w:cs="Times New Roman" w:eastAsia="Times New Roman" w:hAnsi="Times New Roman"/>
                <w:sz w:val="21"/>
                <w:szCs w:val="21"/>
              </w:rPr>
              <w:t xml:space="preserve"/>
            </w:r>
          </w:p>
        </w:tc>
      </w:tr>
      <w:tr>
        <w:tc>
          <w:tcPr>
            <w:tcW w:type="dxa" w:w="1000"/>
          </w:tcPr>
          <w:p>
            <w:pPr>
              <w:spacing w:line="360" w:lineRule="auto"/>
              <w:jc w:val="center"/>
            </w:pPr>
            <w:r>
              <w:rPr>
                <w:rFonts w:ascii="Times New Roman" w:cs="Times New Roman" w:eastAsia="Times New Roman" w:hAnsi="Times New Roman"/>
                <w:sz w:val="21"/>
                <w:szCs w:val="21"/>
              </w:rPr>
              <w:t xml:space="preserve"/>
            </w:r>
          </w:p>
        </w:tc>
        <w:tc>
          <w:tcPr>
            <w:tcW w:type="dxa" w:w="1200"/>
          </w:tcPr>
          <w:p>
            <w:pPr>
              <w:spacing w:line="360" w:lineRule="auto"/>
              <w:jc w:val="left"/>
            </w:pPr>
            <w:r>
              <w:rPr>
                <w:rFonts w:ascii="Times New Roman" w:cs="Times New Roman" w:eastAsia="Times New Roman" w:hAnsi="Times New Roman"/>
                <w:sz w:val="21"/>
                <w:szCs w:val="21"/>
              </w:rPr>
              <w:t xml:space="preserve"/>
            </w:r>
          </w:p>
        </w:tc>
        <w:tc>
          <w:tcPr>
            <w:tcW w:type="dxa" w:w="1400"/>
          </w:tcPr>
          <w:p>
            <w:pPr>
              <w:spacing w:line="360" w:lineRule="auto"/>
              <w:jc w:val="left"/>
            </w:pPr>
            <w:r>
              <w:rPr>
                <w:rFonts w:ascii="Times New Roman" w:cs="Times New Roman" w:eastAsia="Times New Roman" w:hAnsi="Times New Roman"/>
                <w:sz w:val="21"/>
                <w:szCs w:val="21"/>
              </w:rPr>
              <w:t xml:space="preserve"/>
            </w:r>
          </w:p>
        </w:tc>
        <w:tc>
          <w:tcPr>
            <w:tcW w:type="dxa" w:w="900"/>
          </w:tcPr>
          <w:p>
            <w:pPr>
              <w:spacing w:line="360" w:lineRule="auto"/>
              <w:jc w:val="left"/>
            </w:pPr>
            <w:r>
              <w:rPr>
                <w:rFonts w:ascii="Times New Roman" w:cs="Times New Roman" w:eastAsia="Times New Roman" w:hAnsi="Times New Roman"/>
                <w:sz w:val="21"/>
                <w:szCs w:val="21"/>
              </w:rPr>
              <w:t xml:space="preserve"/>
            </w:r>
          </w:p>
        </w:tc>
        <w:tc>
          <w:tcPr>
            <w:tcW w:type="dxa" w:w="1963"/>
          </w:tcPr>
          <w:p>
            <w:pPr>
              <w:spacing w:line="360" w:lineRule="auto"/>
              <w:jc w:val="left"/>
            </w:pPr>
            <w:r>
              <w:rPr>
                <w:rFonts w:ascii="Times New Roman" w:cs="Times New Roman" w:eastAsia="Times New Roman" w:hAnsi="Times New Roman"/>
                <w:sz w:val="21"/>
                <w:szCs w:val="21"/>
              </w:rPr>
              <w:t xml:space="preserve"/>
            </w:r>
          </w:p>
        </w:tc>
        <w:tc>
          <w:tcPr>
            <w:tcW w:type="dxa" w:w="1843"/>
          </w:tcPr>
          <w:p>
            <w:pPr>
              <w:spacing w:line="360" w:lineRule="auto"/>
              <w:jc w:val="left"/>
            </w:pPr>
            <w:r>
              <w:rPr>
                <w:rFonts w:ascii="Times New Roman" w:cs="Times New Roman" w:eastAsia="Times New Roman" w:hAnsi="Times New Roman"/>
                <w:sz w:val="21"/>
                <w:szCs w:val="21"/>
              </w:rPr>
              <w:t xml:space="preserve"/>
            </w:r>
          </w:p>
        </w:tc>
      </w:tr>
      <w:tr>
        <w:tc>
          <w:tcPr>
            <w:tcW w:type="dxa" w:w="1000"/>
          </w:tcPr>
          <w:p>
            <w:pPr>
              <w:spacing w:line="360" w:lineRule="auto"/>
              <w:jc w:val="center"/>
            </w:pPr>
            <w:r>
              <w:rPr>
                <w:rFonts w:ascii="Times New Roman" w:cs="Times New Roman" w:eastAsia="Times New Roman" w:hAnsi="Times New Roman"/>
                <w:sz w:val="21"/>
                <w:szCs w:val="21"/>
              </w:rPr>
              <w:t xml:space="preserve"/>
            </w:r>
          </w:p>
        </w:tc>
        <w:tc>
          <w:tcPr>
            <w:tcW w:type="dxa" w:w="1200"/>
          </w:tcPr>
          <w:p>
            <w:pPr>
              <w:spacing w:line="360" w:lineRule="auto"/>
              <w:jc w:val="left"/>
            </w:pPr>
            <w:r>
              <w:rPr>
                <w:rFonts w:ascii="Times New Roman" w:cs="Times New Roman" w:eastAsia="Times New Roman" w:hAnsi="Times New Roman"/>
                <w:sz w:val="21"/>
                <w:szCs w:val="21"/>
              </w:rPr>
              <w:t xml:space="preserve"/>
            </w:r>
          </w:p>
        </w:tc>
        <w:tc>
          <w:tcPr>
            <w:tcW w:type="dxa" w:w="1400"/>
          </w:tcPr>
          <w:p>
            <w:pPr>
              <w:spacing w:line="360" w:lineRule="auto"/>
              <w:jc w:val="left"/>
            </w:pPr>
            <w:r>
              <w:rPr>
                <w:rFonts w:ascii="Times New Roman" w:cs="Times New Roman" w:eastAsia="Times New Roman" w:hAnsi="Times New Roman"/>
                <w:sz w:val="21"/>
                <w:szCs w:val="21"/>
              </w:rPr>
              <w:t xml:space="preserve"/>
            </w:r>
          </w:p>
        </w:tc>
        <w:tc>
          <w:tcPr>
            <w:tcW w:type="dxa" w:w="900"/>
          </w:tcPr>
          <w:p>
            <w:pPr>
              <w:spacing w:line="360" w:lineRule="auto"/>
              <w:jc w:val="left"/>
            </w:pPr>
            <w:r>
              <w:rPr>
                <w:rFonts w:ascii="Times New Roman" w:cs="Times New Roman" w:eastAsia="Times New Roman" w:hAnsi="Times New Roman"/>
                <w:sz w:val="21"/>
                <w:szCs w:val="21"/>
              </w:rPr>
              <w:t xml:space="preserve"/>
            </w:r>
          </w:p>
        </w:tc>
        <w:tc>
          <w:tcPr>
            <w:tcW w:type="dxa" w:w="1963"/>
          </w:tcPr>
          <w:p>
            <w:pPr>
              <w:spacing w:line="360" w:lineRule="auto"/>
              <w:jc w:val="left"/>
            </w:pPr>
            <w:r>
              <w:rPr>
                <w:rFonts w:ascii="Times New Roman" w:cs="Times New Roman" w:eastAsia="Times New Roman" w:hAnsi="Times New Roman"/>
                <w:sz w:val="21"/>
                <w:szCs w:val="21"/>
              </w:rPr>
              <w:t xml:space="preserve"/>
            </w:r>
          </w:p>
        </w:tc>
        <w:tc>
          <w:tcPr>
            <w:tcW w:type="dxa" w:w="1843"/>
          </w:tcPr>
          <w:p>
            <w:pPr>
              <w:spacing w:line="360" w:lineRule="auto"/>
              <w:jc w:val="left"/>
            </w:pPr>
            <w:r>
              <w:rPr>
                <w:rFonts w:ascii="Times New Roman" w:cs="Times New Roman" w:eastAsia="Times New Roman" w:hAnsi="Times New Roman"/>
                <w:sz w:val="21"/>
                <w:szCs w:val="21"/>
              </w:rPr>
              <w:t xml:space="preserve"/>
            </w:r>
          </w:p>
        </w:tc>
      </w:tr>
      <w:tr>
        <w:tc>
          <w:tcPr>
            <w:tcW w:type="dxa" w:w="1000"/>
          </w:tcPr>
          <w:p>
            <w:pPr>
              <w:spacing w:line="360" w:lineRule="auto"/>
              <w:jc w:val="center"/>
            </w:pPr>
            <w:r>
              <w:rPr>
                <w:rFonts w:ascii="Times New Roman" w:cs="Times New Roman" w:eastAsia="Times New Roman" w:hAnsi="Times New Roman"/>
                <w:sz w:val="21"/>
                <w:szCs w:val="21"/>
              </w:rPr>
              <w:t xml:space="preserve"/>
            </w:r>
          </w:p>
        </w:tc>
        <w:tc>
          <w:tcPr>
            <w:tcW w:type="dxa" w:w="1200"/>
          </w:tcPr>
          <w:p>
            <w:pPr>
              <w:spacing w:line="360" w:lineRule="auto"/>
              <w:jc w:val="left"/>
            </w:pPr>
            <w:r>
              <w:rPr>
                <w:rFonts w:ascii="Times New Roman" w:cs="Times New Roman" w:eastAsia="Times New Roman" w:hAnsi="Times New Roman"/>
                <w:sz w:val="21"/>
                <w:szCs w:val="21"/>
              </w:rPr>
              <w:t xml:space="preserve"/>
            </w:r>
          </w:p>
        </w:tc>
        <w:tc>
          <w:tcPr>
            <w:tcW w:type="dxa" w:w="1400"/>
          </w:tcPr>
          <w:p>
            <w:pPr>
              <w:spacing w:line="360" w:lineRule="auto"/>
              <w:jc w:val="left"/>
            </w:pPr>
            <w:r>
              <w:rPr>
                <w:rFonts w:ascii="Times New Roman" w:cs="Times New Roman" w:eastAsia="Times New Roman" w:hAnsi="Times New Roman"/>
                <w:sz w:val="21"/>
                <w:szCs w:val="21"/>
              </w:rPr>
              <w:t xml:space="preserve"/>
            </w:r>
          </w:p>
        </w:tc>
        <w:tc>
          <w:tcPr>
            <w:tcW w:type="dxa" w:w="900"/>
          </w:tcPr>
          <w:p>
            <w:pPr>
              <w:spacing w:line="360" w:lineRule="auto"/>
              <w:jc w:val="left"/>
            </w:pPr>
            <w:r>
              <w:rPr>
                <w:rFonts w:ascii="Times New Roman" w:cs="Times New Roman" w:eastAsia="Times New Roman" w:hAnsi="Times New Roman"/>
                <w:sz w:val="21"/>
                <w:szCs w:val="21"/>
              </w:rPr>
              <w:t xml:space="preserve"/>
            </w:r>
          </w:p>
        </w:tc>
        <w:tc>
          <w:tcPr>
            <w:tcW w:type="dxa" w:w="1963"/>
          </w:tcPr>
          <w:p>
            <w:pPr>
              <w:spacing w:line="360" w:lineRule="auto"/>
              <w:jc w:val="left"/>
            </w:pPr>
            <w:r>
              <w:rPr>
                <w:rFonts w:ascii="Times New Roman" w:cs="Times New Roman" w:eastAsia="Times New Roman" w:hAnsi="Times New Roman"/>
                <w:sz w:val="21"/>
                <w:szCs w:val="21"/>
              </w:rPr>
              <w:t xml:space="preserve"/>
            </w:r>
          </w:p>
        </w:tc>
        <w:tc>
          <w:tcPr>
            <w:tcW w:type="dxa" w:w="1843"/>
          </w:tcPr>
          <w:p>
            <w:pPr>
              <w:spacing w:line="360" w:lineRule="auto"/>
              <w:jc w:val="left"/>
            </w:pPr>
            <w:r>
              <w:rPr>
                <w:rFonts w:ascii="Times New Roman" w:cs="Times New Roman" w:eastAsia="Times New Roman" w:hAnsi="Times New Roman"/>
                <w:sz w:val="21"/>
                <w:szCs w:val="21"/>
              </w:rPr>
              <w:t xml:space="preserve"/>
            </w:r>
          </w:p>
        </w:tc>
      </w:tr>
      <w:tr>
        <w:tc>
          <w:tcPr>
            <w:tcW w:type="dxa" w:w="1000"/>
          </w:tcPr>
          <w:p>
            <w:pPr>
              <w:spacing w:line="360" w:lineRule="auto"/>
              <w:jc w:val="center"/>
            </w:pPr>
            <w:r>
              <w:rPr>
                <w:rFonts w:ascii="Times New Roman" w:cs="Times New Roman" w:eastAsia="Times New Roman" w:hAnsi="Times New Roman"/>
                <w:sz w:val="21"/>
                <w:szCs w:val="21"/>
              </w:rPr>
              <w:t xml:space="preserve"/>
            </w:r>
          </w:p>
        </w:tc>
        <w:tc>
          <w:tcPr>
            <w:tcW w:type="dxa" w:w="1200"/>
          </w:tcPr>
          <w:p>
            <w:pPr>
              <w:spacing w:line="360" w:lineRule="auto"/>
              <w:jc w:val="left"/>
            </w:pPr>
            <w:r>
              <w:rPr>
                <w:rFonts w:ascii="Times New Roman" w:cs="Times New Roman" w:eastAsia="Times New Roman" w:hAnsi="Times New Roman"/>
                <w:sz w:val="21"/>
                <w:szCs w:val="21"/>
              </w:rPr>
              <w:t xml:space="preserve"/>
            </w:r>
          </w:p>
        </w:tc>
        <w:tc>
          <w:tcPr>
            <w:tcW w:type="dxa" w:w="1400"/>
          </w:tcPr>
          <w:p>
            <w:pPr>
              <w:spacing w:line="360" w:lineRule="auto"/>
              <w:jc w:val="left"/>
            </w:pPr>
            <w:r>
              <w:rPr>
                <w:rFonts w:ascii="Times New Roman" w:cs="Times New Roman" w:eastAsia="Times New Roman" w:hAnsi="Times New Roman"/>
                <w:sz w:val="21"/>
                <w:szCs w:val="21"/>
              </w:rPr>
              <w:t xml:space="preserve"/>
            </w:r>
          </w:p>
        </w:tc>
        <w:tc>
          <w:tcPr>
            <w:tcW w:type="dxa" w:w="900"/>
          </w:tcPr>
          <w:p>
            <w:pPr>
              <w:spacing w:line="360" w:lineRule="auto"/>
              <w:jc w:val="left"/>
            </w:pPr>
            <w:r>
              <w:rPr>
                <w:rFonts w:ascii="Times New Roman" w:cs="Times New Roman" w:eastAsia="Times New Roman" w:hAnsi="Times New Roman"/>
                <w:sz w:val="21"/>
                <w:szCs w:val="21"/>
              </w:rPr>
              <w:t xml:space="preserve"/>
            </w:r>
          </w:p>
        </w:tc>
        <w:tc>
          <w:tcPr>
            <w:tcW w:type="dxa" w:w="1963"/>
          </w:tcPr>
          <w:p>
            <w:pPr>
              <w:spacing w:line="360" w:lineRule="auto"/>
              <w:jc w:val="left"/>
            </w:pPr>
            <w:r>
              <w:rPr>
                <w:rFonts w:ascii="Times New Roman" w:cs="Times New Roman" w:eastAsia="Times New Roman" w:hAnsi="Times New Roman"/>
                <w:sz w:val="21"/>
                <w:szCs w:val="21"/>
              </w:rPr>
              <w:t xml:space="preserve"/>
            </w:r>
          </w:p>
        </w:tc>
        <w:tc>
          <w:tcPr>
            <w:tcW w:type="dxa" w:w="1843"/>
          </w:tcPr>
          <w:p>
            <w:pPr>
              <w:spacing w:line="360" w:lineRule="auto"/>
              <w:jc w:val="left"/>
            </w:pPr>
            <w:r>
              <w:rPr>
                <w:rFonts w:ascii="Times New Roman" w:cs="Times New Roman" w:eastAsia="Times New Roman" w:hAnsi="Times New Roman"/>
                <w:sz w:val="21"/>
                <w:szCs w:val="21"/>
              </w:rPr>
              <w:t xml:space="preserve"/>
            </w:r>
          </w:p>
        </w:tc>
      </w:tr>
    </w:tbl>
    <w:p>
      <w:pPr>
        <w:pStyle w:val="Heading2"/>
        <w:spacing w:after="60" w:before="60" w:line="360" w:lineRule="auto"/>
        <w:jc w:val="left"/>
      </w:pPr>
      <w:r>
        <w:rPr>
          <w:rFonts w:ascii="Times New Roman" w:cs="Times New Roman" w:eastAsia="Times New Roman" w:hAnsi="Times New Roman"/>
          <w:b/>
          <w:bCs/>
          <w:sz w:val="28"/>
          <w:szCs w:val="28"/>
        </w:rPr>
        <w:t xml:space="preserve">（三）项目管理制度</w:t>
      </w:r>
    </w:p>
    <w:p>
      <w:pPr>
        <w:spacing w:line="360" w:lineRule="auto"/>
        <w:ind w:firstLine="480"/>
        <w:jc w:val="both"/>
      </w:pPr>
      <w:r>
        <w:rPr>
          <w:rFonts w:ascii="Times New Roman" w:cs="Times New Roman" w:eastAsia="Times New Roman" w:hAnsi="Times New Roman"/>
          <w:b/>
          <w:bCs/>
          <w:sz w:val="24"/>
          <w:szCs w:val="24"/>
        </w:rPr>
        <w:t xml:space="preserve">（1）过程管理制度——</w:t>
      </w:r>
      <w:r>
        <w:rPr>
          <w:rFonts w:ascii="Times New Roman" w:cs="Times New Roman" w:eastAsia="Times New Roman" w:hAnsi="Times New Roman"/>
          <w:sz w:val="24"/>
          <w:szCs w:val="24"/>
        </w:rPr>
        <w:t xml:space="preserve">实行定期例会制度（周例会+月汇报+季评审），建立重大问题即时响应机制，确保项目按计划推进。</w:t>
      </w:r>
    </w:p>
    <w:p>
      <w:pPr>
        <w:spacing w:line="360" w:lineRule="auto"/>
        <w:ind w:firstLine="480"/>
        <w:jc w:val="both"/>
      </w:pPr>
      <w:r>
        <w:rPr>
          <w:rFonts w:ascii="Times New Roman" w:cs="Times New Roman" w:eastAsia="Times New Roman" w:hAnsi="Times New Roman"/>
          <w:b/>
          <w:bCs/>
          <w:sz w:val="24"/>
          <w:szCs w:val="24"/>
        </w:rPr>
        <w:t xml:space="preserve">（2）质量管理制度——</w:t>
      </w:r>
      <w:r>
        <w:rPr>
          <w:rFonts w:ascii="Times New Roman" w:cs="Times New Roman" w:eastAsia="Times New Roman" w:hAnsi="Times New Roman"/>
          <w:sz w:val="24"/>
          <w:szCs w:val="24"/>
        </w:rPr>
        <w:t xml:space="preserve">建立代码审查（Code Review）、模型验证（Model Validation）、安全测试（Security Testing）三级质量保障体系，关键交付物需通过同行评审。</w:t>
      </w:r>
    </w:p>
    <w:p>
      <w:pPr>
        <w:spacing w:line="360" w:lineRule="auto"/>
        <w:ind w:firstLine="480"/>
        <w:jc w:val="both"/>
      </w:pPr>
      <w:r>
        <w:rPr>
          <w:rFonts w:ascii="Times New Roman" w:cs="Times New Roman" w:eastAsia="Times New Roman" w:hAnsi="Times New Roman"/>
          <w:b/>
          <w:bCs/>
          <w:sz w:val="24"/>
          <w:szCs w:val="24"/>
        </w:rPr>
        <w:t xml:space="preserve">（3）数据安全制度——</w:t>
      </w:r>
      <w:r>
        <w:rPr>
          <w:rFonts w:ascii="Times New Roman" w:cs="Times New Roman" w:eastAsia="Times New Roman" w:hAnsi="Times New Roman"/>
          <w:sz w:val="24"/>
          <w:szCs w:val="24"/>
        </w:rPr>
        <w:t xml:space="preserve">严格执行《数据安全法》《个人信息保护法》相关规定，建立数据分级分类管理制度，试点园区企业数据出域须经过脱敏处理和隐私保护审查。</w:t>
      </w:r>
    </w:p>
    <w:p>
      <w:pPr>
        <w:spacing w:line="360" w:lineRule="auto"/>
        <w:ind w:firstLine="480"/>
        <w:jc w:val="both"/>
      </w:pPr>
      <w:r>
        <w:rPr>
          <w:rFonts w:ascii="Times New Roman" w:cs="Times New Roman" w:eastAsia="Times New Roman" w:hAnsi="Times New Roman"/>
          <w:b/>
          <w:bCs/>
          <w:sz w:val="24"/>
          <w:szCs w:val="24"/>
        </w:rPr>
        <w:t xml:space="preserve">（4）知识产权管理制度——</w:t>
      </w:r>
      <w:r>
        <w:rPr>
          <w:rFonts w:ascii="Times New Roman" w:cs="Times New Roman" w:eastAsia="Times New Roman" w:hAnsi="Times New Roman"/>
          <w:sz w:val="24"/>
          <w:szCs w:val="24"/>
        </w:rPr>
        <w:t xml:space="preserve">明确各方在项目研究过程中产生的知识产权（特别是AI算法模型与训练权重）归属与使用规则，专利申请与论文发表须经项目组内部审核。</w:t>
      </w:r>
    </w:p>
    <w:p>
      <w:pPr>
        <w:pStyle w:val="Heading2"/>
        <w:spacing w:after="60" w:before="60" w:line="360" w:lineRule="auto"/>
        <w:jc w:val="left"/>
      </w:pPr>
      <w:r>
        <w:rPr>
          <w:rFonts w:ascii="Times New Roman" w:cs="Times New Roman" w:eastAsia="Times New Roman" w:hAnsi="Times New Roman"/>
          <w:b/>
          <w:bCs/>
          <w:sz w:val="28"/>
          <w:szCs w:val="28"/>
        </w:rPr>
        <w:t xml:space="preserve">（四）保障措施</w:t>
      </w:r>
    </w:p>
    <w:p>
      <w:pPr>
        <w:spacing w:line="360" w:lineRule="auto"/>
        <w:ind w:firstLine="480"/>
        <w:jc w:val="both"/>
      </w:pPr>
      <w:r>
        <w:rPr>
          <w:rFonts w:ascii="Times New Roman" w:cs="Times New Roman" w:eastAsia="Times New Roman" w:hAnsi="Times New Roman"/>
          <w:b/>
          <w:bCs/>
          <w:sz w:val="24"/>
          <w:szCs w:val="24"/>
        </w:rPr>
        <w:t xml:space="preserve">（1）技术保障——</w:t>
      </w:r>
      <w:r>
        <w:rPr>
          <w:rFonts w:ascii="Times New Roman" w:cs="Times New Roman" w:eastAsia="Times New Roman" w:hAnsi="Times New Roman"/>
          <w:sz w:val="24"/>
          <w:szCs w:val="24"/>
        </w:rPr>
        <w:t xml:space="preserve">依托公司已建成的AI算力平台与负荷管理系统基础设施，保障模型训练与推理所需算力资源；建立技术风险预案，针对AI模型精度不达标、通信延迟超限等关键风险提前制定降级方案（如启用传统专家规则作为兜底策略）。</w:t>
      </w:r>
    </w:p>
    <w:p>
      <w:pPr>
        <w:spacing w:line="360" w:lineRule="auto"/>
        <w:ind w:firstLine="480"/>
        <w:jc w:val="both"/>
      </w:pPr>
      <w:r>
        <w:rPr>
          <w:rFonts w:ascii="Times New Roman" w:cs="Times New Roman" w:eastAsia="Times New Roman" w:hAnsi="Times New Roman"/>
          <w:b/>
          <w:bCs/>
          <w:sz w:val="24"/>
          <w:szCs w:val="24"/>
        </w:rPr>
        <w:t xml:space="preserve">（2）经费保障——</w:t>
      </w:r>
      <w:r>
        <w:rPr>
          <w:rFonts w:ascii="Times New Roman" w:cs="Times New Roman" w:eastAsia="Times New Roman" w:hAnsi="Times New Roman"/>
          <w:sz w:val="24"/>
          <w:szCs w:val="24"/>
        </w:rPr>
        <w:t xml:space="preserve">项目经费纳入公司年度预算计划，确保各阶段资金足额到位；建立经费使用台账，定期审计。</w:t>
      </w:r>
    </w:p>
    <w:p>
      <w:pPr>
        <w:spacing w:line="360" w:lineRule="auto"/>
        <w:ind w:firstLine="480"/>
        <w:jc w:val="both"/>
      </w:pPr>
      <w:r>
        <w:rPr>
          <w:rFonts w:ascii="Times New Roman" w:cs="Times New Roman" w:eastAsia="Times New Roman" w:hAnsi="Times New Roman"/>
          <w:b/>
          <w:bCs/>
          <w:sz w:val="24"/>
          <w:szCs w:val="24"/>
        </w:rPr>
        <w:t xml:space="preserve">（3）人才保障——</w:t>
      </w:r>
      <w:r>
        <w:rPr>
          <w:rFonts w:ascii="Times New Roman" w:cs="Times New Roman" w:eastAsia="Times New Roman" w:hAnsi="Times New Roman"/>
          <w:sz w:val="24"/>
          <w:szCs w:val="24"/>
        </w:rPr>
        <w:t xml:space="preserve">组建涵盖电力系统、人工智能、控制工程等多学科的交叉团队，必要时通过外部招聘或顾问聘用方式补充关键AI人才缺口。</w:t>
      </w:r>
    </w:p>
    <w:p>
      <w:pPr>
        <w:spacing w:line="360" w:lineRule="auto"/>
        <w:ind w:firstLine="480"/>
        <w:jc w:val="both"/>
      </w:pPr>
      <w:r>
        <w:rPr>
          <w:rFonts w:ascii="Times New Roman" w:cs="Times New Roman" w:eastAsia="Times New Roman" w:hAnsi="Times New Roman"/>
          <w:b/>
          <w:bCs/>
          <w:sz w:val="24"/>
          <w:szCs w:val="24"/>
        </w:rPr>
        <w:t xml:space="preserve">（4）制度保障——</w:t>
      </w:r>
      <w:r>
        <w:rPr>
          <w:rFonts w:ascii="Times New Roman" w:cs="Times New Roman" w:eastAsia="Times New Roman" w:hAnsi="Times New Roman"/>
          <w:sz w:val="24"/>
          <w:szCs w:val="24"/>
        </w:rPr>
        <w:t xml:space="preserve">制定《工业园区柔性群控试点运行管理规定》等专项制度文件，明确试点运行期间各方权责、安全边界与应急处理流程。</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五、预期成果与推广计划</w:t>
      </w:r>
    </w:p>
    <w:p>
      <w:pPr>
        <w:pStyle w:val="Heading2"/>
        <w:spacing w:after="60" w:before="60" w:line="360" w:lineRule="auto"/>
        <w:jc w:val="left"/>
      </w:pPr>
      <w:r>
        <w:rPr>
          <w:rFonts w:ascii="Times New Roman" w:cs="Times New Roman" w:eastAsia="Times New Roman" w:hAnsi="Times New Roman"/>
          <w:b/>
          <w:bCs/>
          <w:sz w:val="28"/>
          <w:szCs w:val="28"/>
        </w:rPr>
        <w:t xml:space="preserve">（一）预期成果</w:t>
      </w:r>
    </w:p>
    <w:p>
      <w:pPr>
        <w:spacing w:line="360" w:lineRule="auto"/>
        <w:ind w:firstLine="480"/>
        <w:jc w:val="both"/>
      </w:pPr>
      <w:r>
        <w:rPr>
          <w:rFonts w:ascii="Times New Roman" w:cs="Times New Roman" w:eastAsia="Times New Roman" w:hAnsi="Times New Roman"/>
          <w:b/>
          <w:bCs/>
          <w:sz w:val="24"/>
          <w:szCs w:val="24"/>
        </w:rPr>
        <w:t xml:space="preserve">（1）技术成果——</w:t>
      </w:r>
      <w:r>
        <w:rPr>
          <w:rFonts w:ascii="Times New Roman" w:cs="Times New Roman" w:eastAsia="Times New Roman" w:hAnsi="Times New Roman"/>
          <w:sz w:val="24"/>
          <w:szCs w:val="24"/>
        </w:rPr>
        <w:t xml:space="preserve">高载能工业园区柔性无感群调群控软件功能模块1套（含设备无感调节窗口识别模型、多智能体群控优化策略引擎、知识图谱推理服务、联邦学习协同训练框架等核心AI组件）；AI模型成果包括：基于PINN的设备特性模型≥3类设备、基于分层MARL的群控策略模型、园区负荷调控知识图谱等。</w:t>
      </w:r>
    </w:p>
    <w:p>
      <w:pPr>
        <w:spacing w:line="360" w:lineRule="auto"/>
        <w:ind w:firstLine="480"/>
        <w:jc w:val="both"/>
      </w:pPr>
      <w:r>
        <w:rPr>
          <w:rFonts w:ascii="Times New Roman" w:cs="Times New Roman" w:eastAsia="Times New Roman" w:hAnsi="Times New Roman"/>
          <w:b/>
          <w:bCs/>
          <w:sz w:val="24"/>
          <w:szCs w:val="24"/>
        </w:rPr>
        <w:t xml:space="preserve">（2）知识产权成果——</w:t>
      </w:r>
      <w:r>
        <w:rPr>
          <w:rFonts w:ascii="Times New Roman" w:cs="Times New Roman" w:eastAsia="Times New Roman" w:hAnsi="Times New Roman"/>
          <w:sz w:val="24"/>
          <w:szCs w:val="24"/>
        </w:rPr>
        <w:t xml:space="preserve">申报发明专利≥4项（覆盖PINN设备建模方法、MARL群控策略、知识图谱构建方法、联邦学习框架等核心技术）；发表高水平学术论文≥3篇（拟投EI/SCI收录期刊）；登记软件著作权≥2项。</w:t>
      </w:r>
    </w:p>
    <w:p>
      <w:pPr>
        <w:spacing w:line="360" w:lineRule="auto"/>
        <w:ind w:firstLine="480"/>
        <w:jc w:val="both"/>
      </w:pPr>
      <w:r>
        <w:rPr>
          <w:rFonts w:ascii="Times New Roman" w:cs="Times New Roman" w:eastAsia="Times New Roman" w:hAnsi="Times New Roman"/>
          <w:b/>
          <w:bCs/>
          <w:sz w:val="24"/>
          <w:szCs w:val="24"/>
        </w:rPr>
        <w:t xml:space="preserve">（3）标准规范成果——</w:t>
      </w:r>
      <w:r>
        <w:rPr>
          <w:rFonts w:ascii="Times New Roman" w:cs="Times New Roman" w:eastAsia="Times New Roman" w:hAnsi="Times New Roman"/>
          <w:sz w:val="24"/>
          <w:szCs w:val="24"/>
        </w:rPr>
        <w:t xml:space="preserve">编制《高载能工业园区柔性群调群控技术导则》团体标准/企业标准1项；编制标准化部署操作手册1份。</w:t>
      </w:r>
    </w:p>
    <w:p>
      <w:pPr>
        <w:spacing w:line="360" w:lineRule="auto"/>
        <w:ind w:firstLine="480"/>
        <w:jc w:val="both"/>
      </w:pPr>
      <w:r>
        <w:rPr>
          <w:rFonts w:ascii="Times New Roman" w:cs="Times New Roman" w:eastAsia="Times New Roman" w:hAnsi="Times New Roman"/>
          <w:b/>
          <w:bCs/>
          <w:sz w:val="24"/>
          <w:szCs w:val="24"/>
        </w:rPr>
        <w:t xml:space="preserve">（4）试点验证成果——</w:t>
      </w:r>
      <w:r>
        <w:rPr>
          <w:rFonts w:ascii="Times New Roman" w:cs="Times New Roman" w:eastAsia="Times New Roman" w:hAnsi="Times New Roman"/>
          <w:sz w:val="24"/>
          <w:szCs w:val="24"/>
        </w:rPr>
        <w:t xml:space="preserve">完成≥1个典型工业园区的现场试点验证，形成试点运行评估报告；积累≥500条调控案例数据，持续充实AI知识图谱。</w:t>
      </w:r>
    </w:p>
    <w:p>
      <w:pPr>
        <w:pStyle w:val="Heading2"/>
        <w:spacing w:after="60" w:before="60" w:line="360" w:lineRule="auto"/>
        <w:jc w:val="left"/>
      </w:pPr>
      <w:r>
        <w:rPr>
          <w:rFonts w:ascii="Times New Roman" w:cs="Times New Roman" w:eastAsia="Times New Roman" w:hAnsi="Times New Roman"/>
          <w:b/>
          <w:bCs/>
          <w:sz w:val="28"/>
          <w:szCs w:val="28"/>
        </w:rPr>
        <w:t xml:space="preserve">（二）成果展现形式</w:t>
      </w:r>
    </w:p>
    <w:p>
      <w:pPr>
        <w:spacing w:line="360" w:lineRule="auto"/>
        <w:ind w:firstLine="480"/>
        <w:jc w:val="both"/>
      </w:pPr>
      <w:r>
        <w:rPr>
          <w:rFonts w:ascii="Times New Roman" w:cs="Times New Roman" w:eastAsia="Times New Roman" w:hAnsi="Times New Roman"/>
          <w:b/>
          <w:bCs/>
          <w:sz w:val="24"/>
          <w:szCs w:val="24"/>
        </w:rPr>
        <w:t xml:space="preserve">（1）软件系统——</w:t>
      </w:r>
      <w:r>
        <w:rPr>
          <w:rFonts w:ascii="Times New Roman" w:cs="Times New Roman" w:eastAsia="Times New Roman" w:hAnsi="Times New Roman"/>
          <w:sz w:val="24"/>
          <w:szCs w:val="24"/>
        </w:rPr>
        <w:t xml:space="preserve">柔性无感群调群控软件功能模块，以Docker容器化形式部署于Kubernetes集群，提供标准化RESTful API接口，可平滑嵌入省级负荷管理系统。</w:t>
      </w:r>
    </w:p>
    <w:p>
      <w:pPr>
        <w:spacing w:line="360" w:lineRule="auto"/>
        <w:ind w:firstLine="480"/>
        <w:jc w:val="both"/>
      </w:pPr>
      <w:r>
        <w:rPr>
          <w:rFonts w:ascii="Times New Roman" w:cs="Times New Roman" w:eastAsia="Times New Roman" w:hAnsi="Times New Roman"/>
          <w:b/>
          <w:bCs/>
          <w:sz w:val="24"/>
          <w:szCs w:val="24"/>
        </w:rPr>
        <w:t xml:space="preserve">（2）AI模型资产——</w:t>
      </w:r>
      <w:r>
        <w:rPr>
          <w:rFonts w:ascii="Times New Roman" w:cs="Times New Roman" w:eastAsia="Times New Roman" w:hAnsi="Times New Roman"/>
          <w:sz w:val="24"/>
          <w:szCs w:val="24"/>
        </w:rPr>
        <w:t xml:space="preserve">序列化模型文件（ONNX/TorchScript格式），支持跨平台推理部署；模型配套的特征工程流水线与超参数配置文档。</w:t>
      </w:r>
    </w:p>
    <w:p>
      <w:pPr>
        <w:spacing w:line="360" w:lineRule="auto"/>
        <w:ind w:firstLine="480"/>
        <w:jc w:val="both"/>
      </w:pPr>
      <w:r>
        <w:rPr>
          <w:rFonts w:ascii="Times New Roman" w:cs="Times New Roman" w:eastAsia="Times New Roman" w:hAnsi="Times New Roman"/>
          <w:b/>
          <w:bCs/>
          <w:sz w:val="24"/>
          <w:szCs w:val="24"/>
        </w:rPr>
        <w:t xml:space="preserve">（3）知识库——</w:t>
      </w:r>
      <w:r>
        <w:rPr>
          <w:rFonts w:ascii="Times New Roman" w:cs="Times New Roman" w:eastAsia="Times New Roman" w:hAnsi="Times New Roman"/>
          <w:sz w:val="24"/>
          <w:szCs w:val="24"/>
        </w:rPr>
        <w:t xml:space="preserve">结构化知识图谱（Neo4j图数据库）+调控案例库+设备特性参数库。</w:t>
      </w:r>
    </w:p>
    <w:p>
      <w:pPr>
        <w:spacing w:line="360" w:lineRule="auto"/>
        <w:ind w:firstLine="480"/>
        <w:jc w:val="both"/>
      </w:pPr>
      <w:r>
        <w:rPr>
          <w:rFonts w:ascii="Times New Roman" w:cs="Times New Roman" w:eastAsia="Times New Roman" w:hAnsi="Times New Roman"/>
          <w:b/>
          <w:bCs/>
          <w:sz w:val="24"/>
          <w:szCs w:val="24"/>
        </w:rPr>
        <w:t xml:space="preserve">（4）技术文档——</w:t>
      </w:r>
      <w:r>
        <w:rPr>
          <w:rFonts w:ascii="Times New Roman" w:cs="Times New Roman" w:eastAsia="Times New Roman" w:hAnsi="Times New Roman"/>
          <w:sz w:val="24"/>
          <w:szCs w:val="24"/>
        </w:rPr>
        <w:t xml:space="preserve">技术研究报告、系统设计说明书、AI模型训练报告、用户使用手册、试点运行评估报告等全套技术文档。</w:t>
      </w:r>
    </w:p>
    <w:p>
      <w:pPr>
        <w:pStyle w:val="Heading2"/>
        <w:spacing w:after="60" w:before="60" w:line="360" w:lineRule="auto"/>
        <w:jc w:val="left"/>
      </w:pPr>
      <w:r>
        <w:rPr>
          <w:rFonts w:ascii="Times New Roman" w:cs="Times New Roman" w:eastAsia="Times New Roman" w:hAnsi="Times New Roman"/>
          <w:b/>
          <w:bCs/>
          <w:sz w:val="28"/>
          <w:szCs w:val="28"/>
        </w:rPr>
        <w:t xml:space="preserve">（三）推广计划</w:t>
      </w:r>
    </w:p>
    <w:p>
      <w:pPr>
        <w:spacing w:line="360" w:lineRule="auto"/>
        <w:ind w:firstLine="480"/>
        <w:jc w:val="both"/>
      </w:pPr>
      <w:r>
        <w:rPr>
          <w:rFonts w:ascii="Times New Roman" w:cs="Times New Roman" w:eastAsia="Times New Roman" w:hAnsi="Times New Roman"/>
          <w:sz w:val="24"/>
          <w:szCs w:val="24"/>
        </w:rPr>
        <w:t xml:space="preserve">本项目成果的推广遵循“试点验证→省内推广→跨省复制”三步走策略：</w:t>
      </w:r>
    </w:p>
    <w:p>
      <w:pPr>
        <w:spacing w:line="360" w:lineRule="auto"/>
        <w:ind w:firstLine="480"/>
        <w:jc w:val="both"/>
      </w:pPr>
      <w:r>
        <w:rPr>
          <w:rFonts w:ascii="Times New Roman" w:cs="Times New Roman" w:eastAsia="Times New Roman" w:hAnsi="Times New Roman"/>
          <w:b/>
          <w:bCs/>
          <w:sz w:val="24"/>
          <w:szCs w:val="24"/>
        </w:rPr>
        <w:t xml:space="preserve">第一阶段（项目期内）——</w:t>
      </w:r>
      <w:r>
        <w:rPr>
          <w:rFonts w:ascii="Times New Roman" w:cs="Times New Roman" w:eastAsia="Times New Roman" w:hAnsi="Times New Roman"/>
          <w:sz w:val="24"/>
          <w:szCs w:val="24"/>
        </w:rPr>
        <w:t xml:space="preserve">在≥1个典型工业园区完成试点验证，形成可复制的标准化部署方案与经验总结报告。</w:t>
      </w:r>
    </w:p>
    <w:p>
      <w:pPr>
        <w:spacing w:line="360" w:lineRule="auto"/>
        <w:ind w:firstLine="480"/>
        <w:jc w:val="both"/>
      </w:pPr>
      <w:r>
        <w:rPr>
          <w:rFonts w:ascii="Times New Roman" w:cs="Times New Roman" w:eastAsia="Times New Roman" w:hAnsi="Times New Roman"/>
          <w:b/>
          <w:bCs/>
          <w:sz w:val="24"/>
          <w:szCs w:val="24"/>
        </w:rPr>
        <w:t xml:space="preserve">第二阶段（验收后1年内）——</w:t>
      </w:r>
      <w:r>
        <w:rPr>
          <w:rFonts w:ascii="Times New Roman" w:cs="Times New Roman" w:eastAsia="Times New Roman" w:hAnsi="Times New Roman"/>
          <w:sz w:val="24"/>
          <w:szCs w:val="24"/>
        </w:rPr>
        <w:t xml:space="preserve">在省内≥3个同类型工业园区推广部署，利用联邦学习框架实现AI模型能力在相同行业类型园区间的快速迁移。</w:t>
      </w:r>
    </w:p>
    <w:p>
      <w:pPr>
        <w:spacing w:line="360" w:lineRule="auto"/>
        <w:ind w:firstLine="480"/>
        <w:jc w:val="both"/>
      </w:pPr>
      <w:r>
        <w:rPr>
          <w:rFonts w:ascii="Times New Roman" w:cs="Times New Roman" w:eastAsia="Times New Roman" w:hAnsi="Times New Roman"/>
          <w:b/>
          <w:bCs/>
          <w:sz w:val="24"/>
          <w:szCs w:val="24"/>
        </w:rPr>
        <w:t xml:space="preserve">第三阶段（验收后2-3年）——</w:t>
      </w:r>
      <w:r>
        <w:rPr>
          <w:rFonts w:ascii="Times New Roman" w:cs="Times New Roman" w:eastAsia="Times New Roman" w:hAnsi="Times New Roman"/>
          <w:sz w:val="24"/>
          <w:szCs w:val="24"/>
        </w:rPr>
        <w:t xml:space="preserve">面向南方五省区（贵州、云南、广西、广东、海南）及其他有需求的省份进行推广，拓展至钢铁、水泥、化工等更多高载能行业类型，构建覆盖多行业、多区域的AI群调群控能力矩阵。</w:t>
      </w:r>
    </w:p>
    <w:p>
      <w:pPr>
        <w:pStyle w:val="Heading2"/>
        <w:spacing w:after="60" w:before="60" w:line="360" w:lineRule="auto"/>
        <w:jc w:val="left"/>
      </w:pPr>
      <w:r>
        <w:rPr>
          <w:rFonts w:ascii="Times New Roman" w:cs="Times New Roman" w:eastAsia="Times New Roman" w:hAnsi="Times New Roman"/>
          <w:b/>
          <w:bCs/>
          <w:sz w:val="28"/>
          <w:szCs w:val="28"/>
        </w:rPr>
        <w:t xml:space="preserve">（四）商业模式与价值实现路径</w:t>
      </w:r>
    </w:p>
    <w:p>
      <w:pPr>
        <w:spacing w:line="360" w:lineRule="auto"/>
        <w:ind w:firstLine="480"/>
        <w:jc w:val="both"/>
      </w:pPr>
      <w:r>
        <w:rPr>
          <w:rFonts w:ascii="Times New Roman" w:cs="Times New Roman" w:eastAsia="Times New Roman" w:hAnsi="Times New Roman"/>
          <w:b/>
          <w:bCs/>
          <w:sz w:val="24"/>
          <w:szCs w:val="24"/>
        </w:rPr>
        <w:t xml:space="preserve">（1）直接经济效益——</w:t>
      </w:r>
      <w:r>
        <w:rPr>
          <w:rFonts w:ascii="Times New Roman" w:cs="Times New Roman" w:eastAsia="Times New Roman" w:hAnsi="Times New Roman"/>
          <w:sz w:val="24"/>
          <w:szCs w:val="24"/>
        </w:rPr>
        <w:t xml:space="preserve">试点园区企业通过参与需求响应和电力现货市场，获取削峰填谷补偿收益和峰谷价差套利；电网公司通过挖掘柔性可调资源降低调峰成本和备用容量投入。按试点园区年用电量2亿千瓦时、可调节容量10%估算，年经济效益预期超500万元。</w:t>
      </w:r>
    </w:p>
    <w:p>
      <w:pPr>
        <w:spacing w:line="360" w:lineRule="auto"/>
        <w:ind w:firstLine="480"/>
        <w:jc w:val="both"/>
      </w:pPr>
      <w:r>
        <w:rPr>
          <w:rFonts w:ascii="Times New Roman" w:cs="Times New Roman" w:eastAsia="Times New Roman" w:hAnsi="Times New Roman"/>
          <w:b/>
          <w:bCs/>
          <w:sz w:val="24"/>
          <w:szCs w:val="24"/>
        </w:rPr>
        <w:t xml:space="preserve">（2）间接经济效益——</w:t>
      </w:r>
      <w:r>
        <w:rPr>
          <w:rFonts w:ascii="Times New Roman" w:cs="Times New Roman" w:eastAsia="Times New Roman" w:hAnsi="Times New Roman"/>
          <w:sz w:val="24"/>
          <w:szCs w:val="24"/>
        </w:rPr>
        <w:t xml:space="preserve">企业因供电质量改善减少跳闸停产损失和产品报废损失（按试点园区年产值估算，供电质量提升1%可减少数百万元经济损失）。</w:t>
      </w:r>
    </w:p>
    <w:p>
      <w:pPr>
        <w:spacing w:line="360" w:lineRule="auto"/>
        <w:ind w:firstLine="480"/>
        <w:jc w:val="both"/>
      </w:pPr>
      <w:r>
        <w:rPr>
          <w:rFonts w:ascii="Times New Roman" w:cs="Times New Roman" w:eastAsia="Times New Roman" w:hAnsi="Times New Roman"/>
          <w:b/>
          <w:bCs/>
          <w:sz w:val="24"/>
          <w:szCs w:val="24"/>
        </w:rPr>
        <w:t xml:space="preserve">（3）平台化服务——</w:t>
      </w:r>
      <w:r>
        <w:rPr>
          <w:rFonts w:ascii="Times New Roman" w:cs="Times New Roman" w:eastAsia="Times New Roman" w:hAnsi="Times New Roman"/>
          <w:sz w:val="24"/>
          <w:szCs w:val="24"/>
        </w:rPr>
        <w:t xml:space="preserve">软件功能模块可作为负荷管理系统的AI增值组件，通过SaaS模式为更多园区提供付费订阅服务，形成可持续的商业化运营模式。</w:t>
      </w:r>
    </w:p>
    <w:p>
      <w:pPr>
        <w:pStyle w:val="Heading2"/>
        <w:spacing w:after="60" w:before="60" w:line="360" w:lineRule="auto"/>
        <w:jc w:val="left"/>
      </w:pPr>
      <w:r>
        <w:rPr>
          <w:rFonts w:ascii="Times New Roman" w:cs="Times New Roman" w:eastAsia="Times New Roman" w:hAnsi="Times New Roman"/>
          <w:b/>
          <w:bCs/>
          <w:sz w:val="28"/>
          <w:szCs w:val="28"/>
        </w:rPr>
        <w:t xml:space="preserve">（五）应用前景展望</w:t>
      </w:r>
    </w:p>
    <w:p>
      <w:pPr>
        <w:spacing w:line="360" w:lineRule="auto"/>
        <w:ind w:firstLine="480"/>
        <w:jc w:val="both"/>
      </w:pPr>
      <w:r>
        <w:rPr>
          <w:rFonts w:ascii="Times New Roman" w:cs="Times New Roman" w:eastAsia="Times New Roman" w:hAnsi="Times New Roman"/>
          <w:sz w:val="24"/>
          <w:szCs w:val="24"/>
        </w:rPr>
        <w:t xml:space="preserve">本项目破解的高载能工业园区柔性群控难题具有广阔的应用前景。据国家统计局数据，全国规模以上高载能工业企业超过3万家，仅钢铁、有色、化工、建材四大行业的年用电量就超过2万亿千瓦时。若本项目AI技术路线在全国10%的高载能工业园区推广应用，保守估计可挖掘可调节容量超过500万千瓦——相当于避免新建5座百万千瓦级调峰电厂，直接经济效益超百亿元。同时，本项目成果还可进一步拓展至数据中心、通信基站、冷链物流等具有类似“高能耗-高热惯性”特征的新兴负荷场景，形成可复用的AI赋能范式，为“人工智能+”能源高价值场景的规模化推广提供标杆案例。</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六、预期投入及资金来源</w:t>
      </w:r>
    </w:p>
    <w:p>
      <w:pPr>
        <w:pStyle w:val="Heading2"/>
        <w:spacing w:after="60" w:before="60" w:line="360" w:lineRule="auto"/>
        <w:jc w:val="left"/>
      </w:pPr>
      <w:r>
        <w:rPr>
          <w:rFonts w:ascii="Times New Roman" w:cs="Times New Roman" w:eastAsia="Times New Roman" w:hAnsi="Times New Roman"/>
          <w:b/>
          <w:bCs/>
          <w:sz w:val="28"/>
          <w:szCs w:val="28"/>
        </w:rPr>
        <w:t xml:space="preserve">（一）经费预算</w:t>
      </w:r>
    </w:p>
    <w:p>
      <w:pPr>
        <w:spacing w:line="360" w:lineRule="auto"/>
        <w:ind w:firstLine="480"/>
        <w:jc w:val="both"/>
      </w:pPr>
      <w:r>
        <w:rPr>
          <w:rFonts w:ascii="Times New Roman" w:cs="Times New Roman" w:eastAsia="Times New Roman" w:hAnsi="Times New Roman"/>
          <w:sz w:val="24"/>
          <w:szCs w:val="24"/>
        </w:rPr>
        <w:t xml:space="preserve">本项目总预算估算约XXX万元（具体金额根据实际需求细化后确定），按经费科目分类如下：</w:t>
      </w:r>
    </w:p>
    <w:p>
      <w:pPr>
        <w:spacing w:after="60" w:before="120"/>
        <w:jc w:val="center"/>
      </w:pPr>
      <w:r>
        <w:rPr>
          <w:rFonts w:ascii="Times New Roman" w:cs="Times New Roman" w:eastAsia="Times New Roman" w:hAnsi="Times New Roman"/>
          <w:b/>
          <w:bCs/>
          <w:sz w:val="21"/>
          <w:szCs w:val="21"/>
        </w:rPr>
        <w:t xml:space="preserve">表5 经费预算明细表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500"/>
        <w:gridCol w:w="2500"/>
        <w:gridCol w:w="1706"/>
      </w:tblGrid>
      <w:tr>
        <w:trPr>
          <w:tblHeader/>
        </w:trPr>
        <w:tc>
          <w:tcPr>
            <w:tcW w:type="dxa" w:w="600"/>
            <w:shd w:fill="D9E2F3" w:val="clear"/>
          </w:tcPr>
          <w:p>
            <w:pPr>
              <w:spacing w:line="360" w:lineRule="auto"/>
              <w:jc w:val="center"/>
            </w:pPr>
            <w:r>
              <w:rPr>
                <w:rFonts w:ascii="Times New Roman" w:cs="Times New Roman" w:eastAsia="Times New Roman" w:hAnsi="Times New Roman"/>
                <w:b/>
                <w:bCs/>
                <w:sz w:val="21"/>
                <w:szCs w:val="21"/>
              </w:rPr>
              <w:t xml:space="preserve">序号</w:t>
            </w:r>
          </w:p>
        </w:tc>
        <w:tc>
          <w:tcPr>
            <w:tcW w:type="dxa" w:w="2000"/>
            <w:shd w:fill="D9E2F3" w:val="clear"/>
          </w:tcPr>
          <w:p>
            <w:pPr>
              <w:spacing w:line="360" w:lineRule="auto"/>
              <w:jc w:val="center"/>
            </w:pPr>
            <w:r>
              <w:rPr>
                <w:rFonts w:ascii="Times New Roman" w:cs="Times New Roman" w:eastAsia="Times New Roman" w:hAnsi="Times New Roman"/>
                <w:b/>
                <w:bCs/>
                <w:sz w:val="21"/>
                <w:szCs w:val="21"/>
              </w:rPr>
              <w:t xml:space="preserve">经费科目</w:t>
            </w:r>
          </w:p>
        </w:tc>
        <w:tc>
          <w:tcPr>
            <w:tcW w:type="dxa" w:w="1500"/>
            <w:shd w:fill="D9E2F3" w:val="clear"/>
          </w:tcPr>
          <w:p>
            <w:pPr>
              <w:spacing w:line="360" w:lineRule="auto"/>
              <w:jc w:val="center"/>
            </w:pPr>
            <w:r>
              <w:rPr>
                <w:rFonts w:ascii="Times New Roman" w:cs="Times New Roman" w:eastAsia="Times New Roman" w:hAnsi="Times New Roman"/>
                <w:b/>
                <w:bCs/>
                <w:sz w:val="21"/>
                <w:szCs w:val="21"/>
              </w:rPr>
              <w:t xml:space="preserve">预算金额（万元）</w:t>
            </w:r>
          </w:p>
        </w:tc>
        <w:tc>
          <w:tcPr>
            <w:tcW w:type="dxa" w:w="2500"/>
            <w:shd w:fill="D9E2F3" w:val="clear"/>
          </w:tcPr>
          <w:p>
            <w:pPr>
              <w:spacing w:line="360" w:lineRule="auto"/>
              <w:jc w:val="center"/>
            </w:pPr>
            <w:r>
              <w:rPr>
                <w:rFonts w:ascii="Times New Roman" w:cs="Times New Roman" w:eastAsia="Times New Roman" w:hAnsi="Times New Roman"/>
                <w:b/>
                <w:bCs/>
                <w:sz w:val="21"/>
                <w:szCs w:val="21"/>
              </w:rPr>
              <w:t xml:space="preserve">主要用途</w:t>
            </w:r>
          </w:p>
        </w:tc>
        <w:tc>
          <w:tcPr>
            <w:tcW w:type="dxa" w:w="1706"/>
            <w:shd w:fill="D9E2F3" w:val="clear"/>
          </w:tcPr>
          <w:p>
            <w:pPr>
              <w:spacing w:line="360" w:lineRule="auto"/>
              <w:jc w:val="center"/>
            </w:pPr>
            <w:r>
              <w:rPr>
                <w:rFonts w:ascii="Times New Roman" w:cs="Times New Roman" w:eastAsia="Times New Roman" w:hAnsi="Times New Roman"/>
                <w:b/>
                <w:bCs/>
                <w:sz w:val="21"/>
                <w:szCs w:val="21"/>
              </w:rPr>
              <w:t xml:space="preserve">备注</w:t>
            </w:r>
          </w:p>
        </w:tc>
      </w:tr>
      <w:tr>
        <w:tc>
          <w:tcPr>
            <w:tcW w:type="dxa" w:w="600"/>
          </w:tcPr>
          <w:p>
            <w:pPr>
              <w:spacing w:line="360" w:lineRule="auto"/>
              <w:jc w:val="center"/>
            </w:pPr>
            <w:r>
              <w:rPr>
                <w:rFonts w:ascii="Times New Roman" w:cs="Times New Roman" w:eastAsia="Times New Roman" w:hAnsi="Times New Roman"/>
                <w:sz w:val="21"/>
                <w:szCs w:val="21"/>
              </w:rPr>
              <w:t xml:space="preserve">1</w:t>
            </w:r>
          </w:p>
        </w:tc>
        <w:tc>
          <w:tcPr>
            <w:tcW w:type="dxa" w:w="2000"/>
          </w:tcPr>
          <w:p>
            <w:pPr>
              <w:spacing w:line="360" w:lineRule="auto"/>
              <w:jc w:val="left"/>
            </w:pPr>
            <w:r>
              <w:rPr>
                <w:rFonts w:ascii="Times New Roman" w:cs="Times New Roman" w:eastAsia="Times New Roman" w:hAnsi="Times New Roman"/>
                <w:sz w:val="21"/>
                <w:szCs w:val="21"/>
              </w:rPr>
              <w:t xml:space="preserve">设备费</w:t>
            </w:r>
          </w:p>
        </w:tc>
        <w:tc>
          <w:tcPr>
            <w:tcW w:type="dxa" w:w="1500"/>
          </w:tcPr>
          <w:p>
            <w:pPr>
              <w:spacing w:line="360" w:lineRule="auto"/>
              <w:jc w:val="left"/>
            </w:pPr>
            <w:r>
              <w:rPr>
                <w:rFonts w:ascii="Times New Roman" w:cs="Times New Roman" w:eastAsia="Times New Roman" w:hAnsi="Times New Roman"/>
                <w:sz w:val="21"/>
                <w:szCs w:val="21"/>
              </w:rPr>
              <w:t xml:space="preserve"/>
            </w:r>
          </w:p>
        </w:tc>
        <w:tc>
          <w:tcPr>
            <w:tcW w:type="dxa" w:w="2500"/>
          </w:tcPr>
          <w:p>
            <w:pPr>
              <w:spacing w:line="360" w:lineRule="auto"/>
              <w:jc w:val="left"/>
            </w:pPr>
            <w:r>
              <w:rPr>
                <w:rFonts w:ascii="Times New Roman" w:cs="Times New Roman" w:eastAsia="Times New Roman" w:hAnsi="Times New Roman"/>
                <w:sz w:val="21"/>
                <w:szCs w:val="21"/>
              </w:rPr>
              <w:t xml:space="preserve">GPU算力服务器、数据采集设备、通信网关等</w:t>
            </w:r>
          </w:p>
        </w:tc>
        <w:tc>
          <w:tcPr>
            <w:tcW w:type="dxa" w:w="1706"/>
          </w:tcPr>
          <w:p>
            <w:pPr>
              <w:spacing w:line="360" w:lineRule="auto"/>
              <w:jc w:val="left"/>
            </w:pPr>
            <w:r>
              <w:rPr>
                <w:rFonts w:ascii="Times New Roman" w:cs="Times New Roman" w:eastAsia="Times New Roman" w:hAnsi="Times New Roman"/>
                <w:sz w:val="21"/>
                <w:szCs w:val="21"/>
              </w:rPr>
              <w:t xml:space="preserve"/>
            </w:r>
          </w:p>
        </w:tc>
      </w:tr>
      <w:tr>
        <w:tc>
          <w:tcPr>
            <w:tcW w:type="dxa" w:w="600"/>
          </w:tcPr>
          <w:p>
            <w:pPr>
              <w:spacing w:line="360" w:lineRule="auto"/>
              <w:jc w:val="center"/>
            </w:pPr>
            <w:r>
              <w:rPr>
                <w:rFonts w:ascii="Times New Roman" w:cs="Times New Roman" w:eastAsia="Times New Roman" w:hAnsi="Times New Roman"/>
                <w:sz w:val="21"/>
                <w:szCs w:val="21"/>
              </w:rPr>
              <w:t xml:space="preserve">2</w:t>
            </w:r>
          </w:p>
        </w:tc>
        <w:tc>
          <w:tcPr>
            <w:tcW w:type="dxa" w:w="2000"/>
          </w:tcPr>
          <w:p>
            <w:pPr>
              <w:spacing w:line="360" w:lineRule="auto"/>
              <w:jc w:val="left"/>
            </w:pPr>
            <w:r>
              <w:rPr>
                <w:rFonts w:ascii="Times New Roman" w:cs="Times New Roman" w:eastAsia="Times New Roman" w:hAnsi="Times New Roman"/>
                <w:sz w:val="21"/>
                <w:szCs w:val="21"/>
              </w:rPr>
              <w:t xml:space="preserve">材料费</w:t>
            </w:r>
          </w:p>
        </w:tc>
        <w:tc>
          <w:tcPr>
            <w:tcW w:type="dxa" w:w="1500"/>
          </w:tcPr>
          <w:p>
            <w:pPr>
              <w:spacing w:line="360" w:lineRule="auto"/>
              <w:jc w:val="left"/>
            </w:pPr>
            <w:r>
              <w:rPr>
                <w:rFonts w:ascii="Times New Roman" w:cs="Times New Roman" w:eastAsia="Times New Roman" w:hAnsi="Times New Roman"/>
                <w:sz w:val="21"/>
                <w:szCs w:val="21"/>
              </w:rPr>
              <w:t xml:space="preserve"/>
            </w:r>
          </w:p>
        </w:tc>
        <w:tc>
          <w:tcPr>
            <w:tcW w:type="dxa" w:w="2500"/>
          </w:tcPr>
          <w:p>
            <w:pPr>
              <w:spacing w:line="360" w:lineRule="auto"/>
              <w:jc w:val="left"/>
            </w:pPr>
            <w:r>
              <w:rPr>
                <w:rFonts w:ascii="Times New Roman" w:cs="Times New Roman" w:eastAsia="Times New Roman" w:hAnsi="Times New Roman"/>
                <w:sz w:val="21"/>
                <w:szCs w:val="21"/>
              </w:rPr>
              <w:t xml:space="preserve">试点现场实施物料、传感器配件等</w:t>
            </w:r>
          </w:p>
        </w:tc>
        <w:tc>
          <w:tcPr>
            <w:tcW w:type="dxa" w:w="1706"/>
          </w:tcPr>
          <w:p>
            <w:pPr>
              <w:spacing w:line="360" w:lineRule="auto"/>
              <w:jc w:val="left"/>
            </w:pPr>
            <w:r>
              <w:rPr>
                <w:rFonts w:ascii="Times New Roman" w:cs="Times New Roman" w:eastAsia="Times New Roman" w:hAnsi="Times New Roman"/>
                <w:sz w:val="21"/>
                <w:szCs w:val="21"/>
              </w:rPr>
              <w:t xml:space="preserve"/>
            </w:r>
          </w:p>
        </w:tc>
      </w:tr>
      <w:tr>
        <w:tc>
          <w:tcPr>
            <w:tcW w:type="dxa" w:w="600"/>
          </w:tcPr>
          <w:p>
            <w:pPr>
              <w:spacing w:line="360" w:lineRule="auto"/>
              <w:jc w:val="center"/>
            </w:pPr>
            <w:r>
              <w:rPr>
                <w:rFonts w:ascii="Times New Roman" w:cs="Times New Roman" w:eastAsia="Times New Roman" w:hAnsi="Times New Roman"/>
                <w:sz w:val="21"/>
                <w:szCs w:val="21"/>
              </w:rPr>
              <w:t xml:space="preserve">3</w:t>
            </w:r>
          </w:p>
        </w:tc>
        <w:tc>
          <w:tcPr>
            <w:tcW w:type="dxa" w:w="2000"/>
          </w:tcPr>
          <w:p>
            <w:pPr>
              <w:spacing w:line="360" w:lineRule="auto"/>
              <w:jc w:val="left"/>
            </w:pPr>
            <w:r>
              <w:rPr>
                <w:rFonts w:ascii="Times New Roman" w:cs="Times New Roman" w:eastAsia="Times New Roman" w:hAnsi="Times New Roman"/>
                <w:sz w:val="21"/>
                <w:szCs w:val="21"/>
              </w:rPr>
              <w:t xml:space="preserve">测试化验加工费</w:t>
            </w:r>
          </w:p>
        </w:tc>
        <w:tc>
          <w:tcPr>
            <w:tcW w:type="dxa" w:w="1500"/>
          </w:tcPr>
          <w:p>
            <w:pPr>
              <w:spacing w:line="360" w:lineRule="auto"/>
              <w:jc w:val="left"/>
            </w:pPr>
            <w:r>
              <w:rPr>
                <w:rFonts w:ascii="Times New Roman" w:cs="Times New Roman" w:eastAsia="Times New Roman" w:hAnsi="Times New Roman"/>
                <w:sz w:val="21"/>
                <w:szCs w:val="21"/>
              </w:rPr>
              <w:t xml:space="preserve"/>
            </w:r>
          </w:p>
        </w:tc>
        <w:tc>
          <w:tcPr>
            <w:tcW w:type="dxa" w:w="2500"/>
          </w:tcPr>
          <w:p>
            <w:pPr>
              <w:spacing w:line="360" w:lineRule="auto"/>
              <w:jc w:val="left"/>
            </w:pPr>
            <w:r>
              <w:rPr>
                <w:rFonts w:ascii="Times New Roman" w:cs="Times New Roman" w:eastAsia="Times New Roman" w:hAnsi="Times New Roman"/>
                <w:sz w:val="21"/>
                <w:szCs w:val="21"/>
              </w:rPr>
              <w:t xml:space="preserve">AI模型测试、系统联调、第三方测评等</w:t>
            </w:r>
          </w:p>
        </w:tc>
        <w:tc>
          <w:tcPr>
            <w:tcW w:type="dxa" w:w="1706"/>
          </w:tcPr>
          <w:p>
            <w:pPr>
              <w:spacing w:line="360" w:lineRule="auto"/>
              <w:jc w:val="left"/>
            </w:pPr>
            <w:r>
              <w:rPr>
                <w:rFonts w:ascii="Times New Roman" w:cs="Times New Roman" w:eastAsia="Times New Roman" w:hAnsi="Times New Roman"/>
                <w:sz w:val="21"/>
                <w:szCs w:val="21"/>
              </w:rPr>
              <w:t xml:space="preserve"/>
            </w:r>
          </w:p>
        </w:tc>
      </w:tr>
      <w:tr>
        <w:tc>
          <w:tcPr>
            <w:tcW w:type="dxa" w:w="600"/>
          </w:tcPr>
          <w:p>
            <w:pPr>
              <w:spacing w:line="360" w:lineRule="auto"/>
              <w:jc w:val="center"/>
            </w:pPr>
            <w:r>
              <w:rPr>
                <w:rFonts w:ascii="Times New Roman" w:cs="Times New Roman" w:eastAsia="Times New Roman" w:hAnsi="Times New Roman"/>
                <w:sz w:val="21"/>
                <w:szCs w:val="21"/>
              </w:rPr>
              <w:t xml:space="preserve">4</w:t>
            </w:r>
          </w:p>
        </w:tc>
        <w:tc>
          <w:tcPr>
            <w:tcW w:type="dxa" w:w="2000"/>
          </w:tcPr>
          <w:p>
            <w:pPr>
              <w:spacing w:line="360" w:lineRule="auto"/>
              <w:jc w:val="left"/>
            </w:pPr>
            <w:r>
              <w:rPr>
                <w:rFonts w:ascii="Times New Roman" w:cs="Times New Roman" w:eastAsia="Times New Roman" w:hAnsi="Times New Roman"/>
                <w:sz w:val="21"/>
                <w:szCs w:val="21"/>
              </w:rPr>
              <w:t xml:space="preserve">劳务费</w:t>
            </w:r>
          </w:p>
        </w:tc>
        <w:tc>
          <w:tcPr>
            <w:tcW w:type="dxa" w:w="1500"/>
          </w:tcPr>
          <w:p>
            <w:pPr>
              <w:spacing w:line="360" w:lineRule="auto"/>
              <w:jc w:val="left"/>
            </w:pPr>
            <w:r>
              <w:rPr>
                <w:rFonts w:ascii="Times New Roman" w:cs="Times New Roman" w:eastAsia="Times New Roman" w:hAnsi="Times New Roman"/>
                <w:sz w:val="21"/>
                <w:szCs w:val="21"/>
              </w:rPr>
              <w:t xml:space="preserve"/>
            </w:r>
          </w:p>
        </w:tc>
        <w:tc>
          <w:tcPr>
            <w:tcW w:type="dxa" w:w="2500"/>
          </w:tcPr>
          <w:p>
            <w:pPr>
              <w:spacing w:line="360" w:lineRule="auto"/>
              <w:jc w:val="left"/>
            </w:pPr>
            <w:r>
              <w:rPr>
                <w:rFonts w:ascii="Times New Roman" w:cs="Times New Roman" w:eastAsia="Times New Roman" w:hAnsi="Times New Roman"/>
                <w:sz w:val="21"/>
                <w:szCs w:val="21"/>
              </w:rPr>
              <w:t xml:space="preserve">项目研究人员劳务报酬</w:t>
            </w:r>
          </w:p>
        </w:tc>
        <w:tc>
          <w:tcPr>
            <w:tcW w:type="dxa" w:w="1706"/>
          </w:tcPr>
          <w:p>
            <w:pPr>
              <w:spacing w:line="360" w:lineRule="auto"/>
              <w:jc w:val="left"/>
            </w:pPr>
            <w:r>
              <w:rPr>
                <w:rFonts w:ascii="Times New Roman" w:cs="Times New Roman" w:eastAsia="Times New Roman" w:hAnsi="Times New Roman"/>
                <w:sz w:val="21"/>
                <w:szCs w:val="21"/>
              </w:rPr>
              <w:t xml:space="preserve"/>
            </w:r>
          </w:p>
        </w:tc>
      </w:tr>
      <w:tr>
        <w:tc>
          <w:tcPr>
            <w:tcW w:type="dxa" w:w="600"/>
          </w:tcPr>
          <w:p>
            <w:pPr>
              <w:spacing w:line="360" w:lineRule="auto"/>
              <w:jc w:val="center"/>
            </w:pPr>
            <w:r>
              <w:rPr>
                <w:rFonts w:ascii="Times New Roman" w:cs="Times New Roman" w:eastAsia="Times New Roman" w:hAnsi="Times New Roman"/>
                <w:sz w:val="21"/>
                <w:szCs w:val="21"/>
              </w:rPr>
              <w:t xml:space="preserve">5</w:t>
            </w:r>
          </w:p>
        </w:tc>
        <w:tc>
          <w:tcPr>
            <w:tcW w:type="dxa" w:w="2000"/>
          </w:tcPr>
          <w:p>
            <w:pPr>
              <w:spacing w:line="360" w:lineRule="auto"/>
              <w:jc w:val="left"/>
            </w:pPr>
            <w:r>
              <w:rPr>
                <w:rFonts w:ascii="Times New Roman" w:cs="Times New Roman" w:eastAsia="Times New Roman" w:hAnsi="Times New Roman"/>
                <w:sz w:val="21"/>
                <w:szCs w:val="21"/>
              </w:rPr>
              <w:t xml:space="preserve">专家咨询费</w:t>
            </w:r>
          </w:p>
        </w:tc>
        <w:tc>
          <w:tcPr>
            <w:tcW w:type="dxa" w:w="1500"/>
          </w:tcPr>
          <w:p>
            <w:pPr>
              <w:spacing w:line="360" w:lineRule="auto"/>
              <w:jc w:val="left"/>
            </w:pPr>
            <w:r>
              <w:rPr>
                <w:rFonts w:ascii="Times New Roman" w:cs="Times New Roman" w:eastAsia="Times New Roman" w:hAnsi="Times New Roman"/>
                <w:sz w:val="21"/>
                <w:szCs w:val="21"/>
              </w:rPr>
              <w:t xml:space="preserve"/>
            </w:r>
          </w:p>
        </w:tc>
        <w:tc>
          <w:tcPr>
            <w:tcW w:type="dxa" w:w="2500"/>
          </w:tcPr>
          <w:p>
            <w:pPr>
              <w:spacing w:line="360" w:lineRule="auto"/>
              <w:jc w:val="left"/>
            </w:pPr>
            <w:r>
              <w:rPr>
                <w:rFonts w:ascii="Times New Roman" w:cs="Times New Roman" w:eastAsia="Times New Roman" w:hAnsi="Times New Roman"/>
                <w:sz w:val="21"/>
                <w:szCs w:val="21"/>
              </w:rPr>
              <w:t xml:space="preserve">外部专家技术咨询与评审</w:t>
            </w:r>
          </w:p>
        </w:tc>
        <w:tc>
          <w:tcPr>
            <w:tcW w:type="dxa" w:w="1706"/>
          </w:tcPr>
          <w:p>
            <w:pPr>
              <w:spacing w:line="360" w:lineRule="auto"/>
              <w:jc w:val="left"/>
            </w:pPr>
            <w:r>
              <w:rPr>
                <w:rFonts w:ascii="Times New Roman" w:cs="Times New Roman" w:eastAsia="Times New Roman" w:hAnsi="Times New Roman"/>
                <w:sz w:val="21"/>
                <w:szCs w:val="21"/>
              </w:rPr>
              <w:t xml:space="preserve"/>
            </w:r>
          </w:p>
        </w:tc>
      </w:tr>
      <w:tr>
        <w:tc>
          <w:tcPr>
            <w:tcW w:type="dxa" w:w="600"/>
          </w:tcPr>
          <w:p>
            <w:pPr>
              <w:spacing w:line="360" w:lineRule="auto"/>
              <w:jc w:val="center"/>
            </w:pPr>
            <w:r>
              <w:rPr>
                <w:rFonts w:ascii="Times New Roman" w:cs="Times New Roman" w:eastAsia="Times New Roman" w:hAnsi="Times New Roman"/>
                <w:sz w:val="21"/>
                <w:szCs w:val="21"/>
              </w:rPr>
              <w:t xml:space="preserve">6</w:t>
            </w:r>
          </w:p>
        </w:tc>
        <w:tc>
          <w:tcPr>
            <w:tcW w:type="dxa" w:w="2000"/>
          </w:tcPr>
          <w:p>
            <w:pPr>
              <w:spacing w:line="360" w:lineRule="auto"/>
              <w:jc w:val="left"/>
            </w:pPr>
            <w:r>
              <w:rPr>
                <w:rFonts w:ascii="Times New Roman" w:cs="Times New Roman" w:eastAsia="Times New Roman" w:hAnsi="Times New Roman"/>
                <w:sz w:val="21"/>
                <w:szCs w:val="21"/>
              </w:rPr>
              <w:t xml:space="preserve">差旅/会议费</w:t>
            </w:r>
          </w:p>
        </w:tc>
        <w:tc>
          <w:tcPr>
            <w:tcW w:type="dxa" w:w="1500"/>
          </w:tcPr>
          <w:p>
            <w:pPr>
              <w:spacing w:line="360" w:lineRule="auto"/>
              <w:jc w:val="left"/>
            </w:pPr>
            <w:r>
              <w:rPr>
                <w:rFonts w:ascii="Times New Roman" w:cs="Times New Roman" w:eastAsia="Times New Roman" w:hAnsi="Times New Roman"/>
                <w:sz w:val="21"/>
                <w:szCs w:val="21"/>
              </w:rPr>
              <w:t xml:space="preserve"/>
            </w:r>
          </w:p>
        </w:tc>
        <w:tc>
          <w:tcPr>
            <w:tcW w:type="dxa" w:w="2500"/>
          </w:tcPr>
          <w:p>
            <w:pPr>
              <w:spacing w:line="360" w:lineRule="auto"/>
              <w:jc w:val="left"/>
            </w:pPr>
            <w:r>
              <w:rPr>
                <w:rFonts w:ascii="Times New Roman" w:cs="Times New Roman" w:eastAsia="Times New Roman" w:hAnsi="Times New Roman"/>
                <w:sz w:val="21"/>
                <w:szCs w:val="21"/>
              </w:rPr>
              <w:t xml:space="preserve">现场调研、技术交流、学术会议等</w:t>
            </w:r>
          </w:p>
        </w:tc>
        <w:tc>
          <w:tcPr>
            <w:tcW w:type="dxa" w:w="1706"/>
          </w:tcPr>
          <w:p>
            <w:pPr>
              <w:spacing w:line="360" w:lineRule="auto"/>
              <w:jc w:val="left"/>
            </w:pPr>
            <w:r>
              <w:rPr>
                <w:rFonts w:ascii="Times New Roman" w:cs="Times New Roman" w:eastAsia="Times New Roman" w:hAnsi="Times New Roman"/>
                <w:sz w:val="21"/>
                <w:szCs w:val="21"/>
              </w:rPr>
              <w:t xml:space="preserve"/>
            </w:r>
          </w:p>
        </w:tc>
      </w:tr>
      <w:tr>
        <w:tc>
          <w:tcPr>
            <w:tcW w:type="dxa" w:w="600"/>
          </w:tcPr>
          <w:p>
            <w:pPr>
              <w:spacing w:line="360" w:lineRule="auto"/>
              <w:jc w:val="center"/>
            </w:pPr>
            <w:r>
              <w:rPr>
                <w:rFonts w:ascii="Times New Roman" w:cs="Times New Roman" w:eastAsia="Times New Roman" w:hAnsi="Times New Roman"/>
                <w:sz w:val="21"/>
                <w:szCs w:val="21"/>
              </w:rPr>
              <w:t xml:space="preserve">7</w:t>
            </w:r>
          </w:p>
        </w:tc>
        <w:tc>
          <w:tcPr>
            <w:tcW w:type="dxa" w:w="2000"/>
          </w:tcPr>
          <w:p>
            <w:pPr>
              <w:spacing w:line="360" w:lineRule="auto"/>
              <w:jc w:val="left"/>
            </w:pPr>
            <w:r>
              <w:rPr>
                <w:rFonts w:ascii="Times New Roman" w:cs="Times New Roman" w:eastAsia="Times New Roman" w:hAnsi="Times New Roman"/>
                <w:sz w:val="21"/>
                <w:szCs w:val="21"/>
              </w:rPr>
              <w:t xml:space="preserve">出版/知识产权费</w:t>
            </w:r>
          </w:p>
        </w:tc>
        <w:tc>
          <w:tcPr>
            <w:tcW w:type="dxa" w:w="1500"/>
          </w:tcPr>
          <w:p>
            <w:pPr>
              <w:spacing w:line="360" w:lineRule="auto"/>
              <w:jc w:val="left"/>
            </w:pPr>
            <w:r>
              <w:rPr>
                <w:rFonts w:ascii="Times New Roman" w:cs="Times New Roman" w:eastAsia="Times New Roman" w:hAnsi="Times New Roman"/>
                <w:sz w:val="21"/>
                <w:szCs w:val="21"/>
              </w:rPr>
              <w:t xml:space="preserve"/>
            </w:r>
          </w:p>
        </w:tc>
        <w:tc>
          <w:tcPr>
            <w:tcW w:type="dxa" w:w="2500"/>
          </w:tcPr>
          <w:p>
            <w:pPr>
              <w:spacing w:line="360" w:lineRule="auto"/>
              <w:jc w:val="left"/>
            </w:pPr>
            <w:r>
              <w:rPr>
                <w:rFonts w:ascii="Times New Roman" w:cs="Times New Roman" w:eastAsia="Times New Roman" w:hAnsi="Times New Roman"/>
                <w:sz w:val="21"/>
                <w:szCs w:val="21"/>
              </w:rPr>
              <w:t xml:space="preserve">专利申请、论文发表、软著登记等</w:t>
            </w:r>
          </w:p>
        </w:tc>
        <w:tc>
          <w:tcPr>
            <w:tcW w:type="dxa" w:w="1706"/>
          </w:tcPr>
          <w:p>
            <w:pPr>
              <w:spacing w:line="360" w:lineRule="auto"/>
              <w:jc w:val="left"/>
            </w:pPr>
            <w:r>
              <w:rPr>
                <w:rFonts w:ascii="Times New Roman" w:cs="Times New Roman" w:eastAsia="Times New Roman" w:hAnsi="Times New Roman"/>
                <w:sz w:val="21"/>
                <w:szCs w:val="21"/>
              </w:rPr>
              <w:t xml:space="preserve"/>
            </w:r>
          </w:p>
        </w:tc>
      </w:tr>
      <w:tr>
        <w:tc>
          <w:tcPr>
            <w:tcW w:type="dxa" w:w="600"/>
          </w:tcPr>
          <w:p>
            <w:pPr>
              <w:spacing w:line="360" w:lineRule="auto"/>
              <w:jc w:val="center"/>
            </w:pPr>
            <w:r>
              <w:rPr>
                <w:rFonts w:ascii="Times New Roman" w:cs="Times New Roman" w:eastAsia="Times New Roman" w:hAnsi="Times New Roman"/>
                <w:sz w:val="21"/>
                <w:szCs w:val="21"/>
              </w:rPr>
              <w:t xml:space="preserve">8</w:t>
            </w:r>
          </w:p>
        </w:tc>
        <w:tc>
          <w:tcPr>
            <w:tcW w:type="dxa" w:w="2000"/>
          </w:tcPr>
          <w:p>
            <w:pPr>
              <w:spacing w:line="360" w:lineRule="auto"/>
              <w:jc w:val="left"/>
            </w:pPr>
            <w:r>
              <w:rPr>
                <w:rFonts w:ascii="Times New Roman" w:cs="Times New Roman" w:eastAsia="Times New Roman" w:hAnsi="Times New Roman"/>
                <w:sz w:val="21"/>
                <w:szCs w:val="21"/>
              </w:rPr>
              <w:t xml:space="preserve">其他费用</w:t>
            </w:r>
          </w:p>
        </w:tc>
        <w:tc>
          <w:tcPr>
            <w:tcW w:type="dxa" w:w="1500"/>
          </w:tcPr>
          <w:p>
            <w:pPr>
              <w:spacing w:line="360" w:lineRule="auto"/>
              <w:jc w:val="left"/>
            </w:pPr>
            <w:r>
              <w:rPr>
                <w:rFonts w:ascii="Times New Roman" w:cs="Times New Roman" w:eastAsia="Times New Roman" w:hAnsi="Times New Roman"/>
                <w:sz w:val="21"/>
                <w:szCs w:val="21"/>
              </w:rPr>
              <w:t xml:space="preserve"/>
            </w:r>
          </w:p>
        </w:tc>
        <w:tc>
          <w:tcPr>
            <w:tcW w:type="dxa" w:w="2500"/>
          </w:tcPr>
          <w:p>
            <w:pPr>
              <w:spacing w:line="360" w:lineRule="auto"/>
              <w:jc w:val="left"/>
            </w:pPr>
            <w:r>
              <w:rPr>
                <w:rFonts w:ascii="Times New Roman" w:cs="Times New Roman" w:eastAsia="Times New Roman" w:hAnsi="Times New Roman"/>
                <w:sz w:val="21"/>
                <w:szCs w:val="21"/>
              </w:rPr>
              <w:t xml:space="preserve">间接费用、管理费等</w:t>
            </w:r>
          </w:p>
        </w:tc>
        <w:tc>
          <w:tcPr>
            <w:tcW w:type="dxa" w:w="1706"/>
          </w:tcPr>
          <w:p>
            <w:pPr>
              <w:spacing w:line="360" w:lineRule="auto"/>
              <w:jc w:val="left"/>
            </w:pPr>
            <w:r>
              <w:rPr>
                <w:rFonts w:ascii="Times New Roman" w:cs="Times New Roman" w:eastAsia="Times New Roman" w:hAnsi="Times New Roman"/>
                <w:sz w:val="21"/>
                <w:szCs w:val="21"/>
              </w:rPr>
              <w:t xml:space="preserve"/>
            </w:r>
          </w:p>
        </w:tc>
      </w:tr>
    </w:tbl>
    <w:p>
      <w:pPr>
        <w:pStyle w:val="Heading2"/>
        <w:spacing w:after="60" w:before="60" w:line="360" w:lineRule="auto"/>
        <w:jc w:val="left"/>
      </w:pPr>
      <w:r>
        <w:rPr>
          <w:rFonts w:ascii="Times New Roman" w:cs="Times New Roman" w:eastAsia="Times New Roman" w:hAnsi="Times New Roman"/>
          <w:b/>
          <w:bCs/>
          <w:sz w:val="28"/>
          <w:szCs w:val="28"/>
        </w:rPr>
        <w:t xml:space="preserve">（二）资金来源</w:t>
      </w:r>
    </w:p>
    <w:p>
      <w:pPr>
        <w:spacing w:line="360" w:lineRule="auto"/>
        <w:ind w:firstLine="480"/>
        <w:jc w:val="both"/>
      </w:pPr>
      <w:r>
        <w:rPr>
          <w:rFonts w:ascii="Times New Roman" w:cs="Times New Roman" w:eastAsia="Times New Roman" w:hAnsi="Times New Roman"/>
          <w:sz w:val="24"/>
          <w:szCs w:val="24"/>
        </w:rPr>
        <w:t xml:space="preserve">项目资金来源构成如下：</w:t>
      </w:r>
    </w:p>
    <w:p>
      <w:pPr>
        <w:spacing w:line="360" w:lineRule="auto"/>
        <w:ind w:firstLine="480"/>
        <w:jc w:val="both"/>
      </w:pPr>
      <w:r>
        <w:rPr>
          <w:rFonts w:ascii="Times New Roman" w:cs="Times New Roman" w:eastAsia="Times New Roman" w:hAnsi="Times New Roman"/>
          <w:b/>
          <w:bCs/>
          <w:sz w:val="24"/>
          <w:szCs w:val="24"/>
        </w:rPr>
        <w:t xml:space="preserve">（1）企业自筹资金——</w:t>
      </w:r>
      <w:r>
        <w:rPr>
          <w:rFonts w:ascii="Times New Roman" w:cs="Times New Roman" w:eastAsia="Times New Roman" w:hAnsi="Times New Roman"/>
          <w:sz w:val="24"/>
          <w:szCs w:val="24"/>
        </w:rPr>
        <w:t xml:space="preserve">占项目总经费的XX%，由牵头单位及联合申报单位按约定比例承担。</w:t>
      </w:r>
    </w:p>
    <w:p>
      <w:pPr>
        <w:spacing w:line="360" w:lineRule="auto"/>
        <w:ind w:firstLine="480"/>
        <w:jc w:val="both"/>
      </w:pPr>
      <w:r>
        <w:rPr>
          <w:rFonts w:ascii="Times New Roman" w:cs="Times New Roman" w:eastAsia="Times New Roman" w:hAnsi="Times New Roman"/>
          <w:b/>
          <w:bCs/>
          <w:sz w:val="24"/>
          <w:szCs w:val="24"/>
        </w:rPr>
        <w:t xml:space="preserve">（2）政府支持资金——</w:t>
      </w:r>
      <w:r>
        <w:rPr>
          <w:rFonts w:ascii="Times New Roman" w:cs="Times New Roman" w:eastAsia="Times New Roman" w:hAnsi="Times New Roman"/>
          <w:sz w:val="24"/>
          <w:szCs w:val="24"/>
        </w:rPr>
        <w:t xml:space="preserve">占项目总经费的XX%，申请国家能源局“人工智能+”能源试点专项资金支持。</w:t>
      </w:r>
    </w:p>
    <w:p>
      <w:pPr>
        <w:spacing w:line="360" w:lineRule="auto"/>
        <w:ind w:firstLine="480"/>
        <w:jc w:val="both"/>
      </w:pPr>
      <w:r>
        <w:rPr>
          <w:rFonts w:ascii="Times New Roman" w:cs="Times New Roman" w:eastAsia="Times New Roman" w:hAnsi="Times New Roman"/>
          <w:b/>
          <w:bCs/>
          <w:sz w:val="24"/>
          <w:szCs w:val="24"/>
        </w:rPr>
        <w:t xml:space="preserve">（3）其他资金来源——</w:t>
      </w:r>
      <w:r>
        <w:rPr>
          <w:rFonts w:ascii="Times New Roman" w:cs="Times New Roman" w:eastAsia="Times New Roman" w:hAnsi="Times New Roman"/>
          <w:sz w:val="24"/>
          <w:szCs w:val="24"/>
        </w:rPr>
        <w:t xml:space="preserve">占项目总经费的XX%，包括省级科技计划项目配套资金、产学研合作经费等。</w:t>
      </w:r>
    </w:p>
    <w:p>
      <w:pPr>
        <w:spacing w:line="360" w:lineRule="auto"/>
        <w:ind w:firstLine="480"/>
        <w:jc w:val="both"/>
      </w:pPr>
      <w:r>
        <w:rPr>
          <w:rFonts w:ascii="Times New Roman" w:cs="Times New Roman" w:eastAsia="Times New Roman" w:hAnsi="Times New Roman"/>
          <w:sz w:val="24"/>
          <w:szCs w:val="24"/>
        </w:rPr>
        <w:t xml:space="preserve">各参与单位已出具资金承诺函，确保经费按计划足额到位。</w:t>
      </w:r>
    </w:p>
    <w:p>
      <w:pPr>
        <w:pStyle w:val="Heading2"/>
        <w:spacing w:after="60" w:before="60" w:line="360" w:lineRule="auto"/>
        <w:jc w:val="left"/>
      </w:pPr>
      <w:r>
        <w:rPr>
          <w:rFonts w:ascii="Times New Roman" w:cs="Times New Roman" w:eastAsia="Times New Roman" w:hAnsi="Times New Roman"/>
          <w:b/>
          <w:bCs/>
          <w:sz w:val="28"/>
          <w:szCs w:val="28"/>
        </w:rPr>
        <w:t xml:space="preserve">（三）经费使用计划</w:t>
      </w:r>
    </w:p>
    <w:p>
      <w:pPr>
        <w:spacing w:line="360" w:lineRule="auto"/>
        <w:ind w:firstLine="480"/>
        <w:jc w:val="both"/>
      </w:pPr>
      <w:r>
        <w:rPr>
          <w:rFonts w:ascii="Times New Roman" w:cs="Times New Roman" w:eastAsia="Times New Roman" w:hAnsi="Times New Roman"/>
          <w:sz w:val="24"/>
          <w:szCs w:val="24"/>
        </w:rPr>
        <w:t xml:space="preserve">经费使用遵循“按阶段投入、按节点拨付、按成果考核”的原则：</w:t>
      </w:r>
    </w:p>
    <w:p>
      <w:pPr>
        <w:spacing w:line="360" w:lineRule="auto"/>
        <w:ind w:firstLine="480"/>
        <w:jc w:val="both"/>
      </w:pPr>
      <w:r>
        <w:rPr>
          <w:rFonts w:ascii="Times New Roman" w:cs="Times New Roman" w:eastAsia="Times New Roman" w:hAnsi="Times New Roman"/>
          <w:b/>
          <w:bCs/>
          <w:sz w:val="24"/>
          <w:szCs w:val="24"/>
        </w:rPr>
        <w:t xml:space="preserve">第一阶段（第1-6个月）——</w:t>
      </w:r>
      <w:r>
        <w:rPr>
          <w:rFonts w:ascii="Times New Roman" w:cs="Times New Roman" w:eastAsia="Times New Roman" w:hAnsi="Times New Roman"/>
          <w:sz w:val="24"/>
          <w:szCs w:val="24"/>
        </w:rPr>
        <w:t xml:space="preserve">投入约XX%，主要用于设备采购、AI数据平台搭建和前期调研。</w:t>
      </w:r>
    </w:p>
    <w:p>
      <w:pPr>
        <w:spacing w:line="360" w:lineRule="auto"/>
        <w:ind w:firstLine="480"/>
        <w:jc w:val="both"/>
      </w:pPr>
      <w:r>
        <w:rPr>
          <w:rFonts w:ascii="Times New Roman" w:cs="Times New Roman" w:eastAsia="Times New Roman" w:hAnsi="Times New Roman"/>
          <w:b/>
          <w:bCs/>
          <w:sz w:val="24"/>
          <w:szCs w:val="24"/>
        </w:rPr>
        <w:t xml:space="preserve">第二阶段（第7-12个月）——</w:t>
      </w:r>
      <w:r>
        <w:rPr>
          <w:rFonts w:ascii="Times New Roman" w:cs="Times New Roman" w:eastAsia="Times New Roman" w:hAnsi="Times New Roman"/>
          <w:sz w:val="24"/>
          <w:szCs w:val="24"/>
        </w:rPr>
        <w:t xml:space="preserve">投入约XX%，主要用于AI模型研发、算力资源租赁和技术验证。</w:t>
      </w:r>
    </w:p>
    <w:p>
      <w:pPr>
        <w:spacing w:line="360" w:lineRule="auto"/>
        <w:ind w:firstLine="480"/>
        <w:jc w:val="both"/>
      </w:pPr>
      <w:r>
        <w:rPr>
          <w:rFonts w:ascii="Times New Roman" w:cs="Times New Roman" w:eastAsia="Times New Roman" w:hAnsi="Times New Roman"/>
          <w:b/>
          <w:bCs/>
          <w:sz w:val="24"/>
          <w:szCs w:val="24"/>
        </w:rPr>
        <w:t xml:space="preserve">第三阶段（第13-18个月）——</w:t>
      </w:r>
      <w:r>
        <w:rPr>
          <w:rFonts w:ascii="Times New Roman" w:cs="Times New Roman" w:eastAsia="Times New Roman" w:hAnsi="Times New Roman"/>
          <w:sz w:val="24"/>
          <w:szCs w:val="24"/>
        </w:rPr>
        <w:t xml:space="preserve">投入约XX%，主要用于软件开发、系统集成和联调测试。</w:t>
      </w:r>
    </w:p>
    <w:p>
      <w:pPr>
        <w:spacing w:line="360" w:lineRule="auto"/>
        <w:ind w:firstLine="480"/>
        <w:jc w:val="both"/>
      </w:pPr>
      <w:r>
        <w:rPr>
          <w:rFonts w:ascii="Times New Roman" w:cs="Times New Roman" w:eastAsia="Times New Roman" w:hAnsi="Times New Roman"/>
          <w:b/>
          <w:bCs/>
          <w:sz w:val="24"/>
          <w:szCs w:val="24"/>
        </w:rPr>
        <w:t xml:space="preserve">第四阶段（第19-24个月）——</w:t>
      </w:r>
      <w:r>
        <w:rPr>
          <w:rFonts w:ascii="Times New Roman" w:cs="Times New Roman" w:eastAsia="Times New Roman" w:hAnsi="Times New Roman"/>
          <w:sz w:val="24"/>
          <w:szCs w:val="24"/>
        </w:rPr>
        <w:t xml:space="preserve">投入约XX%，主要用于试点实施、知识产权和总结评估。</w:t>
      </w:r>
    </w:p>
    <w:p>
      <w:pPr>
        <w:pStyle w:val="Heading1"/>
        <w:pageBreakBefore/>
        <w:spacing w:after="60" w:before="120" w:line="360" w:lineRule="auto"/>
        <w:jc w:val="left"/>
      </w:pPr>
      <w:r>
        <w:rPr>
          <w:rFonts w:ascii="Times New Roman" w:cs="Times New Roman" w:eastAsia="Times New Roman" w:hAnsi="Times New Roman"/>
          <w:b/>
          <w:bCs/>
          <w:sz w:val="30"/>
          <w:szCs w:val="30"/>
        </w:rPr>
        <w:t xml:space="preserve">七、风险分析与应对措施</w:t>
      </w:r>
    </w:p>
    <w:p>
      <w:pPr>
        <w:spacing w:after="60" w:before="120"/>
        <w:jc w:val="center"/>
      </w:pPr>
      <w:r>
        <w:rPr>
          <w:rFonts w:ascii="Times New Roman" w:cs="Times New Roman" w:eastAsia="Times New Roman" w:hAnsi="Times New Roman"/>
          <w:b/>
          <w:bCs/>
          <w:sz w:val="21"/>
          <w:szCs w:val="21"/>
        </w:rPr>
        <w:t xml:space="preserve">表6 风险分析与应对措施表</w:t>
      </w:r>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2300"/>
        <w:gridCol w:w="1800"/>
        <w:gridCol w:w="2406"/>
      </w:tblGrid>
      <w:tr>
        <w:trPr>
          <w:tblHeader/>
        </w:trPr>
        <w:tc>
          <w:tcPr>
            <w:tcW w:type="dxa" w:w="400"/>
            <w:shd w:fill="D9E2F3" w:val="clear"/>
          </w:tcPr>
          <w:p>
            <w:pPr>
              <w:spacing w:line="360" w:lineRule="auto"/>
              <w:jc w:val="center"/>
            </w:pPr>
            <w:r>
              <w:rPr>
                <w:rFonts w:ascii="Times New Roman" w:cs="Times New Roman" w:eastAsia="Times New Roman" w:hAnsi="Times New Roman"/>
                <w:b/>
                <w:bCs/>
                <w:sz w:val="21"/>
                <w:szCs w:val="21"/>
              </w:rPr>
              <w:t xml:space="preserve">序号</w:t>
            </w:r>
          </w:p>
        </w:tc>
        <w:tc>
          <w:tcPr>
            <w:tcW w:type="dxa" w:w="1400"/>
            <w:shd w:fill="D9E2F3" w:val="clear"/>
          </w:tcPr>
          <w:p>
            <w:pPr>
              <w:spacing w:line="360" w:lineRule="auto"/>
              <w:jc w:val="center"/>
            </w:pPr>
            <w:r>
              <w:rPr>
                <w:rFonts w:ascii="Times New Roman" w:cs="Times New Roman" w:eastAsia="Times New Roman" w:hAnsi="Times New Roman"/>
                <w:b/>
                <w:bCs/>
                <w:sz w:val="21"/>
                <w:szCs w:val="21"/>
              </w:rPr>
              <w:t xml:space="preserve">风险类别</w:t>
            </w:r>
          </w:p>
        </w:tc>
        <w:tc>
          <w:tcPr>
            <w:tcW w:type="dxa" w:w="2300"/>
            <w:shd w:fill="D9E2F3" w:val="clear"/>
          </w:tcPr>
          <w:p>
            <w:pPr>
              <w:spacing w:line="360" w:lineRule="auto"/>
              <w:jc w:val="center"/>
            </w:pPr>
            <w:r>
              <w:rPr>
                <w:rFonts w:ascii="Times New Roman" w:cs="Times New Roman" w:eastAsia="Times New Roman" w:hAnsi="Times New Roman"/>
                <w:b/>
                <w:bCs/>
                <w:sz w:val="21"/>
                <w:szCs w:val="21"/>
              </w:rPr>
              <w:t xml:space="preserve">风险描述</w:t>
            </w:r>
          </w:p>
        </w:tc>
        <w:tc>
          <w:tcPr>
            <w:tcW w:type="dxa" w:w="1800"/>
            <w:shd w:fill="D9E2F3" w:val="clear"/>
          </w:tcPr>
          <w:p>
            <w:pPr>
              <w:spacing w:line="360" w:lineRule="auto"/>
              <w:jc w:val="center"/>
            </w:pPr>
            <w:r>
              <w:rPr>
                <w:rFonts w:ascii="Times New Roman" w:cs="Times New Roman" w:eastAsia="Times New Roman" w:hAnsi="Times New Roman"/>
                <w:b/>
                <w:bCs/>
                <w:sz w:val="21"/>
                <w:szCs w:val="21"/>
              </w:rPr>
              <w:t xml:space="preserve">影响程度</w:t>
            </w:r>
          </w:p>
        </w:tc>
        <w:tc>
          <w:tcPr>
            <w:tcW w:type="dxa" w:w="2406"/>
            <w:shd w:fill="D9E2F3" w:val="clear"/>
          </w:tcPr>
          <w:p>
            <w:pPr>
              <w:spacing w:line="360" w:lineRule="auto"/>
              <w:jc w:val="center"/>
            </w:pPr>
            <w:r>
              <w:rPr>
                <w:rFonts w:ascii="Times New Roman" w:cs="Times New Roman" w:eastAsia="Times New Roman" w:hAnsi="Times New Roman"/>
                <w:b/>
                <w:bCs/>
                <w:sz w:val="21"/>
                <w:szCs w:val="21"/>
              </w:rPr>
              <w:t xml:space="preserve">AI赋能应对措施</w:t>
            </w:r>
          </w:p>
        </w:tc>
      </w:tr>
      <w:tr>
        <w:tc>
          <w:tcPr>
            <w:tcW w:type="dxa" w:w="400"/>
          </w:tcPr>
          <w:p>
            <w:pPr>
              <w:spacing w:line="360" w:lineRule="auto"/>
              <w:jc w:val="center"/>
            </w:pPr>
            <w:r>
              <w:rPr>
                <w:rFonts w:ascii="Times New Roman" w:cs="Times New Roman" w:eastAsia="Times New Roman" w:hAnsi="Times New Roman"/>
                <w:sz w:val="21"/>
                <w:szCs w:val="21"/>
              </w:rPr>
              <w:t xml:space="preserve">1</w:t>
            </w:r>
          </w:p>
        </w:tc>
        <w:tc>
          <w:tcPr>
            <w:tcW w:type="dxa" w:w="1400"/>
          </w:tcPr>
          <w:p>
            <w:pPr>
              <w:spacing w:line="360" w:lineRule="auto"/>
              <w:jc w:val="left"/>
            </w:pPr>
            <w:r>
              <w:rPr>
                <w:rFonts w:ascii="Times New Roman" w:cs="Times New Roman" w:eastAsia="Times New Roman" w:hAnsi="Times New Roman"/>
                <w:sz w:val="21"/>
                <w:szCs w:val="21"/>
              </w:rPr>
              <w:t xml:space="preserve">技术风险</w:t>
            </w:r>
          </w:p>
        </w:tc>
        <w:tc>
          <w:tcPr>
            <w:tcW w:type="dxa" w:w="2300"/>
          </w:tcPr>
          <w:p>
            <w:pPr>
              <w:spacing w:line="360" w:lineRule="auto"/>
              <w:jc w:val="left"/>
            </w:pPr>
            <w:r>
              <w:rPr>
                <w:rFonts w:ascii="Times New Roman" w:cs="Times New Roman" w:eastAsia="Times New Roman" w:hAnsi="Times New Roman"/>
                <w:sz w:val="21"/>
                <w:szCs w:val="21"/>
              </w:rPr>
              <w:t xml:space="preserve">AI模型（PINN/MARL）在真实工业场景中的泛化能力不足，模型精度未达预期</w:t>
            </w:r>
          </w:p>
        </w:tc>
        <w:tc>
          <w:tcPr>
            <w:tcW w:type="dxa" w:w="1800"/>
          </w:tcPr>
          <w:p>
            <w:pPr>
              <w:spacing w:line="360" w:lineRule="auto"/>
              <w:jc w:val="left"/>
            </w:pPr>
            <w:r>
              <w:rPr>
                <w:rFonts w:ascii="Times New Roman" w:cs="Times New Roman" w:eastAsia="Times New Roman" w:hAnsi="Times New Roman"/>
                <w:sz w:val="21"/>
                <w:szCs w:val="21"/>
              </w:rPr>
              <w:t xml:space="preserve">高</w:t>
            </w:r>
          </w:p>
        </w:tc>
        <w:tc>
          <w:tcPr>
            <w:tcW w:type="dxa" w:w="2406"/>
          </w:tcPr>
          <w:p>
            <w:pPr>
              <w:spacing w:line="360" w:lineRule="auto"/>
              <w:jc w:val="left"/>
            </w:pPr>
            <w:r>
              <w:rPr>
                <w:rFonts w:ascii="Times New Roman" w:cs="Times New Roman" w:eastAsia="Times New Roman" w:hAnsi="Times New Roman"/>
                <w:sz w:val="21"/>
                <w:szCs w:val="21"/>
              </w:rPr>
              <w:t xml:space="preserve">采用预训练+微调（Fine-tuning）策略减少过拟合；建立模型精度红黄绿预警机制；保留传统专家规则作为兜底方案；引入主动学习（Active Learning）持续优化</w:t>
            </w:r>
          </w:p>
        </w:tc>
      </w:tr>
      <w:tr>
        <w:tc>
          <w:tcPr>
            <w:tcW w:type="dxa" w:w="400"/>
          </w:tcPr>
          <w:p>
            <w:pPr>
              <w:spacing w:line="360" w:lineRule="auto"/>
              <w:jc w:val="center"/>
            </w:pPr>
            <w:r>
              <w:rPr>
                <w:rFonts w:ascii="Times New Roman" w:cs="Times New Roman" w:eastAsia="Times New Roman" w:hAnsi="Times New Roman"/>
                <w:sz w:val="21"/>
                <w:szCs w:val="21"/>
              </w:rPr>
              <w:t xml:space="preserve">2</w:t>
            </w:r>
          </w:p>
        </w:tc>
        <w:tc>
          <w:tcPr>
            <w:tcW w:type="dxa" w:w="1400"/>
          </w:tcPr>
          <w:p>
            <w:pPr>
              <w:spacing w:line="360" w:lineRule="auto"/>
              <w:jc w:val="left"/>
            </w:pPr>
            <w:r>
              <w:rPr>
                <w:rFonts w:ascii="Times New Roman" w:cs="Times New Roman" w:eastAsia="Times New Roman" w:hAnsi="Times New Roman"/>
                <w:sz w:val="21"/>
                <w:szCs w:val="21"/>
              </w:rPr>
              <w:t xml:space="preserve">数据风险</w:t>
            </w:r>
          </w:p>
        </w:tc>
        <w:tc>
          <w:tcPr>
            <w:tcW w:type="dxa" w:w="2300"/>
          </w:tcPr>
          <w:p>
            <w:pPr>
              <w:spacing w:line="360" w:lineRule="auto"/>
              <w:jc w:val="left"/>
            </w:pPr>
            <w:r>
              <w:rPr>
                <w:rFonts w:ascii="Times New Roman" w:cs="Times New Roman" w:eastAsia="Times New Roman" w:hAnsi="Times New Roman"/>
                <w:sz w:val="21"/>
                <w:szCs w:val="21"/>
              </w:rPr>
              <w:t xml:space="preserve">试点园区企业MES系统工艺数据接口不兼容、数据质量差或数据出域受限</w:t>
            </w:r>
          </w:p>
        </w:tc>
        <w:tc>
          <w:tcPr>
            <w:tcW w:type="dxa" w:w="1800"/>
          </w:tcPr>
          <w:p>
            <w:pPr>
              <w:spacing w:line="360" w:lineRule="auto"/>
              <w:jc w:val="left"/>
            </w:pPr>
            <w:r>
              <w:rPr>
                <w:rFonts w:ascii="Times New Roman" w:cs="Times New Roman" w:eastAsia="Times New Roman" w:hAnsi="Times New Roman"/>
                <w:sz w:val="21"/>
                <w:szCs w:val="21"/>
              </w:rPr>
              <w:t xml:space="preserve">中</w:t>
            </w:r>
          </w:p>
        </w:tc>
        <w:tc>
          <w:tcPr>
            <w:tcW w:type="dxa" w:w="2406"/>
          </w:tcPr>
          <w:p>
            <w:pPr>
              <w:spacing w:line="360" w:lineRule="auto"/>
              <w:jc w:val="left"/>
            </w:pPr>
            <w:r>
              <w:rPr>
                <w:rFonts w:ascii="Times New Roman" w:cs="Times New Roman" w:eastAsia="Times New Roman" w:hAnsi="Times New Roman"/>
                <w:sz w:val="21"/>
                <w:szCs w:val="21"/>
              </w:rPr>
              <w:t xml:space="preserve">采用联邦学习框架实现数据不出园区的模型训练；使用时序GAN对缺失数据进行智能补全；制定标准化数据接口规范提前对接</w:t>
            </w:r>
          </w:p>
        </w:tc>
      </w:tr>
      <w:tr>
        <w:tc>
          <w:tcPr>
            <w:tcW w:type="dxa" w:w="400"/>
          </w:tcPr>
          <w:p>
            <w:pPr>
              <w:spacing w:line="360" w:lineRule="auto"/>
              <w:jc w:val="center"/>
            </w:pPr>
            <w:r>
              <w:rPr>
                <w:rFonts w:ascii="Times New Roman" w:cs="Times New Roman" w:eastAsia="Times New Roman" w:hAnsi="Times New Roman"/>
                <w:sz w:val="21"/>
                <w:szCs w:val="21"/>
              </w:rPr>
              <w:t xml:space="preserve">3</w:t>
            </w:r>
          </w:p>
        </w:tc>
        <w:tc>
          <w:tcPr>
            <w:tcW w:type="dxa" w:w="1400"/>
          </w:tcPr>
          <w:p>
            <w:pPr>
              <w:spacing w:line="360" w:lineRule="auto"/>
              <w:jc w:val="left"/>
            </w:pPr>
            <w:r>
              <w:rPr>
                <w:rFonts w:ascii="Times New Roman" w:cs="Times New Roman" w:eastAsia="Times New Roman" w:hAnsi="Times New Roman"/>
                <w:sz w:val="21"/>
                <w:szCs w:val="21"/>
              </w:rPr>
              <w:t xml:space="preserve">安全风险</w:t>
            </w:r>
          </w:p>
        </w:tc>
        <w:tc>
          <w:tcPr>
            <w:tcW w:type="dxa" w:w="2300"/>
          </w:tcPr>
          <w:p>
            <w:pPr>
              <w:spacing w:line="360" w:lineRule="auto"/>
              <w:jc w:val="left"/>
            </w:pPr>
            <w:r>
              <w:rPr>
                <w:rFonts w:ascii="Times New Roman" w:cs="Times New Roman" w:eastAsia="Times New Roman" w:hAnsi="Times New Roman"/>
                <w:sz w:val="21"/>
                <w:szCs w:val="21"/>
              </w:rPr>
              <w:t xml:space="preserve">AI调控策略执行过程中误触发设备保护跳闸，影响企业正常生产</w:t>
            </w:r>
          </w:p>
        </w:tc>
        <w:tc>
          <w:tcPr>
            <w:tcW w:type="dxa" w:w="1800"/>
          </w:tcPr>
          <w:p>
            <w:pPr>
              <w:spacing w:line="360" w:lineRule="auto"/>
              <w:jc w:val="left"/>
            </w:pPr>
            <w:r>
              <w:rPr>
                <w:rFonts w:ascii="Times New Roman" w:cs="Times New Roman" w:eastAsia="Times New Roman" w:hAnsi="Times New Roman"/>
                <w:sz w:val="21"/>
                <w:szCs w:val="21"/>
              </w:rPr>
              <w:t xml:space="preserve">高</w:t>
            </w:r>
          </w:p>
        </w:tc>
        <w:tc>
          <w:tcPr>
            <w:tcW w:type="dxa" w:w="2406"/>
          </w:tcPr>
          <w:p>
            <w:pPr>
              <w:spacing w:line="360" w:lineRule="auto"/>
              <w:jc w:val="left"/>
            </w:pPr>
            <w:r>
              <w:rPr>
                <w:rFonts w:ascii="Times New Roman" w:cs="Times New Roman" w:eastAsia="Times New Roman" w:hAnsi="Times New Roman"/>
                <w:sz w:val="21"/>
                <w:szCs w:val="21"/>
              </w:rPr>
              <w:t xml:space="preserve">所有AI策略须经数字孪生仿真环境安全校验后方可下发；设置多重安全闭锁条件；采用可解释AI（XAI）技术提供策略可审计性；试点初期静默运行</w:t>
            </w:r>
          </w:p>
        </w:tc>
      </w:tr>
      <w:tr>
        <w:tc>
          <w:tcPr>
            <w:tcW w:type="dxa" w:w="400"/>
          </w:tcPr>
          <w:p>
            <w:pPr>
              <w:spacing w:line="360" w:lineRule="auto"/>
              <w:jc w:val="center"/>
            </w:pPr>
            <w:r>
              <w:rPr>
                <w:rFonts w:ascii="Times New Roman" w:cs="Times New Roman" w:eastAsia="Times New Roman" w:hAnsi="Times New Roman"/>
                <w:sz w:val="21"/>
                <w:szCs w:val="21"/>
              </w:rPr>
              <w:t xml:space="preserve">4</w:t>
            </w:r>
          </w:p>
        </w:tc>
        <w:tc>
          <w:tcPr>
            <w:tcW w:type="dxa" w:w="1400"/>
          </w:tcPr>
          <w:p>
            <w:pPr>
              <w:spacing w:line="360" w:lineRule="auto"/>
              <w:jc w:val="left"/>
            </w:pPr>
            <w:r>
              <w:rPr>
                <w:rFonts w:ascii="Times New Roman" w:cs="Times New Roman" w:eastAsia="Times New Roman" w:hAnsi="Times New Roman"/>
                <w:sz w:val="21"/>
                <w:szCs w:val="21"/>
              </w:rPr>
              <w:t xml:space="preserve">管理风险</w:t>
            </w:r>
          </w:p>
        </w:tc>
        <w:tc>
          <w:tcPr>
            <w:tcW w:type="dxa" w:w="2300"/>
          </w:tcPr>
          <w:p>
            <w:pPr>
              <w:spacing w:line="360" w:lineRule="auto"/>
              <w:jc w:val="left"/>
            </w:pPr>
            <w:r>
              <w:rPr>
                <w:rFonts w:ascii="Times New Roman" w:cs="Times New Roman" w:eastAsia="Times New Roman" w:hAnsi="Times New Roman"/>
                <w:sz w:val="21"/>
                <w:szCs w:val="21"/>
              </w:rPr>
              <w:t xml:space="preserve">多单位协同效率低，进度滞后或成果交付不及时</w:t>
            </w:r>
          </w:p>
        </w:tc>
        <w:tc>
          <w:tcPr>
            <w:tcW w:type="dxa" w:w="1800"/>
          </w:tcPr>
          <w:p>
            <w:pPr>
              <w:spacing w:line="360" w:lineRule="auto"/>
              <w:jc w:val="left"/>
            </w:pPr>
            <w:r>
              <w:rPr>
                <w:rFonts w:ascii="Times New Roman" w:cs="Times New Roman" w:eastAsia="Times New Roman" w:hAnsi="Times New Roman"/>
                <w:sz w:val="21"/>
                <w:szCs w:val="21"/>
              </w:rPr>
              <w:t xml:space="preserve">中</w:t>
            </w:r>
          </w:p>
        </w:tc>
        <w:tc>
          <w:tcPr>
            <w:tcW w:type="dxa" w:w="2406"/>
          </w:tcPr>
          <w:p>
            <w:pPr>
              <w:spacing w:line="360" w:lineRule="auto"/>
              <w:jc w:val="left"/>
            </w:pPr>
            <w:r>
              <w:rPr>
                <w:rFonts w:ascii="Times New Roman" w:cs="Times New Roman" w:eastAsia="Times New Roman" w:hAnsi="Times New Roman"/>
                <w:sz w:val="21"/>
                <w:szCs w:val="21"/>
              </w:rPr>
              <w:t xml:space="preserve">建立定期沟通机制（周例会+月度汇报）；采用敏捷开发+里程碑管理模式；明确各单位责任矩阵与交付物标准</w:t>
            </w:r>
          </w:p>
        </w:tc>
      </w:tr>
      <w:tr>
        <w:tc>
          <w:tcPr>
            <w:tcW w:type="dxa" w:w="400"/>
          </w:tcPr>
          <w:p>
            <w:pPr>
              <w:spacing w:line="360" w:lineRule="auto"/>
              <w:jc w:val="center"/>
            </w:pPr>
            <w:r>
              <w:rPr>
                <w:rFonts w:ascii="Times New Roman" w:cs="Times New Roman" w:eastAsia="Times New Roman" w:hAnsi="Times New Roman"/>
                <w:sz w:val="21"/>
                <w:szCs w:val="21"/>
              </w:rPr>
              <w:t xml:space="preserve">5</w:t>
            </w:r>
          </w:p>
        </w:tc>
        <w:tc>
          <w:tcPr>
            <w:tcW w:type="dxa" w:w="1400"/>
          </w:tcPr>
          <w:p>
            <w:pPr>
              <w:spacing w:line="360" w:lineRule="auto"/>
              <w:jc w:val="left"/>
            </w:pPr>
            <w:r>
              <w:rPr>
                <w:rFonts w:ascii="Times New Roman" w:cs="Times New Roman" w:eastAsia="Times New Roman" w:hAnsi="Times New Roman"/>
                <w:sz w:val="21"/>
                <w:szCs w:val="21"/>
              </w:rPr>
              <w:t xml:space="preserve">推广风险</w:t>
            </w:r>
          </w:p>
        </w:tc>
        <w:tc>
          <w:tcPr>
            <w:tcW w:type="dxa" w:w="2300"/>
          </w:tcPr>
          <w:p>
            <w:pPr>
              <w:spacing w:line="360" w:lineRule="auto"/>
              <w:jc w:val="left"/>
            </w:pPr>
            <w:r>
              <w:rPr>
                <w:rFonts w:ascii="Times New Roman" w:cs="Times New Roman" w:eastAsia="Times New Roman" w:hAnsi="Times New Roman"/>
                <w:sz w:val="21"/>
                <w:szCs w:val="21"/>
              </w:rPr>
              <w:t xml:space="preserve">AI试点成果在不同行业类型园区间推广时水土不服</w:t>
            </w:r>
          </w:p>
        </w:tc>
        <w:tc>
          <w:tcPr>
            <w:tcW w:type="dxa" w:w="1800"/>
          </w:tcPr>
          <w:p>
            <w:pPr>
              <w:spacing w:line="360" w:lineRule="auto"/>
              <w:jc w:val="left"/>
            </w:pPr>
            <w:r>
              <w:rPr>
                <w:rFonts w:ascii="Times New Roman" w:cs="Times New Roman" w:eastAsia="Times New Roman" w:hAnsi="Times New Roman"/>
                <w:sz w:val="21"/>
                <w:szCs w:val="21"/>
              </w:rPr>
              <w:t xml:space="preserve">低</w:t>
            </w:r>
          </w:p>
        </w:tc>
        <w:tc>
          <w:tcPr>
            <w:tcW w:type="dxa" w:w="2406"/>
          </w:tcPr>
          <w:p>
            <w:pPr>
              <w:spacing w:line="360" w:lineRule="auto"/>
              <w:jc w:val="left"/>
            </w:pPr>
            <w:r>
              <w:rPr>
                <w:rFonts w:ascii="Times New Roman" w:cs="Times New Roman" w:eastAsia="Times New Roman" w:hAnsi="Times New Roman"/>
                <w:sz w:val="21"/>
                <w:szCs w:val="21"/>
              </w:rPr>
              <w:t xml:space="preserve">知识图谱和联邦学习框架保障跨行业知识迁移能力；针对不同行业设备制定定制化建模模板；编制标准化部署操作手册并配套技术培训</w:t>
            </w:r>
          </w:p>
        </w:tc>
      </w:tr>
    </w:tbl>
    <w:p>
      <w:pPr>
        <w:pStyle w:val="Heading1"/>
        <w:pageBreakBefore/>
        <w:spacing w:after="60" w:before="120" w:line="360" w:lineRule="auto"/>
        <w:jc w:val="left"/>
      </w:pPr>
      <w:r>
        <w:rPr>
          <w:rFonts w:ascii="Times New Roman" w:cs="Times New Roman" w:eastAsia="Times New Roman" w:hAnsi="Times New Roman"/>
          <w:b/>
          <w:bCs/>
          <w:sz w:val="30"/>
          <w:szCs w:val="30"/>
        </w:rPr>
        <w:t xml:space="preserve">八、相关申报协议</w:t>
      </w:r>
    </w:p>
    <w:p>
      <w:pPr>
        <w:pStyle w:val="Heading2"/>
        <w:spacing w:after="60" w:before="60" w:line="360" w:lineRule="auto"/>
        <w:jc w:val="left"/>
      </w:pPr>
      <w:r>
        <w:rPr>
          <w:rFonts w:ascii="Times New Roman" w:cs="Times New Roman" w:eastAsia="Times New Roman" w:hAnsi="Times New Roman"/>
          <w:b/>
          <w:bCs/>
          <w:sz w:val="28"/>
          <w:szCs w:val="28"/>
        </w:rPr>
        <w:t xml:space="preserve">申报单位承诺</w:t>
      </w:r>
    </w:p>
    <w:p>
      <w:pPr>
        <w:spacing w:line="360" w:lineRule="auto"/>
        <w:ind w:firstLine="480"/>
        <w:jc w:val="both"/>
      </w:pPr>
      <w:r>
        <w:rPr>
          <w:rFonts w:ascii="Times New Roman" w:cs="Times New Roman" w:eastAsia="Times New Roman" w:hAnsi="Times New Roman"/>
          <w:sz w:val="24"/>
          <w:szCs w:val="24"/>
        </w:rPr>
        <w:t xml:space="preserve">本申报单位郑重承诺：</w:t>
      </w:r>
    </w:p>
    <w:p>
      <w:pPr>
        <w:spacing w:line="360" w:lineRule="auto"/>
        <w:ind w:firstLine="480"/>
        <w:jc w:val="both"/>
      </w:pPr>
      <w:r>
        <w:rPr>
          <w:rFonts w:ascii="Times New Roman" w:cs="Times New Roman" w:eastAsia="Times New Roman" w:hAnsi="Times New Roman"/>
          <w:sz w:val="24"/>
          <w:szCs w:val="24"/>
        </w:rPr>
        <w:t xml:space="preserve">一、申报材料内容真实、准确，无虚假信息。</w:t>
      </w:r>
    </w:p>
    <w:p>
      <w:pPr>
        <w:spacing w:line="360" w:lineRule="auto"/>
        <w:ind w:firstLine="480"/>
        <w:jc w:val="both"/>
      </w:pPr>
      <w:r>
        <w:rPr>
          <w:rFonts w:ascii="Times New Roman" w:cs="Times New Roman" w:eastAsia="Times New Roman" w:hAnsi="Times New Roman"/>
          <w:sz w:val="24"/>
          <w:szCs w:val="24"/>
        </w:rPr>
        <w:t xml:space="preserve">二、在不涉及商业秘密的情况下，愿将相关试点成果进行广泛推广和行业应用。</w:t>
      </w:r>
    </w:p>
    <w:p>
      <w:pPr>
        <w:spacing w:line="360" w:lineRule="auto"/>
        <w:ind w:firstLine="480"/>
        <w:jc w:val="both"/>
      </w:pPr>
      <w:r>
        <w:rPr>
          <w:rFonts w:ascii="Times New Roman" w:cs="Times New Roman" w:eastAsia="Times New Roman" w:hAnsi="Times New Roman"/>
          <w:sz w:val="24"/>
          <w:szCs w:val="24"/>
        </w:rPr>
        <w:t xml:space="preserve">三、严格遵守国家相关法律法规和项目管理制度，确保项目资金规范使用。</w:t>
      </w:r>
    </w:p>
    <w:p>
      <w:pPr>
        <w:spacing w:line="360" w:lineRule="auto"/>
        <w:ind w:firstLine="480"/>
        <w:jc w:val="both"/>
      </w:pPr>
      <w:r>
        <w:rPr>
          <w:rFonts w:ascii="Times New Roman" w:cs="Times New Roman" w:eastAsia="Times New Roman" w:hAnsi="Times New Roman"/>
          <w:sz w:val="24"/>
          <w:szCs w:val="24"/>
        </w:rPr>
        <w:t xml:space="preserve">特此承诺。</w:t>
      </w:r>
    </w:p>
    <w:p>
      <w:pPr>
        <w:spacing w:before="360"/>
      </w:pPr>
    </w:p>
    <w:p>
      <w:pPr>
        <w:spacing w:line="360" w:lineRule="auto"/>
        <w:ind w:firstLine="480"/>
        <w:jc w:val="both"/>
      </w:pPr>
      <w:r>
        <w:rPr>
          <w:rFonts w:ascii="Times New Roman" w:cs="Times New Roman" w:eastAsia="Times New Roman" w:hAnsi="Times New Roman"/>
          <w:sz w:val="24"/>
          <w:szCs w:val="24"/>
        </w:rPr>
        <w:t xml:space="preserve">申报单位（盖章）：                    （加盖申报单位公章）</w:t>
      </w:r>
    </w:p>
    <w:p>
      <w:pPr>
        <w:spacing w:before="120"/>
      </w:pPr>
    </w:p>
    <w:p>
      <w:pPr>
        <w:spacing w:line="360" w:lineRule="auto"/>
        <w:ind w:firstLine="480"/>
        <w:jc w:val="both"/>
      </w:pPr>
      <w:r>
        <w:rPr>
          <w:rFonts w:ascii="Times New Roman" w:cs="Times New Roman" w:eastAsia="Times New Roman" w:hAnsi="Times New Roman"/>
          <w:sz w:val="24"/>
          <w:szCs w:val="24"/>
        </w:rPr>
        <w:t xml:space="preserve">日期：2026年    月    日</w:t>
      </w:r>
    </w:p>
    <w:sectPr>
      <w:footerReference w:type="default" r:id="rId7"/>
      <w:pgSz w:w="11906" w:h="16838" w:orient="portrait"/>
      <w:pgMar w:top="1440" w:right="1800" w:bottom="1440" w:left="1800" w:header="708" w:footer="992"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line="360" w:lineRule="auto"/>
      <w:jc w:val="left"/>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60" w:before="60" w:line="360" w:lineRule="auto"/>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60" w:line="360" w:lineRule="auto"/>
      <w:jc w:val="left"/>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2026-06-04T10:29:15.513Z</dcterms:created>
  <dcterms:modified xsi:type="dcterms:W3CDTF">2026-06-04T10:29:15.534Z</dcterms:modified>
</cp:coreProperties>
</file>

<file path=docProps/custom.xml><?xml version="1.0" encoding="utf-8"?>
<Properties xmlns="http://schemas.openxmlformats.org/officeDocument/2006/custom-properties" xmlns:vt="http://schemas.openxmlformats.org/officeDocument/2006/docPropsVTypes"/>
</file>