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B47C9">
      <w:pPr>
        <w:spacing w:before="480" w:after="480" w:line="288" w:lineRule="auto"/>
        <w:ind w:left="0"/>
      </w:pPr>
      <w:bookmarkStart w:id="3" w:name="_GoBack"/>
      <w:bookmarkEnd w:id="3"/>
      <w:r>
        <w:rPr>
          <w:rFonts w:ascii="Arial" w:hAnsi="Arial" w:eastAsia="等线" w:cs="Arial"/>
          <w:b/>
          <w:sz w:val="52"/>
        </w:rPr>
        <w:t>虚拟电厂多时空尺度智能协同运营</w:t>
      </w:r>
    </w:p>
    <w:p w14:paraId="1AE168CB">
      <w:pPr>
        <w:spacing w:before="380" w:after="140" w:line="288" w:lineRule="auto"/>
        <w:ind w:left="0"/>
        <w:jc w:val="left"/>
        <w:outlineLvl w:val="0"/>
      </w:pPr>
      <w:bookmarkStart w:id="0" w:name="heading_0"/>
      <w:r>
        <w:rPr>
          <w:rFonts w:ascii="Arial" w:hAnsi="Arial" w:eastAsia="等线" w:cs="Arial"/>
          <w:b/>
          <w:sz w:val="36"/>
        </w:rPr>
        <w:t>1. 场景说明</w:t>
      </w:r>
      <w:bookmarkEnd w:id="0"/>
    </w:p>
    <w:p w14:paraId="176F9F6E">
      <w:pPr>
        <w:keepNext w:val="0"/>
        <w:keepLines w:val="0"/>
        <w:pageBreakBefore w:val="0"/>
        <w:widowControl w:val="0"/>
        <w:kinsoku/>
        <w:wordWrap/>
        <w:overflowPunct/>
        <w:topLinePunct w:val="0"/>
        <w:autoSpaceDE/>
        <w:autoSpaceDN/>
        <w:bidi w:val="0"/>
        <w:adjustRightInd/>
        <w:snapToGrid/>
        <w:spacing w:before="120" w:after="120" w:line="288"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虚拟电厂作为整合分布式电源、可调节负荷及储能等海量分散资源的新型能源组织形式，对增强电力保供能力、促进新能源消纳、完善电力市场体系具有重要作用。当前，虚拟电厂在规模化发展过程中面临多源异构数据特征提取困难，难以有效融合设备台账、生产工艺及市场规则等非结构化信息；负荷预测精度受限，尤其在极端气象、节假日及高比例新能源扰动场景下预测偏差较大；资源调节潜力评估可信度不足，物理机理与数据驱动方法融合不深；海量分布式资源协同调控效率偏低，高维约束条件下优化求解响应迟缓；电力市场交易风险较高，现货电价剧烈波动场景下决策支撑能力薄弱；业务闭环能力较弱，生产运行、协同调控与市场交易环节尚未形成一体化运营体系。为解决上述难题，本场景拟着力在以下几个方面开展赋能应用：</w:t>
      </w:r>
    </w:p>
    <w:p w14:paraId="241F0466">
      <w:pPr>
        <w:keepNext w:val="0"/>
        <w:keepLines w:val="0"/>
        <w:pageBreakBefore w:val="0"/>
        <w:widowControl w:val="0"/>
        <w:kinsoku/>
        <w:wordWrap/>
        <w:overflowPunct/>
        <w:topLinePunct w:val="0"/>
        <w:autoSpaceDE/>
        <w:autoSpaceDN/>
        <w:bidi w:val="0"/>
        <w:adjustRightInd/>
        <w:snapToGrid/>
        <w:spacing w:before="120" w:after="120" w:line="288"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b/>
          <w:sz w:val="24"/>
          <w:szCs w:val="24"/>
        </w:rPr>
        <w:t>多源异构数据特征治理</w:t>
      </w:r>
      <w:r>
        <w:rPr>
          <w:rFonts w:hint="eastAsia" w:ascii="宋体" w:hAnsi="宋体" w:eastAsia="宋体" w:cs="宋体"/>
          <w:sz w:val="24"/>
          <w:szCs w:val="24"/>
        </w:rPr>
        <w:t>。运用人工智能技术对合同、设备、工艺及市场规则等非结构化数据进行深度语义理解与结构化提取，形成资源运行约束与业务语义的统一表达能力，提升数据治理的智能化水平。</w:t>
      </w:r>
    </w:p>
    <w:p w14:paraId="32EDC379">
      <w:pPr>
        <w:keepNext w:val="0"/>
        <w:keepLines w:val="0"/>
        <w:pageBreakBefore w:val="0"/>
        <w:widowControl w:val="0"/>
        <w:kinsoku/>
        <w:wordWrap/>
        <w:overflowPunct/>
        <w:topLinePunct w:val="0"/>
        <w:autoSpaceDE/>
        <w:autoSpaceDN/>
        <w:bidi w:val="0"/>
        <w:adjustRightInd/>
        <w:snapToGrid/>
        <w:spacing w:before="120" w:after="120" w:line="288"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b/>
          <w:sz w:val="24"/>
          <w:szCs w:val="24"/>
        </w:rPr>
        <w:t>聚合资源负荷预测</w:t>
      </w:r>
      <w:r>
        <w:rPr>
          <w:rFonts w:hint="eastAsia" w:ascii="宋体" w:hAnsi="宋体" w:eastAsia="宋体" w:cs="宋体"/>
          <w:sz w:val="24"/>
          <w:szCs w:val="24"/>
        </w:rPr>
        <w:t>。运用人工智能技术增强极端气象、节假日及高比例新能源扰动场景下的负荷预测精度与模型泛化能力，提升预测结果在复杂工况下的可靠性。</w:t>
      </w:r>
    </w:p>
    <w:p w14:paraId="255A078D">
      <w:pPr>
        <w:keepNext w:val="0"/>
        <w:keepLines w:val="0"/>
        <w:pageBreakBefore w:val="0"/>
        <w:widowControl w:val="0"/>
        <w:kinsoku/>
        <w:wordWrap/>
        <w:overflowPunct/>
        <w:topLinePunct w:val="0"/>
        <w:autoSpaceDE/>
        <w:autoSpaceDN/>
        <w:bidi w:val="0"/>
        <w:adjustRightInd/>
        <w:snapToGrid/>
        <w:spacing w:before="120" w:after="120" w:line="288"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（3）</w:t>
      </w:r>
      <w:r>
        <w:rPr>
          <w:rFonts w:hint="eastAsia" w:ascii="宋体" w:hAnsi="宋体" w:eastAsia="宋体" w:cs="宋体"/>
          <w:b/>
          <w:sz w:val="24"/>
          <w:szCs w:val="24"/>
        </w:rPr>
        <w:t>资源调节潜力评估</w:t>
      </w:r>
      <w:r>
        <w:rPr>
          <w:rFonts w:hint="eastAsia" w:ascii="宋体" w:hAnsi="宋体" w:eastAsia="宋体" w:cs="宋体"/>
          <w:sz w:val="24"/>
          <w:szCs w:val="24"/>
        </w:rPr>
        <w:t>。运用人工智能技术融合物理机理约束与数据驱动方法，提升聚合资源可调能力的评估精度，增强调节能力评估结果的可信度。</w:t>
      </w:r>
    </w:p>
    <w:p w14:paraId="497459C3">
      <w:pPr>
        <w:keepNext w:val="0"/>
        <w:keepLines w:val="0"/>
        <w:pageBreakBefore w:val="0"/>
        <w:widowControl w:val="0"/>
        <w:kinsoku/>
        <w:wordWrap/>
        <w:overflowPunct/>
        <w:topLinePunct w:val="0"/>
        <w:autoSpaceDE/>
        <w:autoSpaceDN/>
        <w:bidi w:val="0"/>
        <w:adjustRightInd/>
        <w:snapToGrid/>
        <w:spacing w:before="120" w:after="120" w:line="288"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eastAsia="宋体" w:cs="宋体"/>
          <w:b/>
          <w:sz w:val="24"/>
          <w:szCs w:val="24"/>
        </w:rPr>
        <w:t>资源协同调控</w:t>
      </w:r>
      <w:r>
        <w:rPr>
          <w:rFonts w:hint="eastAsia" w:ascii="宋体" w:hAnsi="宋体" w:eastAsia="宋体" w:cs="宋体"/>
          <w:sz w:val="24"/>
          <w:szCs w:val="24"/>
        </w:rPr>
        <w:t>。运用人工智能技术提升海量分布式资源在高维约束条件下的协同优化求解效率，强化“电网—虚拟电厂—聚合资源”之间跨时间尺度（秒级、分钟级、日前）的动态调控一致性。</w:t>
      </w:r>
    </w:p>
    <w:p w14:paraId="7174664C">
      <w:pPr>
        <w:keepNext w:val="0"/>
        <w:keepLines w:val="0"/>
        <w:pageBreakBefore w:val="0"/>
        <w:widowControl w:val="0"/>
        <w:kinsoku/>
        <w:wordWrap/>
        <w:overflowPunct/>
        <w:topLinePunct w:val="0"/>
        <w:autoSpaceDE/>
        <w:autoSpaceDN/>
        <w:bidi w:val="0"/>
        <w:adjustRightInd/>
        <w:snapToGrid/>
        <w:spacing w:before="120" w:after="120" w:line="288"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（5）</w:t>
      </w:r>
      <w:r>
        <w:rPr>
          <w:rFonts w:hint="eastAsia" w:ascii="宋体" w:hAnsi="宋体" w:eastAsia="宋体" w:cs="宋体"/>
          <w:b/>
          <w:sz w:val="24"/>
          <w:szCs w:val="24"/>
        </w:rPr>
        <w:t>电力市场交易</w:t>
      </w:r>
      <w:r>
        <w:rPr>
          <w:rFonts w:hint="eastAsia" w:ascii="宋体" w:hAnsi="宋体" w:eastAsia="宋体" w:cs="宋体"/>
          <w:sz w:val="24"/>
          <w:szCs w:val="24"/>
        </w:rPr>
        <w:t>。运用人工智能技术提升现货电价（尤其是尖峰及负电价）预测能力，增强复杂市场环境下的风险识别与交易决策支持能力。</w:t>
      </w:r>
    </w:p>
    <w:p w14:paraId="29AE4128">
      <w:pPr>
        <w:keepNext w:val="0"/>
        <w:keepLines w:val="0"/>
        <w:pageBreakBefore w:val="0"/>
        <w:widowControl w:val="0"/>
        <w:kinsoku/>
        <w:wordWrap/>
        <w:overflowPunct/>
        <w:topLinePunct w:val="0"/>
        <w:autoSpaceDE/>
        <w:autoSpaceDN/>
        <w:bidi w:val="0"/>
        <w:adjustRightInd/>
        <w:snapToGrid/>
        <w:spacing w:before="120" w:after="120" w:line="288"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（6）</w:t>
      </w:r>
      <w:r>
        <w:rPr>
          <w:rFonts w:hint="eastAsia" w:ascii="宋体" w:hAnsi="宋体" w:eastAsia="宋体" w:cs="宋体"/>
          <w:b/>
          <w:sz w:val="24"/>
          <w:szCs w:val="24"/>
        </w:rPr>
        <w:t>“产调销”一体化运营</w:t>
      </w:r>
      <w:r>
        <w:rPr>
          <w:rFonts w:hint="eastAsia" w:ascii="宋体" w:hAnsi="宋体" w:eastAsia="宋体" w:cs="宋体"/>
          <w:sz w:val="24"/>
          <w:szCs w:val="24"/>
        </w:rPr>
        <w:t>。运用人工智能技术打通“生产运行—协同调控—市场交易”全链路，提升策略协同与自动化闭环执行能力，实现虚拟电厂运营效率的整体跃升。</w:t>
      </w:r>
    </w:p>
    <w:p w14:paraId="39647324">
      <w:pPr>
        <w:spacing w:before="380" w:after="140" w:line="288" w:lineRule="auto"/>
        <w:ind w:left="0"/>
        <w:jc w:val="left"/>
        <w:outlineLvl w:val="0"/>
      </w:pPr>
      <w:bookmarkStart w:id="1" w:name="heading_1"/>
      <w:r>
        <w:rPr>
          <w:rFonts w:ascii="Arial" w:hAnsi="Arial" w:eastAsia="等线" w:cs="Arial"/>
          <w:b/>
          <w:sz w:val="36"/>
        </w:rPr>
        <w:t>2. 关键指标</w:t>
      </w:r>
      <w:bookmarkEnd w:id="1"/>
    </w:p>
    <w:p w14:paraId="242E78C9">
      <w:pPr>
        <w:keepNext w:val="0"/>
        <w:keepLines w:val="0"/>
        <w:pageBreakBefore w:val="0"/>
        <w:widowControl w:val="0"/>
        <w:kinsoku/>
        <w:wordWrap/>
        <w:overflowPunct/>
        <w:topLinePunct w:val="0"/>
        <w:autoSpaceDE/>
        <w:autoSpaceDN/>
        <w:bidi w:val="0"/>
        <w:adjustRightInd/>
        <w:snapToGrid/>
        <w:spacing w:before="120" w:after="120" w:line="288"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（1）在多源异构数据特征治理环节，异构非结构化数据（意愿、约束、政策）自动化提取召回率≥95%。</w:t>
      </w:r>
    </w:p>
    <w:p w14:paraId="7F100F45">
      <w:pPr>
        <w:keepNext w:val="0"/>
        <w:keepLines w:val="0"/>
        <w:pageBreakBefore w:val="0"/>
        <w:widowControl w:val="0"/>
        <w:kinsoku/>
        <w:wordWrap/>
        <w:overflowPunct/>
        <w:topLinePunct w:val="0"/>
        <w:autoSpaceDE/>
        <w:autoSpaceDN/>
        <w:bidi w:val="0"/>
        <w:adjustRightInd/>
        <w:snapToGrid/>
        <w:spacing w:before="120" w:after="120" w:line="288"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（2）常规日平均负荷预测准确率≥95%，极端突发工况（如极端气象/节假日）下日负荷预测偏差率均方根≤10%。</w:t>
      </w:r>
    </w:p>
    <w:p w14:paraId="79B8C3BE">
      <w:pPr>
        <w:keepNext w:val="0"/>
        <w:keepLines w:val="0"/>
        <w:pageBreakBefore w:val="0"/>
        <w:widowControl w:val="0"/>
        <w:kinsoku/>
        <w:wordWrap/>
        <w:overflowPunct/>
        <w:topLinePunct w:val="0"/>
        <w:autoSpaceDE/>
        <w:autoSpaceDN/>
        <w:bidi w:val="0"/>
        <w:adjustRightInd/>
        <w:snapToGrid/>
        <w:spacing w:before="120" w:after="120" w:line="288"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（3）在资源调节潜力精准评估响应量系数由60%提升至90%以上。</w:t>
      </w:r>
    </w:p>
    <w:p w14:paraId="68D2B7DB">
      <w:pPr>
        <w:keepNext w:val="0"/>
        <w:keepLines w:val="0"/>
        <w:pageBreakBefore w:val="0"/>
        <w:widowControl w:val="0"/>
        <w:kinsoku/>
        <w:wordWrap/>
        <w:overflowPunct/>
        <w:topLinePunct w:val="0"/>
        <w:autoSpaceDE/>
        <w:autoSpaceDN/>
        <w:bidi w:val="0"/>
        <w:adjustRightInd/>
        <w:snapToGrid/>
        <w:spacing w:before="120" w:after="120" w:line="288"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（4）负荷调控策略执行成功率≥90%，底层调控指令自动化下发率≥99%，资源整体协同调控执行偏差率≤10%。</w:t>
      </w:r>
    </w:p>
    <w:p w14:paraId="2909B45B">
      <w:pPr>
        <w:keepNext w:val="0"/>
        <w:keepLines w:val="0"/>
        <w:pageBreakBefore w:val="0"/>
        <w:widowControl w:val="0"/>
        <w:kinsoku/>
        <w:wordWrap/>
        <w:overflowPunct/>
        <w:topLinePunct w:val="0"/>
        <w:autoSpaceDE/>
        <w:autoSpaceDN/>
        <w:bidi w:val="0"/>
        <w:adjustRightInd/>
        <w:snapToGrid/>
        <w:spacing w:before="120" w:after="120" w:line="288"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（5）日前电价预测准确率≥85%，实时电价预测准确率≥80%，全省多节点预测结果生成≤5分钟。</w:t>
      </w:r>
    </w:p>
    <w:p w14:paraId="301EDBE9">
      <w:pPr>
        <w:keepNext w:val="0"/>
        <w:keepLines w:val="0"/>
        <w:pageBreakBefore w:val="0"/>
        <w:widowControl w:val="0"/>
        <w:kinsoku/>
        <w:wordWrap/>
        <w:overflowPunct/>
        <w:topLinePunct w:val="0"/>
        <w:autoSpaceDE/>
        <w:autoSpaceDN/>
        <w:bidi w:val="0"/>
        <w:adjustRightInd/>
        <w:snapToGrid/>
        <w:spacing w:before="120" w:after="120" w:line="288" w:lineRule="auto"/>
        <w:ind w:lef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（6）交易策略生成时间≤15分钟，日前交易策略命中率≥65%。</w:t>
      </w:r>
    </w:p>
    <w:p w14:paraId="4F31E186">
      <w:pPr>
        <w:spacing w:before="380" w:after="140" w:line="288" w:lineRule="auto"/>
        <w:ind w:left="0"/>
        <w:jc w:val="left"/>
        <w:outlineLvl w:val="0"/>
      </w:pPr>
      <w:bookmarkStart w:id="2" w:name="heading_2"/>
      <w:r>
        <w:rPr>
          <w:rFonts w:ascii="Arial" w:hAnsi="Arial" w:eastAsia="等线" w:cs="Arial"/>
          <w:b/>
          <w:sz w:val="36"/>
        </w:rPr>
        <w:t>3. 指标说明表</w:t>
      </w:r>
      <w:bookmarkEnd w:id="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FA5EA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vAlign w:val="center"/>
          </w:tcPr>
          <w:p w14:paraId="6BE275F1">
            <w:pPr>
              <w:spacing w:before="120" w:after="120" w:line="288" w:lineRule="auto"/>
              <w:ind w:left="0"/>
              <w:jc w:val="center"/>
              <w:rPr>
                <w:sz w:val="24"/>
                <w:szCs w:val="24"/>
              </w:rPr>
            </w:pPr>
            <w:r>
              <w:rPr>
                <w:rFonts w:ascii="Arial" w:hAnsi="Arial" w:eastAsia="等线" w:cs="Arial"/>
                <w:sz w:val="24"/>
                <w:szCs w:val="24"/>
              </w:rPr>
              <w:t>指标名称</w:t>
            </w:r>
          </w:p>
        </w:tc>
        <w:tc>
          <w:tcPr>
            <w:tcW w:w="2760" w:type="dxa"/>
            <w:tcMar>
              <w:top w:w="60" w:type="dxa"/>
              <w:left w:w="120" w:type="dxa"/>
              <w:bottom w:w="30" w:type="dxa"/>
              <w:right w:w="120" w:type="dxa"/>
            </w:tcMar>
            <w:vAlign w:val="center"/>
          </w:tcPr>
          <w:p w14:paraId="1D8AF1B7">
            <w:pPr>
              <w:spacing w:before="120" w:after="120" w:line="288" w:lineRule="auto"/>
              <w:ind w:left="0"/>
              <w:jc w:val="both"/>
              <w:rPr>
                <w:sz w:val="24"/>
                <w:szCs w:val="24"/>
              </w:rPr>
            </w:pPr>
            <w:r>
              <w:rPr>
                <w:rFonts w:ascii="Arial" w:hAnsi="Arial" w:eastAsia="等线" w:cs="Arial"/>
                <w:sz w:val="24"/>
                <w:szCs w:val="24"/>
              </w:rPr>
              <w:t>指标描述</w:t>
            </w:r>
          </w:p>
        </w:tc>
        <w:tc>
          <w:tcPr>
            <w:tcW w:w="2760" w:type="dxa"/>
            <w:tcMar>
              <w:top w:w="60" w:type="dxa"/>
              <w:left w:w="120" w:type="dxa"/>
              <w:bottom w:w="30" w:type="dxa"/>
              <w:right w:w="120" w:type="dxa"/>
            </w:tcMar>
            <w:vAlign w:val="center"/>
          </w:tcPr>
          <w:p w14:paraId="42277258">
            <w:pPr>
              <w:spacing w:before="120" w:after="120" w:line="288" w:lineRule="auto"/>
              <w:ind w:left="0"/>
              <w:jc w:val="both"/>
              <w:rPr>
                <w:sz w:val="24"/>
                <w:szCs w:val="24"/>
              </w:rPr>
            </w:pPr>
            <w:r>
              <w:rPr>
                <w:rFonts w:ascii="Arial" w:hAnsi="Arial" w:eastAsia="等线" w:cs="Arial"/>
                <w:sz w:val="24"/>
                <w:szCs w:val="24"/>
              </w:rPr>
              <w:t>计算方法</w:t>
            </w:r>
          </w:p>
        </w:tc>
      </w:tr>
      <w:tr w14:paraId="56E31E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vAlign w:val="center"/>
          </w:tcPr>
          <w:p w14:paraId="3F17F36B">
            <w:pPr>
              <w:spacing w:before="120" w:after="120" w:line="288" w:lineRule="auto"/>
              <w:ind w:left="0"/>
              <w:jc w:val="center"/>
              <w:rPr>
                <w:sz w:val="24"/>
                <w:szCs w:val="24"/>
              </w:rPr>
            </w:pPr>
            <w:r>
              <w:rPr>
                <w:rFonts w:ascii="Arial" w:hAnsi="Arial" w:eastAsia="等线" w:cs="Arial"/>
                <w:sz w:val="24"/>
                <w:szCs w:val="24"/>
              </w:rPr>
              <w:t>提取关键信息样本召回率</w:t>
            </w:r>
          </w:p>
        </w:tc>
        <w:tc>
          <w:tcPr>
            <w:tcW w:w="2760" w:type="dxa"/>
            <w:tcMar>
              <w:top w:w="60" w:type="dxa"/>
              <w:left w:w="120" w:type="dxa"/>
              <w:bottom w:w="30" w:type="dxa"/>
              <w:right w:w="120" w:type="dxa"/>
            </w:tcMar>
            <w:vAlign w:val="center"/>
          </w:tcPr>
          <w:p w14:paraId="2D270D9E">
            <w:pPr>
              <w:spacing w:before="120" w:after="120" w:line="288" w:lineRule="auto"/>
              <w:ind w:left="0"/>
              <w:jc w:val="both"/>
              <w:rPr>
                <w:sz w:val="24"/>
                <w:szCs w:val="24"/>
              </w:rPr>
            </w:pPr>
            <w:r>
              <w:rPr>
                <w:rFonts w:ascii="Arial" w:hAnsi="Arial" w:eastAsia="等线" w:cs="Arial"/>
                <w:sz w:val="24"/>
                <w:szCs w:val="24"/>
              </w:rPr>
              <w:t>在检索增强生成（RAG）中，正确提取并匹配的关键信息样本数占关键信息总样本数的比例。</w:t>
            </w:r>
          </w:p>
        </w:tc>
        <w:tc>
          <w:tcPr>
            <w:tcW w:w="2760" w:type="dxa"/>
            <w:tcMar>
              <w:top w:w="60" w:type="dxa"/>
              <w:left w:w="120" w:type="dxa"/>
              <w:bottom w:w="30" w:type="dxa"/>
              <w:right w:w="120" w:type="dxa"/>
            </w:tcMar>
            <w:vAlign w:val="center"/>
          </w:tcPr>
          <w:p w14:paraId="4F0E7590">
            <w:pPr>
              <w:spacing w:before="120" w:after="120" w:line="288" w:lineRule="auto"/>
              <w:ind w:left="0"/>
              <w:jc w:val="both"/>
              <w:rPr>
                <w:sz w:val="24"/>
                <w:szCs w:val="24"/>
              </w:rPr>
            </w:pPr>
            <w:r>
              <w:rPr>
                <w:rFonts w:ascii="Arial" w:hAnsi="Arial" w:eastAsia="等线" w:cs="Arial"/>
                <w:sz w:val="24"/>
                <w:szCs w:val="24"/>
              </w:rPr>
              <w:t>正确提取并匹配的关键信息样本数（真正例）/数据集中实际包含的关键信息总样本数（真正例+假反例） ×100%</w:t>
            </w:r>
          </w:p>
        </w:tc>
      </w:tr>
      <w:tr w14:paraId="4C2BB6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vAlign w:val="center"/>
          </w:tcPr>
          <w:p w14:paraId="3D4D5D61">
            <w:pPr>
              <w:spacing w:before="120" w:after="120" w:line="288" w:lineRule="auto"/>
              <w:ind w:left="0"/>
              <w:jc w:val="center"/>
              <w:rPr>
                <w:sz w:val="24"/>
                <w:szCs w:val="24"/>
              </w:rPr>
            </w:pPr>
            <w:r>
              <w:rPr>
                <w:rFonts w:ascii="Arial" w:hAnsi="Arial" w:eastAsia="等线" w:cs="Arial"/>
                <w:sz w:val="24"/>
                <w:szCs w:val="24"/>
              </w:rPr>
              <w:t>日平均负荷预测准确率</w:t>
            </w:r>
          </w:p>
        </w:tc>
        <w:tc>
          <w:tcPr>
            <w:tcW w:w="2760" w:type="dxa"/>
            <w:tcMar>
              <w:top w:w="60" w:type="dxa"/>
              <w:left w:w="120" w:type="dxa"/>
              <w:bottom w:w="30" w:type="dxa"/>
              <w:right w:w="120" w:type="dxa"/>
            </w:tcMar>
            <w:vAlign w:val="center"/>
          </w:tcPr>
          <w:p w14:paraId="0BFA5969">
            <w:pPr>
              <w:spacing w:before="120" w:after="120" w:line="288" w:lineRule="auto"/>
              <w:ind w:left="0"/>
              <w:jc w:val="both"/>
              <w:rPr>
                <w:sz w:val="24"/>
                <w:szCs w:val="24"/>
              </w:rPr>
            </w:pPr>
            <w:r>
              <w:rPr>
                <w:rFonts w:ascii="Arial" w:hAnsi="Arial" w:eastAsia="等线" w:cs="Arial"/>
                <w:sz w:val="24"/>
                <w:szCs w:val="24"/>
              </w:rPr>
              <w:t>AI提升负荷预测精度后，每日不同时刻i负荷预测准确率的均值，反映模型预测的离散程度和精确度。</w:t>
            </w:r>
          </w:p>
        </w:tc>
        <w:tc>
          <w:tcPr>
            <w:tcW w:w="2760" w:type="dxa"/>
            <w:tcMar>
              <w:top w:w="60" w:type="dxa"/>
              <w:left w:w="120" w:type="dxa"/>
              <w:bottom w:w="30" w:type="dxa"/>
              <w:right w:w="120" w:type="dxa"/>
            </w:tcMar>
            <w:vAlign w:val="center"/>
          </w:tcPr>
          <w:p w14:paraId="3F974905">
            <w:pPr>
              <w:spacing w:before="120" w:after="120" w:line="288" w:lineRule="auto"/>
              <w:ind w:left="0"/>
              <w:jc w:val="both"/>
              <w:rPr>
                <w:sz w:val="24"/>
                <w:szCs w:val="24"/>
              </w:rPr>
            </w:pPr>
            <w:r>
              <w:rPr>
                <w:rFonts w:ascii="Arial" w:hAnsi="Arial" w:eastAsia="等线" w:cs="Arial"/>
                <w:sz w:val="24"/>
                <w:szCs w:val="24"/>
              </w:rPr>
              <w:t>（1-日负荷预测偏差率均方根）×100%</w:t>
            </w:r>
          </w:p>
        </w:tc>
      </w:tr>
      <w:tr w14:paraId="1836B1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vAlign w:val="center"/>
          </w:tcPr>
          <w:p w14:paraId="63AE0E30">
            <w:pPr>
              <w:spacing w:before="120" w:after="120" w:line="288" w:lineRule="auto"/>
              <w:ind w:left="0"/>
              <w:jc w:val="center"/>
              <w:rPr>
                <w:sz w:val="24"/>
                <w:szCs w:val="24"/>
              </w:rPr>
            </w:pPr>
            <w:r>
              <w:rPr>
                <w:rFonts w:ascii="Arial" w:hAnsi="Arial" w:eastAsia="等线" w:cs="Arial"/>
                <w:sz w:val="24"/>
                <w:szCs w:val="24"/>
              </w:rPr>
              <w:t>日负荷预测偏差率均方根</w:t>
            </w:r>
          </w:p>
        </w:tc>
        <w:tc>
          <w:tcPr>
            <w:tcW w:w="2760" w:type="dxa"/>
            <w:tcMar>
              <w:top w:w="60" w:type="dxa"/>
              <w:left w:w="120" w:type="dxa"/>
              <w:bottom w:w="30" w:type="dxa"/>
              <w:right w:w="120" w:type="dxa"/>
            </w:tcMar>
            <w:vAlign w:val="center"/>
          </w:tcPr>
          <w:p w14:paraId="78B67434">
            <w:pPr>
              <w:spacing w:before="120" w:after="120" w:line="288" w:lineRule="auto"/>
              <w:ind w:left="0"/>
              <w:jc w:val="both"/>
              <w:rPr>
                <w:sz w:val="24"/>
                <w:szCs w:val="24"/>
              </w:rPr>
            </w:pPr>
            <w:r>
              <w:rPr>
                <w:rFonts w:ascii="Arial" w:hAnsi="Arial" w:eastAsia="等线" w:cs="Arial"/>
                <w:sz w:val="24"/>
                <w:szCs w:val="24"/>
              </w:rPr>
              <w:t>AI提升负荷预测精度后，每日不同时刻i负荷预测偏差率的均方根，反映模型预测的离散程度和精确度。</w:t>
            </w:r>
          </w:p>
        </w:tc>
        <w:tc>
          <w:tcPr>
            <w:tcW w:w="2760" w:type="dxa"/>
            <w:tcMar>
              <w:top w:w="60" w:type="dxa"/>
              <w:left w:w="120" w:type="dxa"/>
              <w:bottom w:w="30" w:type="dxa"/>
              <w:right w:w="120" w:type="dxa"/>
            </w:tcMar>
            <w:vAlign w:val="center"/>
          </w:tcPr>
          <w:p w14:paraId="5B7B0BE0">
            <w:pPr>
              <w:spacing w:before="120" w:after="120" w:line="288" w:lineRule="auto"/>
              <w:ind w:left="0"/>
              <w:jc w:val="both"/>
              <w:rPr>
                <w:rFonts w:hAnsi="Cambria Math"/>
                <w:i w:val="0"/>
                <w:sz w:val="24"/>
                <w:szCs w:val="24"/>
              </w:rPr>
            </w:pPr>
          </w:p>
          <w:p w14:paraId="7A82CB1B">
            <w:pPr>
              <w:spacing w:before="120" w:after="120" w:line="288" w:lineRule="auto"/>
              <w:ind w:left="0"/>
              <w:jc w:val="both"/>
              <w:rPr>
                <w:rFonts w:hint="default" w:hAnsi="Cambria Math"/>
                <w:i w:val="0"/>
                <w:sz w:val="24"/>
                <w:szCs w:val="24"/>
              </w:rPr>
            </w:pPr>
            <m:oMathPara>
              <m:oMath>
                <m:r>
                  <m:rPr>
                    <m:sty m:val="p"/>
                  </m:rPr>
                  <w:rPr>
                    <w:rFonts w:hint="default" w:ascii="Cambria Math" w:hAnsi="Cambria Math"/>
                    <w:sz w:val="24"/>
                    <w:szCs w:val="24"/>
                  </w:rPr>
                  <m:t>RMSE</m:t>
                </m:r>
                <m:r>
                  <m:rPr/>
                  <w:rPr>
                    <w:rFonts w:hint="default" w:ascii="Cambria Math" w:hAnsi="Cambria Math"/>
                    <w:sz w:val="24"/>
                    <w:szCs w:val="24"/>
                  </w:rPr>
                  <m:t>=</m:t>
                </m:r>
                <m:rad>
                  <m:radPr>
                    <m:degHide m:val="1"/>
                    <m:ctrlPr>
                      <w:rPr>
                        <w:rFonts w:hint="default" w:ascii="Cambria Math" w:hAnsi="Cambria Math"/>
                        <w:sz w:val="24"/>
                        <w:szCs w:val="24"/>
                      </w:rPr>
                    </m:ctrlPr>
                  </m:radPr>
                  <m:deg>
                    <m:ctrlPr>
                      <w:rPr>
                        <w:rFonts w:ascii="Cambria Math" w:hAnsi="Cambria Math"/>
                        <w:sz w:val="24"/>
                        <w:szCs w:val="24"/>
                      </w:rPr>
                    </m:ctrlPr>
                  </m:deg>
                  <m:e>
                    <m:f>
                      <m:fPr>
                        <m:ctrlPr>
                          <w:rPr>
                            <w:rFonts w:hint="default" w:ascii="Cambria Math" w:hAnsi="Cambria Math"/>
                            <w:sz w:val="24"/>
                            <w:szCs w:val="24"/>
                          </w:rPr>
                        </m:ctrlPr>
                      </m:fPr>
                      <m:num>
                        <m:r>
                          <m:rPr/>
                          <w:rPr>
                            <w:rFonts w:hint="default" w:ascii="Cambria Math" w:hAnsi="Cambria Math"/>
                            <w:sz w:val="24"/>
                            <w:szCs w:val="24"/>
                          </w:rPr>
                          <m:t>1</m:t>
                        </m:r>
                        <m:ctrlPr>
                          <w:rPr>
                            <w:rFonts w:ascii="Cambria Math" w:hAnsi="Cambria Math"/>
                            <w:sz w:val="24"/>
                            <w:szCs w:val="24"/>
                          </w:rPr>
                        </m:ctrlPr>
                      </m:num>
                      <m:den>
                        <m:r>
                          <m:rPr/>
                          <w:rPr>
                            <w:rFonts w:hint="default" w:ascii="Cambria Math" w:hAnsi="Cambria Math"/>
                            <w:sz w:val="24"/>
                            <w:szCs w:val="24"/>
                          </w:rPr>
                          <m:t>n</m:t>
                        </m:r>
                        <m:ctrlPr>
                          <w:rPr>
                            <w:rFonts w:ascii="Cambria Math" w:hAnsi="Cambria Math"/>
                            <w:sz w:val="24"/>
                            <w:szCs w:val="24"/>
                          </w:rPr>
                        </m:ctrlPr>
                      </m:den>
                    </m:f>
                    <m:nary>
                      <m:naryPr>
                        <m:chr m:val="∑"/>
                        <m:limLoc m:val="subSup"/>
                        <m:ctrlPr>
                          <w:rPr>
                            <w:rFonts w:hint="default" w:ascii="Cambria Math" w:hAnsi="Cambria Math"/>
                            <w:sz w:val="24"/>
                            <w:szCs w:val="24"/>
                          </w:rPr>
                        </m:ctrlPr>
                      </m:naryPr>
                      <m:sub>
                        <m:r>
                          <m:rPr/>
                          <w:rPr>
                            <w:rFonts w:hint="default" w:ascii="Cambria Math" w:hAnsi="Cambria Math"/>
                            <w:sz w:val="24"/>
                            <w:szCs w:val="24"/>
                          </w:rPr>
                          <m:t>i=1</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e>
                        <m:sSubSup>
                          <m:sSubSupPr>
                            <m:ctrlPr>
                              <w:rPr>
                                <w:rFonts w:hint="default" w:ascii="Cambria Math" w:hAnsi="Cambria Math"/>
                                <w:sz w:val="24"/>
                                <w:szCs w:val="24"/>
                              </w:rPr>
                            </m:ctrlPr>
                          </m:sSubSupPr>
                          <m:e>
                            <m:r>
                              <m:rPr>
                                <m:sty m:val="p"/>
                              </m:rPr>
                              <w:rPr>
                                <w:rFonts w:hint="default" w:ascii="Cambria Math" w:hAnsi="Cambria Math"/>
                                <w:sz w:val="24"/>
                                <w:szCs w:val="24"/>
                              </w:rPr>
                              <m:t>E</m:t>
                            </m:r>
                            <m:ctrlPr>
                              <w:rPr>
                                <w:rFonts w:ascii="Cambria Math" w:hAnsi="Cambria Math"/>
                                <w:sz w:val="24"/>
                                <w:szCs w:val="24"/>
                              </w:rPr>
                            </m:ctrlPr>
                          </m:e>
                          <m:sub>
                            <m:r>
                              <m:rPr>
                                <m:sty m:val="p"/>
                              </m:rPr>
                              <w:rPr>
                                <w:rFonts w:hint="default" w:ascii="Cambria Math" w:hAnsi="Cambria Math"/>
                                <w:sz w:val="24"/>
                                <w:szCs w:val="24"/>
                              </w:rPr>
                              <m:t>i</m:t>
                            </m:r>
                            <m:ctrlPr>
                              <w:rPr>
                                <w:rFonts w:ascii="Cambria Math" w:hAnsi="Cambria Math"/>
                                <w:sz w:val="24"/>
                                <w:szCs w:val="24"/>
                              </w:rPr>
                            </m:ctrlPr>
                          </m:sub>
                          <m:sup>
                            <m:r>
                              <m:rPr/>
                              <w:rPr>
                                <w:rFonts w:hint="default" w:ascii="Cambria Math" w:hAnsi="Cambria Math"/>
                                <w:sz w:val="24"/>
                                <w:szCs w:val="24"/>
                              </w:rPr>
                              <m:t>2</m:t>
                            </m:r>
                            <m:ctrlPr>
                              <w:rPr>
                                <w:rFonts w:ascii="Cambria Math" w:hAnsi="Cambria Math"/>
                                <w:sz w:val="24"/>
                                <w:szCs w:val="24"/>
                              </w:rPr>
                            </m:ctrlPr>
                          </m:sup>
                        </m:sSubSup>
                        <m:ctrlPr>
                          <w:rPr>
                            <w:rFonts w:hint="default" w:ascii="Cambria Math" w:hAnsi="Cambria Math"/>
                            <w:sz w:val="24"/>
                            <w:szCs w:val="24"/>
                          </w:rPr>
                        </m:ctrlPr>
                      </m:e>
                    </m:nary>
                    <m:ctrlPr>
                      <w:rPr>
                        <w:rFonts w:hint="default" w:ascii="Cambria Math" w:hAnsi="Cambria Math"/>
                        <w:sz w:val="24"/>
                        <w:szCs w:val="24"/>
                      </w:rPr>
                    </m:ctrlPr>
                  </m:e>
                </m:rad>
              </m:oMath>
            </m:oMathPara>
          </w:p>
          <w:p w14:paraId="3DD5386F">
            <w:pPr>
              <w:spacing w:before="120" w:after="120" w:line="288" w:lineRule="auto"/>
              <w:ind w:left="0"/>
              <w:jc w:val="both"/>
              <w:rPr>
                <w:rFonts w:hint="default" w:hAnsi="Cambria Math"/>
                <w:i w:val="0"/>
                <w:sz w:val="24"/>
                <w:szCs w:val="24"/>
              </w:rPr>
            </w:pPr>
            <m:oMathPara>
              <m:oMath>
                <m:sSub>
                  <m:sSubPr>
                    <m:ctrlPr>
                      <w:rPr>
                        <w:rFonts w:hint="default" w:ascii="Cambria Math" w:hAnsi="Cambria Math"/>
                        <w:sz w:val="24"/>
                        <w:szCs w:val="24"/>
                      </w:rPr>
                    </m:ctrlPr>
                  </m:sSubPr>
                  <m:e>
                    <m:r>
                      <m:rPr/>
                      <w:rPr>
                        <w:rFonts w:hint="default" w:ascii="Cambria Math" w:hAnsi="Cambria Math"/>
                        <w:sz w:val="24"/>
                        <w:szCs w:val="24"/>
                      </w:rPr>
                      <m:t>E</m:t>
                    </m:r>
                    <m:ctrlPr>
                      <w:rPr>
                        <w:rFonts w:ascii="Cambria Math" w:hAnsi="Cambria Math"/>
                        <w:sz w:val="24"/>
                        <w:szCs w:val="24"/>
                      </w:rPr>
                    </m:ctrlPr>
                  </m:e>
                  <m:sub>
                    <m:r>
                      <m:rPr/>
                      <w:rPr>
                        <w:rFonts w:hint="default" w:ascii="Cambria Math" w:hAnsi="Cambria Math"/>
                        <w:sz w:val="24"/>
                        <w:szCs w:val="24"/>
                      </w:rPr>
                      <m:t>i</m:t>
                    </m:r>
                    <m:ctrlPr>
                      <w:rPr>
                        <w:rFonts w:ascii="Cambria Math" w:hAnsi="Cambria Math"/>
                        <w:sz w:val="24"/>
                        <w:szCs w:val="24"/>
                      </w:rPr>
                    </m:ctrlPr>
                  </m:sub>
                </m:sSub>
                <m:r>
                  <m:rPr/>
                  <w:rPr>
                    <w:rFonts w:hint="default" w:ascii="Cambria Math" w:hAnsi="Cambria Math"/>
                    <w:sz w:val="24"/>
                    <w:szCs w:val="24"/>
                  </w:rPr>
                  <m:t>=</m:t>
                </m:r>
                <m:f>
                  <m:fPr>
                    <m:ctrlPr>
                      <w:rPr>
                        <w:rFonts w:hint="default" w:ascii="Cambria Math" w:hAnsi="Cambria Math"/>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L</m:t>
                        </m:r>
                        <m:ctrlPr>
                          <w:rPr>
                            <w:rFonts w:ascii="Cambria Math" w:hAnsi="Cambria Math"/>
                            <w:sz w:val="24"/>
                            <w:szCs w:val="24"/>
                          </w:rPr>
                        </m:ctrlPr>
                      </m:e>
                      <m:sub>
                        <m:r>
                          <m:rPr/>
                          <w:rPr>
                            <w:rFonts w:hint="default" w:ascii="Cambria Math" w:hAnsi="Cambria Math"/>
                            <w:sz w:val="24"/>
                            <w:szCs w:val="24"/>
                          </w:rPr>
                          <m:t>i,f</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L</m:t>
                        </m:r>
                        <m:ctrlPr>
                          <w:rPr>
                            <w:rFonts w:ascii="Cambria Math" w:hAnsi="Cambria Math"/>
                            <w:sz w:val="24"/>
                            <w:szCs w:val="24"/>
                          </w:rPr>
                        </m:ctrlPr>
                      </m:e>
                      <m:sub>
                        <m:r>
                          <m:rPr/>
                          <w:rPr>
                            <w:rFonts w:hint="default" w:ascii="Cambria Math" w:hAnsi="Cambria Math"/>
                            <w:sz w:val="24"/>
                            <w:szCs w:val="24"/>
                          </w:rPr>
                          <m:t>i</m:t>
                        </m:r>
                        <m:ctrlPr>
                          <w:rPr>
                            <w:rFonts w:ascii="Cambria Math" w:hAnsi="Cambria Math"/>
                            <w:sz w:val="24"/>
                            <w:szCs w:val="24"/>
                          </w:rPr>
                        </m:ctrlPr>
                      </m:sub>
                    </m:sSub>
                    <m:ctrlPr>
                      <w:rPr>
                        <w:rFonts w:hint="default" w:ascii="Cambria Math" w:hAnsi="Cambria Math"/>
                        <w:sz w:val="24"/>
                        <w:szCs w:val="24"/>
                      </w:rPr>
                    </m:ctrlPr>
                  </m:num>
                  <m:den>
                    <m:sSub>
                      <m:sSubPr>
                        <m:ctrlPr>
                          <w:rPr>
                            <w:rFonts w:hint="default" w:ascii="Cambria Math" w:hAnsi="Cambria Math"/>
                            <w:sz w:val="24"/>
                            <w:szCs w:val="24"/>
                          </w:rPr>
                        </m:ctrlPr>
                      </m:sSubPr>
                      <m:e>
                        <m:r>
                          <m:rPr/>
                          <w:rPr>
                            <w:rFonts w:hint="default" w:ascii="Cambria Math" w:hAnsi="Cambria Math"/>
                            <w:sz w:val="24"/>
                            <w:szCs w:val="24"/>
                          </w:rPr>
                          <m:t>L</m:t>
                        </m:r>
                        <m:ctrlPr>
                          <w:rPr>
                            <w:rFonts w:ascii="Cambria Math" w:hAnsi="Cambria Math"/>
                            <w:sz w:val="24"/>
                            <w:szCs w:val="24"/>
                          </w:rPr>
                        </m:ctrlPr>
                      </m:e>
                      <m:sub>
                        <m:r>
                          <m:rPr/>
                          <w:rPr>
                            <w:rFonts w:hint="default" w:ascii="Cambria Math" w:hAnsi="Cambria Math"/>
                            <w:sz w:val="24"/>
                            <w:szCs w:val="24"/>
                          </w:rPr>
                          <m:t>i</m:t>
                        </m:r>
                        <m:ctrlPr>
                          <w:rPr>
                            <w:rFonts w:ascii="Cambria Math" w:hAnsi="Cambria Math"/>
                            <w:sz w:val="24"/>
                            <w:szCs w:val="24"/>
                          </w:rPr>
                        </m:ctrlPr>
                      </m:sub>
                    </m:sSub>
                    <m:ctrlPr>
                      <w:rPr>
                        <w:rFonts w:hint="default" w:ascii="Cambria Math" w:hAnsi="Cambria Math"/>
                        <w:sz w:val="24"/>
                        <w:szCs w:val="24"/>
                      </w:rPr>
                    </m:ctrlPr>
                  </m:den>
                </m:f>
                <m:r>
                  <m:rPr/>
                  <w:rPr>
                    <w:rFonts w:hint="default" w:ascii="Cambria Math" w:hAnsi="Cambria Math"/>
                    <w:sz w:val="24"/>
                    <w:szCs w:val="24"/>
                  </w:rPr>
                  <m:t>∗100%</m:t>
                </m:r>
              </m:oMath>
            </m:oMathPara>
          </w:p>
          <w:p w14:paraId="4AE53391">
            <w:pPr>
              <w:spacing w:before="120" w:after="120" w:line="288" w:lineRule="auto"/>
              <w:ind w:left="0"/>
              <w:jc w:val="both"/>
              <w:rPr>
                <w:sz w:val="24"/>
                <w:szCs w:val="24"/>
              </w:rPr>
            </w:pPr>
            <w:r>
              <w:rPr>
                <w:rFonts w:ascii="Arial" w:hAnsi="Arial" w:eastAsia="等线" w:cs="Arial"/>
                <w:sz w:val="24"/>
                <w:szCs w:val="24"/>
              </w:rPr>
              <w:br w:type="textWrapping"/>
            </w:r>
            <w:r>
              <w:rPr>
                <w:rFonts w:ascii="Arial" w:hAnsi="Arial" w:eastAsia="等线" w:cs="Arial"/>
                <w:sz w:val="24"/>
                <w:szCs w:val="24"/>
              </w:rPr>
              <w:t>其中：RMSE为日负荷预测偏差率均方根，</w:t>
            </w:r>
            <m:oMath>
              <m:sSub>
                <m:sSubPr>
                  <m:ctrlPr>
                    <w:rPr>
                      <w:sz w:val="24"/>
                      <w:szCs w:val="24"/>
                    </w:rPr>
                  </m:ctrlPr>
                </m:sSubPr>
                <m:e>
                  <m:r>
                    <m:rPr/>
                    <w:rPr>
                      <w:rFonts w:ascii="Cambria Math" w:hAnsi="Cambria Math"/>
                      <w:sz w:val="24"/>
                      <w:szCs w:val="24"/>
                    </w:rPr>
                    <m:t>E</m:t>
                  </m:r>
                  <m:ctrlPr>
                    <w:rPr>
                      <w:sz w:val="24"/>
                      <w:szCs w:val="24"/>
                    </w:rPr>
                  </m:ctrlPr>
                </m:e>
                <m:sub>
                  <m:r>
                    <m:rPr/>
                    <w:rPr>
                      <w:rFonts w:ascii="Cambria Math" w:hAnsi="Cambria Math"/>
                      <w:sz w:val="24"/>
                      <w:szCs w:val="24"/>
                    </w:rPr>
                    <m:t>i</m:t>
                  </m:r>
                  <m:ctrlPr>
                    <w:rPr>
                      <w:sz w:val="24"/>
                      <w:szCs w:val="24"/>
                    </w:rPr>
                  </m:ctrlPr>
                </m:sub>
              </m:sSub>
            </m:oMath>
            <w:r>
              <w:rPr>
                <w:rFonts w:ascii="Arial" w:hAnsi="Arial" w:eastAsia="等线" w:cs="Arial"/>
                <w:sz w:val="24"/>
                <w:szCs w:val="24"/>
              </w:rPr>
              <w:t xml:space="preserve"> 为时刻i的负荷预测偏差率，n为日负荷实际考核点数，</w:t>
            </w:r>
            <m:oMath>
              <m:sSub>
                <m:sSubPr>
                  <m:ctrlPr>
                    <w:rPr>
                      <w:sz w:val="24"/>
                      <w:szCs w:val="24"/>
                    </w:rPr>
                  </m:ctrlPr>
                </m:sSubPr>
                <m:e>
                  <m:r>
                    <m:rPr/>
                    <w:rPr>
                      <w:rFonts w:ascii="Cambria Math" w:hAnsi="Cambria Math"/>
                      <w:sz w:val="24"/>
                      <w:szCs w:val="24"/>
                    </w:rPr>
                    <m:t>L</m:t>
                  </m:r>
                  <m:ctrlPr>
                    <w:rPr>
                      <w:sz w:val="24"/>
                      <w:szCs w:val="24"/>
                    </w:rPr>
                  </m:ctrlPr>
                </m:e>
                <m:sub>
                  <m:r>
                    <m:rPr/>
                    <w:rPr>
                      <w:rFonts w:ascii="Cambria Math" w:hAnsi="Cambria Math"/>
                      <w:sz w:val="24"/>
                      <w:szCs w:val="24"/>
                    </w:rPr>
                    <m:t>i,f</m:t>
                  </m:r>
                  <m:ctrlPr>
                    <w:rPr>
                      <w:sz w:val="24"/>
                      <w:szCs w:val="24"/>
                    </w:rPr>
                  </m:ctrlPr>
                </m:sub>
              </m:sSub>
            </m:oMath>
            <w:r>
              <w:rPr>
                <w:rFonts w:ascii="Arial" w:hAnsi="Arial" w:eastAsia="等线" w:cs="Arial"/>
                <w:sz w:val="24"/>
                <w:szCs w:val="24"/>
              </w:rPr>
              <w:t xml:space="preserve"> 为时刻i的负荷预测值，</w:t>
            </w:r>
            <m:oMath>
              <m:sSub>
                <m:sSubPr>
                  <m:ctrlPr>
                    <w:rPr>
                      <w:sz w:val="24"/>
                      <w:szCs w:val="24"/>
                    </w:rPr>
                  </m:ctrlPr>
                </m:sSubPr>
                <m:e>
                  <m:r>
                    <m:rPr/>
                    <w:rPr>
                      <w:rFonts w:ascii="Cambria Math" w:hAnsi="Cambria Math"/>
                      <w:sz w:val="24"/>
                      <w:szCs w:val="24"/>
                    </w:rPr>
                    <m:t>L</m:t>
                  </m:r>
                  <m:ctrlPr>
                    <w:rPr>
                      <w:sz w:val="24"/>
                      <w:szCs w:val="24"/>
                    </w:rPr>
                  </m:ctrlPr>
                </m:e>
                <m:sub>
                  <m:r>
                    <m:rPr/>
                    <w:rPr>
                      <w:rFonts w:ascii="Cambria Math" w:hAnsi="Cambria Math"/>
                      <w:sz w:val="24"/>
                      <w:szCs w:val="24"/>
                    </w:rPr>
                    <m:t>i</m:t>
                  </m:r>
                  <m:ctrlPr>
                    <w:rPr>
                      <w:sz w:val="24"/>
                      <w:szCs w:val="24"/>
                    </w:rPr>
                  </m:ctrlPr>
                </m:sub>
              </m:sSub>
            </m:oMath>
            <w:r>
              <w:rPr>
                <w:rFonts w:ascii="Arial" w:hAnsi="Arial" w:eastAsia="等线" w:cs="Arial"/>
                <w:sz w:val="24"/>
                <w:szCs w:val="24"/>
              </w:rPr>
              <w:t xml:space="preserve"> 为时刻i的负荷实际值。</w:t>
            </w:r>
          </w:p>
        </w:tc>
      </w:tr>
      <w:tr w14:paraId="4C5A69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vAlign w:val="center"/>
          </w:tcPr>
          <w:p w14:paraId="449965E5">
            <w:pPr>
              <w:spacing w:before="120" w:after="120" w:line="288" w:lineRule="auto"/>
              <w:ind w:left="0"/>
              <w:jc w:val="center"/>
              <w:rPr>
                <w:sz w:val="24"/>
                <w:szCs w:val="24"/>
              </w:rPr>
            </w:pPr>
            <w:r>
              <w:rPr>
                <w:rFonts w:ascii="Arial" w:hAnsi="Arial" w:eastAsia="等线" w:cs="Arial"/>
                <w:sz w:val="24"/>
                <w:szCs w:val="24"/>
              </w:rPr>
              <w:t>响应量系数</w:t>
            </w:r>
          </w:p>
        </w:tc>
        <w:tc>
          <w:tcPr>
            <w:tcW w:w="2760" w:type="dxa"/>
            <w:tcMar>
              <w:top w:w="60" w:type="dxa"/>
              <w:left w:w="120" w:type="dxa"/>
              <w:bottom w:w="30" w:type="dxa"/>
              <w:right w:w="120" w:type="dxa"/>
            </w:tcMar>
            <w:vAlign w:val="center"/>
          </w:tcPr>
          <w:p w14:paraId="606B6FE2">
            <w:pPr>
              <w:spacing w:before="120" w:after="120" w:line="288" w:lineRule="auto"/>
              <w:ind w:left="0"/>
              <w:jc w:val="both"/>
              <w:rPr>
                <w:sz w:val="24"/>
                <w:szCs w:val="24"/>
              </w:rPr>
            </w:pPr>
            <w:r>
              <w:rPr>
                <w:rFonts w:ascii="Arial" w:hAnsi="Arial" w:eastAsia="等线" w:cs="Arial"/>
                <w:sz w:val="24"/>
                <w:szCs w:val="24"/>
              </w:rPr>
              <w:t>AI辅助资源调节潜力精准评估后，虚拟电厂在参加调节任务时，实际响应量与申报响应量的比值，反映资源调节潜力评估的准确性。</w:t>
            </w:r>
          </w:p>
        </w:tc>
        <w:tc>
          <w:tcPr>
            <w:tcW w:w="2760" w:type="dxa"/>
            <w:tcMar>
              <w:top w:w="60" w:type="dxa"/>
              <w:left w:w="120" w:type="dxa"/>
              <w:bottom w:w="30" w:type="dxa"/>
              <w:right w:w="120" w:type="dxa"/>
            </w:tcMar>
            <w:vAlign w:val="center"/>
          </w:tcPr>
          <w:p w14:paraId="1DE3B102">
            <w:pPr>
              <w:spacing w:before="120" w:after="120" w:line="288" w:lineRule="auto"/>
              <w:ind w:left="0"/>
              <w:jc w:val="both"/>
              <w:rPr>
                <w:sz w:val="24"/>
                <w:szCs w:val="24"/>
              </w:rPr>
            </w:pPr>
            <w:r>
              <w:rPr>
                <w:rFonts w:ascii="Arial" w:hAnsi="Arial" w:eastAsia="等线" w:cs="Arial"/>
                <w:sz w:val="24"/>
                <w:szCs w:val="24"/>
              </w:rPr>
              <w:t>实际响应量/申报响应量</w:t>
            </w:r>
          </w:p>
        </w:tc>
      </w:tr>
      <w:tr w14:paraId="6FAB2D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vAlign w:val="center"/>
          </w:tcPr>
          <w:p w14:paraId="764A9E94">
            <w:pPr>
              <w:spacing w:before="120" w:after="120" w:line="288" w:lineRule="auto"/>
              <w:ind w:left="0"/>
              <w:jc w:val="center"/>
              <w:rPr>
                <w:sz w:val="24"/>
                <w:szCs w:val="24"/>
              </w:rPr>
            </w:pPr>
            <w:r>
              <w:rPr>
                <w:rFonts w:ascii="Arial" w:hAnsi="Arial" w:eastAsia="等线" w:cs="Arial"/>
                <w:sz w:val="24"/>
                <w:szCs w:val="24"/>
              </w:rPr>
              <w:t>资源调控策略执行成功率</w:t>
            </w:r>
          </w:p>
        </w:tc>
        <w:tc>
          <w:tcPr>
            <w:tcW w:w="2760" w:type="dxa"/>
            <w:tcMar>
              <w:top w:w="60" w:type="dxa"/>
              <w:left w:w="120" w:type="dxa"/>
              <w:bottom w:w="30" w:type="dxa"/>
              <w:right w:w="120" w:type="dxa"/>
            </w:tcMar>
            <w:vAlign w:val="center"/>
          </w:tcPr>
          <w:p w14:paraId="49846CB9">
            <w:pPr>
              <w:spacing w:before="120" w:after="120" w:line="288" w:lineRule="auto"/>
              <w:ind w:left="0"/>
              <w:jc w:val="both"/>
              <w:rPr>
                <w:sz w:val="24"/>
                <w:szCs w:val="24"/>
              </w:rPr>
            </w:pPr>
            <w:r>
              <w:rPr>
                <w:rFonts w:ascii="Arial" w:hAnsi="Arial" w:eastAsia="等线" w:cs="Arial"/>
                <w:sz w:val="24"/>
                <w:szCs w:val="24"/>
              </w:rPr>
              <w:t>在AI赋能资源协同调控能力后，各资源成功执行虚拟电厂调控策略的频次占虚拟电厂对各资源总下达的调控策略频次的比值，反映了调控策略在实际执行过程中的可靠性与指令达成度。</w:t>
            </w:r>
          </w:p>
        </w:tc>
        <w:tc>
          <w:tcPr>
            <w:tcW w:w="2760" w:type="dxa"/>
            <w:tcMar>
              <w:top w:w="60" w:type="dxa"/>
              <w:left w:w="120" w:type="dxa"/>
              <w:bottom w:w="30" w:type="dxa"/>
              <w:right w:w="120" w:type="dxa"/>
            </w:tcMar>
            <w:vAlign w:val="center"/>
          </w:tcPr>
          <w:p w14:paraId="5B8BA5D7">
            <w:pPr>
              <w:spacing w:before="120" w:after="120" w:line="288" w:lineRule="auto"/>
              <w:ind w:left="0"/>
              <w:jc w:val="both"/>
              <w:rPr>
                <w:sz w:val="24"/>
                <w:szCs w:val="24"/>
              </w:rPr>
            </w:pPr>
            <w:r>
              <w:rPr>
                <w:rFonts w:ascii="Arial" w:hAnsi="Arial" w:eastAsia="等线" w:cs="Arial"/>
                <w:sz w:val="24"/>
                <w:szCs w:val="24"/>
              </w:rPr>
              <w:t>成功执行的调控任务次数/总调控指令下达次数×100%</w:t>
            </w:r>
          </w:p>
        </w:tc>
      </w:tr>
      <w:tr w14:paraId="406CEA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vAlign w:val="center"/>
          </w:tcPr>
          <w:p w14:paraId="4D420E30">
            <w:pPr>
              <w:spacing w:before="120" w:after="120" w:line="288" w:lineRule="auto"/>
              <w:ind w:left="0"/>
              <w:jc w:val="center"/>
              <w:rPr>
                <w:sz w:val="24"/>
                <w:szCs w:val="24"/>
              </w:rPr>
            </w:pPr>
            <w:r>
              <w:rPr>
                <w:rFonts w:ascii="Arial" w:hAnsi="Arial" w:eastAsia="等线" w:cs="Arial"/>
                <w:sz w:val="24"/>
                <w:szCs w:val="24"/>
              </w:rPr>
              <w:t>底层调控指令自动化下发率</w:t>
            </w:r>
          </w:p>
        </w:tc>
        <w:tc>
          <w:tcPr>
            <w:tcW w:w="2760" w:type="dxa"/>
            <w:tcMar>
              <w:top w:w="60" w:type="dxa"/>
              <w:left w:w="120" w:type="dxa"/>
              <w:bottom w:w="30" w:type="dxa"/>
              <w:right w:w="120" w:type="dxa"/>
            </w:tcMar>
            <w:vAlign w:val="center"/>
          </w:tcPr>
          <w:p w14:paraId="0E8DF1DF">
            <w:pPr>
              <w:spacing w:before="120" w:after="120" w:line="288" w:lineRule="auto"/>
              <w:ind w:left="0"/>
              <w:jc w:val="both"/>
              <w:rPr>
                <w:sz w:val="24"/>
                <w:szCs w:val="24"/>
              </w:rPr>
            </w:pPr>
            <w:r>
              <w:rPr>
                <w:rFonts w:ascii="Arial" w:hAnsi="Arial" w:eastAsia="等线" w:cs="Arial"/>
                <w:sz w:val="24"/>
                <w:szCs w:val="24"/>
              </w:rPr>
              <w:t>在AI赋能资源协同调控能力后，由虚拟电厂平台直接下达至底层资源的指令数量占平台直接+人工间接下达至各资源的指令总数的占比，反映了调控链路的自动化程度。</w:t>
            </w:r>
          </w:p>
        </w:tc>
        <w:tc>
          <w:tcPr>
            <w:tcW w:w="2760" w:type="dxa"/>
            <w:tcMar>
              <w:top w:w="60" w:type="dxa"/>
              <w:left w:w="120" w:type="dxa"/>
              <w:bottom w:w="30" w:type="dxa"/>
              <w:right w:w="120" w:type="dxa"/>
            </w:tcMar>
            <w:vAlign w:val="center"/>
          </w:tcPr>
          <w:p w14:paraId="7117FF02">
            <w:pPr>
              <w:spacing w:before="120" w:after="120" w:line="288" w:lineRule="auto"/>
              <w:ind w:left="0"/>
              <w:jc w:val="both"/>
              <w:rPr>
                <w:sz w:val="24"/>
                <w:szCs w:val="24"/>
              </w:rPr>
            </w:pPr>
            <w:r>
              <w:rPr>
                <w:rFonts w:ascii="Arial" w:hAnsi="Arial" w:eastAsia="等线" w:cs="Arial"/>
                <w:sz w:val="24"/>
                <w:szCs w:val="24"/>
              </w:rPr>
              <w:t>调控任务统计周期内，通过虚拟电厂平台直接向各资源下达的指令总数/通过平台直接+人工间接向各资源下达的指令总数 ×100%</w:t>
            </w:r>
          </w:p>
        </w:tc>
      </w:tr>
      <w:tr w14:paraId="79F89C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vAlign w:val="center"/>
          </w:tcPr>
          <w:p w14:paraId="4254CC2B">
            <w:pPr>
              <w:spacing w:before="120" w:after="120" w:line="288" w:lineRule="auto"/>
              <w:ind w:left="0"/>
              <w:jc w:val="center"/>
              <w:rPr>
                <w:sz w:val="24"/>
                <w:szCs w:val="24"/>
              </w:rPr>
            </w:pPr>
            <w:r>
              <w:rPr>
                <w:rFonts w:ascii="Arial" w:hAnsi="Arial" w:eastAsia="等线" w:cs="Arial"/>
                <w:sz w:val="24"/>
                <w:szCs w:val="24"/>
              </w:rPr>
              <w:t>资源整体协同调控执行偏差率</w:t>
            </w:r>
          </w:p>
        </w:tc>
        <w:tc>
          <w:tcPr>
            <w:tcW w:w="2760" w:type="dxa"/>
            <w:tcMar>
              <w:top w:w="60" w:type="dxa"/>
              <w:left w:w="120" w:type="dxa"/>
              <w:bottom w:w="30" w:type="dxa"/>
              <w:right w:w="120" w:type="dxa"/>
            </w:tcMar>
            <w:vAlign w:val="center"/>
          </w:tcPr>
          <w:p w14:paraId="62C27362">
            <w:pPr>
              <w:spacing w:before="120" w:after="120" w:line="288" w:lineRule="auto"/>
              <w:ind w:left="0"/>
              <w:jc w:val="both"/>
              <w:rPr>
                <w:sz w:val="24"/>
                <w:szCs w:val="24"/>
              </w:rPr>
            </w:pPr>
            <w:r>
              <w:rPr>
                <w:rFonts w:ascii="Arial" w:hAnsi="Arial" w:eastAsia="等线" w:cs="Arial"/>
                <w:sz w:val="24"/>
                <w:szCs w:val="24"/>
              </w:rPr>
              <w:t>在AI赋能资源协同调控能力后，虚拟电厂整体实际出力与平台下达的协同调控目标出力之间的绝对偏差比例，用于评价协同调控算法在保障资源整体出力特性精准跟随调度指令的控制精度。</w:t>
            </w:r>
          </w:p>
        </w:tc>
        <w:tc>
          <w:tcPr>
            <w:tcW w:w="2760" w:type="dxa"/>
            <w:tcMar>
              <w:top w:w="60" w:type="dxa"/>
              <w:left w:w="120" w:type="dxa"/>
              <w:bottom w:w="30" w:type="dxa"/>
              <w:right w:w="120" w:type="dxa"/>
            </w:tcMar>
            <w:vAlign w:val="center"/>
          </w:tcPr>
          <w:p w14:paraId="0B3EE4AD">
            <w:pPr>
              <w:spacing w:before="120" w:after="120" w:line="288" w:lineRule="auto"/>
              <w:ind w:left="0"/>
              <w:jc w:val="both"/>
              <w:rPr>
                <w:sz w:val="24"/>
                <w:szCs w:val="24"/>
              </w:rPr>
            </w:pPr>
            <w:r>
              <w:rPr>
                <w:rFonts w:ascii="Arial" w:hAnsi="Arial" w:eastAsia="等线" w:cs="Arial"/>
                <w:sz w:val="24"/>
                <w:szCs w:val="24"/>
              </w:rPr>
              <w:t>调控任务统计周期内，|虚拟电厂实际出力-协同调控目标出力|/协同调控目标出力 ×100%</w:t>
            </w:r>
          </w:p>
        </w:tc>
      </w:tr>
      <w:tr w14:paraId="060964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vAlign w:val="center"/>
          </w:tcPr>
          <w:p w14:paraId="648AB47A">
            <w:pPr>
              <w:spacing w:before="120" w:after="120" w:line="288" w:lineRule="auto"/>
              <w:ind w:left="0"/>
              <w:jc w:val="center"/>
              <w:rPr>
                <w:sz w:val="24"/>
                <w:szCs w:val="24"/>
              </w:rPr>
            </w:pPr>
            <w:r>
              <w:rPr>
                <w:rFonts w:ascii="Arial" w:hAnsi="Arial" w:eastAsia="等线" w:cs="Arial"/>
                <w:sz w:val="24"/>
                <w:szCs w:val="24"/>
              </w:rPr>
              <w:t>电价预测准确率</w:t>
            </w:r>
          </w:p>
        </w:tc>
        <w:tc>
          <w:tcPr>
            <w:tcW w:w="2760" w:type="dxa"/>
            <w:tcMar>
              <w:top w:w="60" w:type="dxa"/>
              <w:left w:w="120" w:type="dxa"/>
              <w:bottom w:w="30" w:type="dxa"/>
              <w:right w:w="120" w:type="dxa"/>
            </w:tcMar>
            <w:vAlign w:val="center"/>
          </w:tcPr>
          <w:p w14:paraId="15CB2499">
            <w:pPr>
              <w:spacing w:before="120" w:after="120" w:line="288" w:lineRule="auto"/>
              <w:ind w:left="0"/>
              <w:jc w:val="both"/>
              <w:rPr>
                <w:sz w:val="24"/>
                <w:szCs w:val="24"/>
              </w:rPr>
            </w:pPr>
            <w:r>
              <w:rPr>
                <w:rFonts w:ascii="Arial" w:hAnsi="Arial" w:eastAsia="等线" w:cs="Arial"/>
                <w:sz w:val="24"/>
                <w:szCs w:val="24"/>
              </w:rPr>
              <w:t>在AI辅助电力市场交易后，电价预测偏差均值与实际电价均值的比值（的补数），反映AI模型对复杂市场环境下价格波动规律捕捉的准确性。</w:t>
            </w:r>
          </w:p>
        </w:tc>
        <w:tc>
          <w:tcPr>
            <w:tcW w:w="2760" w:type="dxa"/>
            <w:tcMar>
              <w:top w:w="60" w:type="dxa"/>
              <w:left w:w="120" w:type="dxa"/>
              <w:bottom w:w="30" w:type="dxa"/>
              <w:right w:w="120" w:type="dxa"/>
            </w:tcMar>
            <w:vAlign w:val="center"/>
          </w:tcPr>
          <w:p w14:paraId="140623C5">
            <w:pPr>
              <w:spacing w:before="120" w:after="120" w:line="288" w:lineRule="auto"/>
              <w:ind w:left="0"/>
              <w:jc w:val="both"/>
              <w:rPr>
                <w:sz w:val="24"/>
                <w:szCs w:val="24"/>
              </w:rPr>
            </w:pPr>
            <w:r>
              <w:rPr>
                <w:rFonts w:ascii="Arial" w:hAnsi="Arial" w:eastAsia="等线" w:cs="Arial"/>
                <w:sz w:val="24"/>
                <w:szCs w:val="24"/>
              </w:rPr>
              <w:t>（1-|实际电价-预测电价|的平均值/实际电价的平均绝对值） ×100%</w:t>
            </w:r>
          </w:p>
        </w:tc>
      </w:tr>
      <w:tr w14:paraId="08DDCF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vAlign w:val="center"/>
          </w:tcPr>
          <w:p w14:paraId="5A9DAC83">
            <w:pPr>
              <w:spacing w:before="120" w:after="120" w:line="288" w:lineRule="auto"/>
              <w:ind w:left="0"/>
              <w:jc w:val="center"/>
              <w:rPr>
                <w:sz w:val="24"/>
                <w:szCs w:val="24"/>
              </w:rPr>
            </w:pPr>
            <w:r>
              <w:rPr>
                <w:rFonts w:ascii="Arial" w:hAnsi="Arial" w:eastAsia="等线" w:cs="Arial"/>
                <w:sz w:val="24"/>
                <w:szCs w:val="24"/>
              </w:rPr>
              <w:t>全省多节点预测结果生成时间</w:t>
            </w:r>
          </w:p>
        </w:tc>
        <w:tc>
          <w:tcPr>
            <w:tcW w:w="2760" w:type="dxa"/>
            <w:tcMar>
              <w:top w:w="60" w:type="dxa"/>
              <w:left w:w="120" w:type="dxa"/>
              <w:bottom w:w="30" w:type="dxa"/>
              <w:right w:w="120" w:type="dxa"/>
            </w:tcMar>
            <w:vAlign w:val="center"/>
          </w:tcPr>
          <w:p w14:paraId="39C2E9B9">
            <w:pPr>
              <w:spacing w:before="120" w:after="120" w:line="288" w:lineRule="auto"/>
              <w:ind w:left="0"/>
              <w:jc w:val="both"/>
              <w:rPr>
                <w:sz w:val="24"/>
                <w:szCs w:val="24"/>
              </w:rPr>
            </w:pPr>
            <w:r>
              <w:rPr>
                <w:rFonts w:ascii="Arial" w:hAnsi="Arial" w:eastAsia="等线" w:cs="Arial"/>
                <w:sz w:val="24"/>
                <w:szCs w:val="24"/>
              </w:rPr>
              <w:t>在AI辅助电力市场交易后，完成全量预测节点计算所需的总耗时。</w:t>
            </w:r>
          </w:p>
        </w:tc>
        <w:tc>
          <w:tcPr>
            <w:tcW w:w="2760" w:type="dxa"/>
            <w:tcMar>
              <w:top w:w="60" w:type="dxa"/>
              <w:left w:w="120" w:type="dxa"/>
              <w:bottom w:w="30" w:type="dxa"/>
              <w:right w:w="120" w:type="dxa"/>
            </w:tcMar>
            <w:vAlign w:val="center"/>
          </w:tcPr>
          <w:p w14:paraId="50070210">
            <w:pPr>
              <w:spacing w:before="120" w:after="120" w:line="288" w:lineRule="auto"/>
              <w:ind w:left="0"/>
              <w:jc w:val="both"/>
              <w:rPr>
                <w:sz w:val="24"/>
                <w:szCs w:val="24"/>
              </w:rPr>
            </w:pPr>
            <w:r>
              <w:rPr>
                <w:rFonts w:ascii="Arial" w:hAnsi="Arial" w:eastAsia="等线" w:cs="Arial"/>
                <w:sz w:val="24"/>
                <w:szCs w:val="24"/>
              </w:rPr>
              <w:t>/</w:t>
            </w:r>
          </w:p>
        </w:tc>
      </w:tr>
      <w:tr w14:paraId="681041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vAlign w:val="center"/>
          </w:tcPr>
          <w:p w14:paraId="625D89B9">
            <w:pPr>
              <w:spacing w:before="120" w:after="120" w:line="288" w:lineRule="auto"/>
              <w:ind w:left="0"/>
              <w:jc w:val="center"/>
              <w:rPr>
                <w:sz w:val="24"/>
                <w:szCs w:val="24"/>
              </w:rPr>
            </w:pPr>
            <w:r>
              <w:rPr>
                <w:rFonts w:ascii="Arial" w:hAnsi="Arial" w:eastAsia="等线" w:cs="Arial"/>
                <w:sz w:val="24"/>
                <w:szCs w:val="24"/>
              </w:rPr>
              <w:t>交易策略生成时间</w:t>
            </w:r>
          </w:p>
        </w:tc>
        <w:tc>
          <w:tcPr>
            <w:tcW w:w="2760" w:type="dxa"/>
            <w:tcMar>
              <w:top w:w="60" w:type="dxa"/>
              <w:left w:w="120" w:type="dxa"/>
              <w:bottom w:w="30" w:type="dxa"/>
              <w:right w:w="120" w:type="dxa"/>
            </w:tcMar>
            <w:vAlign w:val="center"/>
          </w:tcPr>
          <w:p w14:paraId="018AC82E">
            <w:pPr>
              <w:spacing w:before="120" w:after="120" w:line="288" w:lineRule="auto"/>
              <w:ind w:left="0"/>
              <w:jc w:val="both"/>
              <w:rPr>
                <w:sz w:val="24"/>
                <w:szCs w:val="24"/>
              </w:rPr>
            </w:pPr>
            <w:r>
              <w:rPr>
                <w:rFonts w:ascii="Arial" w:hAnsi="Arial" w:eastAsia="等线" w:cs="Arial"/>
                <w:sz w:val="24"/>
                <w:szCs w:val="24"/>
              </w:rPr>
              <w:t>在AI辅助电力市场交易后，完成交易策略生成所需的总耗时。</w:t>
            </w:r>
          </w:p>
        </w:tc>
        <w:tc>
          <w:tcPr>
            <w:tcW w:w="2760" w:type="dxa"/>
            <w:tcMar>
              <w:top w:w="60" w:type="dxa"/>
              <w:left w:w="120" w:type="dxa"/>
              <w:bottom w:w="30" w:type="dxa"/>
              <w:right w:w="120" w:type="dxa"/>
            </w:tcMar>
            <w:vAlign w:val="center"/>
          </w:tcPr>
          <w:p w14:paraId="53A92DFE">
            <w:pPr>
              <w:spacing w:before="120" w:after="120" w:line="288" w:lineRule="auto"/>
              <w:ind w:left="0"/>
              <w:jc w:val="both"/>
              <w:rPr>
                <w:sz w:val="24"/>
                <w:szCs w:val="24"/>
              </w:rPr>
            </w:pPr>
            <w:r>
              <w:rPr>
                <w:rFonts w:ascii="Arial" w:hAnsi="Arial" w:eastAsia="等线" w:cs="Arial"/>
                <w:sz w:val="24"/>
                <w:szCs w:val="24"/>
              </w:rPr>
              <w:t>/</w:t>
            </w:r>
          </w:p>
        </w:tc>
      </w:tr>
      <w:tr w14:paraId="45DBB9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vAlign w:val="center"/>
          </w:tcPr>
          <w:p w14:paraId="4FB58B33">
            <w:pPr>
              <w:spacing w:before="120" w:after="120" w:line="288" w:lineRule="auto"/>
              <w:ind w:left="0"/>
              <w:jc w:val="center"/>
              <w:rPr>
                <w:sz w:val="24"/>
                <w:szCs w:val="24"/>
              </w:rPr>
            </w:pPr>
            <w:r>
              <w:rPr>
                <w:rFonts w:ascii="Arial" w:hAnsi="Arial" w:eastAsia="等线" w:cs="Arial"/>
                <w:sz w:val="24"/>
                <w:szCs w:val="24"/>
              </w:rPr>
              <w:t>日前交易策略命中率</w:t>
            </w:r>
          </w:p>
        </w:tc>
        <w:tc>
          <w:tcPr>
            <w:tcW w:w="2760" w:type="dxa"/>
            <w:tcMar>
              <w:top w:w="60" w:type="dxa"/>
              <w:left w:w="120" w:type="dxa"/>
              <w:bottom w:w="30" w:type="dxa"/>
              <w:right w:w="120" w:type="dxa"/>
            </w:tcMar>
            <w:vAlign w:val="center"/>
          </w:tcPr>
          <w:p w14:paraId="512430A0">
            <w:pPr>
              <w:spacing w:before="120" w:after="120" w:line="288" w:lineRule="auto"/>
              <w:ind w:left="0"/>
              <w:jc w:val="both"/>
              <w:rPr>
                <w:sz w:val="24"/>
                <w:szCs w:val="24"/>
              </w:rPr>
            </w:pPr>
            <w:r>
              <w:rPr>
                <w:rFonts w:ascii="Arial" w:hAnsi="Arial" w:eastAsia="等线" w:cs="Arial"/>
                <w:sz w:val="24"/>
                <w:szCs w:val="24"/>
              </w:rPr>
              <w:t>在AI辅助电力市场交易后，生成策略的调整方向（增/减出力）与日前实时出清价格偏差方向一致性的比率，用于衡量策略方向判断的准确程度。</w:t>
            </w:r>
          </w:p>
        </w:tc>
        <w:tc>
          <w:tcPr>
            <w:tcW w:w="2760" w:type="dxa"/>
            <w:tcMar>
              <w:top w:w="60" w:type="dxa"/>
              <w:left w:w="120" w:type="dxa"/>
              <w:bottom w:w="30" w:type="dxa"/>
              <w:right w:w="120" w:type="dxa"/>
            </w:tcMar>
            <w:vAlign w:val="center"/>
          </w:tcPr>
          <w:p w14:paraId="61E45970">
            <w:pPr>
              <w:spacing w:before="120" w:after="120" w:line="288" w:lineRule="auto"/>
              <w:ind w:left="0"/>
              <w:jc w:val="both"/>
              <w:rPr>
                <w:sz w:val="24"/>
                <w:szCs w:val="24"/>
              </w:rPr>
            </w:pPr>
            <w:r>
              <w:rPr>
                <w:rFonts w:ascii="Arial" w:hAnsi="Arial" w:eastAsia="等线" w:cs="Arial"/>
                <w:sz w:val="24"/>
                <w:szCs w:val="24"/>
              </w:rPr>
              <w:t>符合预期收益目标的策略执行次数/日前交易策略执行总次数 ×100%</w:t>
            </w:r>
          </w:p>
        </w:tc>
      </w:tr>
    </w:tbl>
    <w:p w14:paraId="71CB54E4">
      <w:pPr>
        <w:spacing w:before="120" w:after="120" w:line="288" w:lineRule="auto"/>
        <w:ind w:left="0"/>
        <w:jc w:val="left"/>
        <w:rPr>
          <w:sz w:val="24"/>
          <w:szCs w:val="24"/>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8BB0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84A8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6E4B56"/>
    <w:rsid w:val="365B49E1"/>
    <w:rsid w:val="6DD4077E"/>
    <w:rsid w:val="709335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2134</Words>
  <Characters>2220</Characters>
  <TotalTime>7</TotalTime>
  <ScaleCrop>false</ScaleCrop>
  <LinksUpToDate>false</LinksUpToDate>
  <CharactersWithSpaces>2231</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2026-06-01T09:59:00Z</dcterms:created>
  <dc:creator>Apache POI</dc:creator>
  <cp:lastModifiedBy>lu</cp:lastModifiedBy>
  <dcterms:modified xsi:type="dcterms:W3CDTF">2026-06-01T10:08:08Z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eyJoZGlkIjoiM2QzOTI3ZTY0N2FkYzFhMjc5NjczZWE3OTU4NzMxMjQiLCJ1c2VySWQiOiIzOTYyNDMwODQifQ==</vt:lpwstr>
  </property>
  <property fmtid="{D5CDD505-2E9C-101B-9397-08002B2CF9AE}" pid="3" name="KSOProductBuildVer">
    <vt:lpwstr>2052-12.1.0.26375</vt:lpwstr>
  </property>
  <property fmtid="{D5CDD505-2E9C-101B-9397-08002B2CF9AE}" pid="4" name="ICV">
    <vt:lpwstr>DFC6BF724408482988388B205CEA79D1_13</vt:lpwstr>
  </property>
</Properties>
</file>