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sz w:val="36"/>
          <w:szCs w:val="36"/>
        </w:rPr>
        <w:t xml:space="preserve">国家能源局“人工智能+”能源高价值场景试点建设方案</w:t>
      </w:r>
    </w:p>
    <w:p>
      <w:pPr>
        <w:spacing w:after="240" w:before="60"/>
        <w:jc w:val="center"/>
      </w:pPr>
      <w:r>
        <w:rPr>
          <w:rFonts w:ascii="Times New Roman" w:cs="Times New Roman" w:eastAsia="Times New Roman" w:hAnsi="Times New Roman"/>
          <w:sz w:val="28"/>
          <w:szCs w:val="28"/>
        </w:rPr>
        <w:t xml:space="preserve">项目名称：虚拟电厂多时空尺度智能协同运营</w:t>
      </w:r>
    </w:p>
    <w:p>
      <w:r>
        <w:br w:type="page"/>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一、项目背景与意义</w:t>
      </w:r>
    </w:p>
    <w:p>
      <w:pPr>
        <w:pStyle w:val="Heading2"/>
        <w:spacing w:after="60" w:before="60" w:line="360" w:lineRule="auto"/>
        <w:jc w:val="left"/>
      </w:pPr>
      <w:r>
        <w:rPr>
          <w:rFonts w:ascii="Times New Roman" w:cs="Times New Roman" w:eastAsia="Times New Roman" w:hAnsi="Times New Roman"/>
          <w:b/>
          <w:bCs/>
          <w:sz w:val="28"/>
          <w:szCs w:val="28"/>
        </w:rPr>
        <w:t xml:space="preserve">（一）行业背景与政策环境</w:t>
      </w:r>
    </w:p>
    <w:p>
      <w:pPr>
        <w:spacing w:line="360" w:lineRule="auto"/>
        <w:ind w:firstLine="480"/>
        <w:jc w:val="both"/>
      </w:pPr>
      <w:r>
        <w:rPr>
          <w:rFonts w:ascii="Times New Roman" w:cs="Times New Roman" w:eastAsia="Times New Roman" w:hAnsi="Times New Roman"/>
          <w:sz w:val="24"/>
          <w:szCs w:val="24"/>
        </w:rPr>
        <w:t xml:space="preserve">1. 场景说明</w:t>
      </w:r>
    </w:p>
    <w:p>
      <w:pPr>
        <w:spacing w:line="360" w:lineRule="auto"/>
        <w:ind w:firstLine="480"/>
        <w:jc w:val="both"/>
      </w:pPr>
      <w:r>
        <w:rPr>
          <w:rFonts w:ascii="Times New Roman" w:cs="Times New Roman" w:eastAsia="Times New Roman" w:hAnsi="Times New Roman"/>
          <w:sz w:val="24"/>
          <w:szCs w:val="24"/>
        </w:rPr>
        <w:t xml:space="preserve">虚拟电厂（Virtual Power Plant，VPP）作为整合分布式电源、可调节负荷及储能等海量分散资源的新型能源组织形式，通过先进的信息通信技术和智能控制策略，将分布于配电网末端的充电桩、空调、储能、分布式光伏、工业柔性负荷等碎片化灵活性资源聚合为一个可调度、可交易的统一主体，对增强电力保供能力、促进新能源消纳、完善电力市场体系具有不可替代的重要作用。</w:t>
      </w:r>
    </w:p>
    <w:p>
      <w:pPr>
        <w:spacing w:line="360" w:lineRule="auto"/>
        <w:ind w:firstLine="480"/>
        <w:jc w:val="both"/>
      </w:pPr>
      <w:r>
        <w:rPr>
          <w:rFonts w:ascii="Times New Roman" w:cs="Times New Roman" w:eastAsia="Times New Roman" w:hAnsi="Times New Roman"/>
          <w:sz w:val="24"/>
          <w:szCs w:val="24"/>
        </w:rPr>
        <w:t xml:space="preserve">从国内实践来看，虚拟电厂已从概念验证步入规模化发展通道。深圳于2022年建成全国首个网地一体虚拟电厂运营管理平台，接入资源规模超过150万千瓦，支撑深圳电网在2024年迎峰度夏期间累计调用虚拟电厂资源参与削峰填谷超过200次；冀北虚拟电厂作为国内首个IEC国际标准虚拟电厂示范项目，聚合可调节负荷容量达30万千瓦，参与华北调峰辅助服务市场累计交易收益超过5000万元；上海、江苏、浙江等地也相继开展虚拟电厂试点建设。以广东省为例，截至2024年，全省统调新能源装机规模达345万千瓦（占统调装机27%），分布式光伏装机容量超过300万千瓦，充电桩最高负荷突破100万千瓦，为虚拟电厂规模化运营提供了丰厚的资源底座。</w:t>
      </w:r>
    </w:p>
    <w:p>
      <w:pPr>
        <w:spacing w:line="360" w:lineRule="auto"/>
        <w:ind w:firstLine="480"/>
        <w:jc w:val="both"/>
      </w:pPr>
      <w:r>
        <w:rPr>
          <w:rFonts w:ascii="Times New Roman" w:cs="Times New Roman" w:eastAsia="Times New Roman" w:hAnsi="Times New Roman"/>
          <w:sz w:val="24"/>
          <w:szCs w:val="24"/>
        </w:rPr>
        <w:t xml:space="preserve">然而，在规模化发展过程中，虚拟电厂面临多源异构数据特征提取困难、负荷预测精度受限、资源调节潜力评估可信度不足、海量分布式资源协同调控效率偏低、电力市场交易风险较高、业务闭环能力较弱等六大系统性难题，严重制约了虚拟电厂从“示范试点”向“规模化商用”的战略跨越。</w:t>
      </w:r>
    </w:p>
    <w:p>
      <w:pPr>
        <w:spacing w:line="360" w:lineRule="auto"/>
        <w:ind w:firstLine="480"/>
        <w:jc w:val="both"/>
      </w:pPr>
      <w:r>
        <w:rPr>
          <w:rFonts w:ascii="Times New Roman" w:cs="Times New Roman" w:eastAsia="Times New Roman" w:hAnsi="Times New Roman"/>
          <w:sz w:val="24"/>
          <w:szCs w:val="24"/>
        </w:rPr>
        <w:t xml:space="preserve">2. 政策环境</w:t>
      </w:r>
    </w:p>
    <w:p>
      <w:pPr>
        <w:spacing w:line="360" w:lineRule="auto"/>
        <w:ind w:firstLine="480"/>
        <w:jc w:val="both"/>
      </w:pPr>
      <w:r>
        <w:rPr>
          <w:rFonts w:ascii="Times New Roman" w:cs="Times New Roman" w:eastAsia="Times New Roman" w:hAnsi="Times New Roman"/>
          <w:sz w:val="24"/>
          <w:szCs w:val="24"/>
        </w:rPr>
        <w:t xml:space="preserve">在国家层面，全国统一电力市场体系建设加速推进，虚拟电厂作为新型经营主体的政策地位持续夯实。国家发展改革委、国家能源局《关于支持电力领域新型经营主体创新发展的指导意见》首次明确了虚拟电厂、负荷聚合商等新型经营主体的市场地位与准入条件；《加快构建新型电力系统行动方案（2024—2027年）》将虚拟电厂列为新型电力系统建设的关键环节，明确提出在长三角、粤港澳大湾区等负荷密集区域布局一批虚拟电厂示范项目；《关于深化新能源上网电价市场化改革 促进新能源高质量发展的通知》推动新能源上网电量全面进入电力市场，现货电价的波动性和不确定性显著增加，虚拟电厂参与市场交易的经济激励进一步增强。与此同时，国家能源局启动“人工智能+”能源高价值场景试点建设，为AI技术在虚拟电厂全业务流程中的深度应用提供了政策风口和创新舞台。</w:t>
      </w:r>
    </w:p>
    <w:p>
      <w:pPr>
        <w:spacing w:line="360" w:lineRule="auto"/>
        <w:ind w:firstLine="480"/>
        <w:jc w:val="both"/>
      </w:pPr>
      <w:r>
        <w:rPr>
          <w:rFonts w:ascii="Times New Roman" w:cs="Times New Roman" w:eastAsia="Times New Roman" w:hAnsi="Times New Roman"/>
          <w:sz w:val="24"/>
          <w:szCs w:val="24"/>
        </w:rPr>
        <w:t xml:space="preserve">在地方层面，广东省在全国率先出台《广东省虚拟电厂参与电力市场交易实施方案》，明确了虚拟电厂参与电能量市场、调频辅助服务市场、调峰辅助服务市场的交易规则与结算机制，为虚拟电厂商业化运营提供了制度保障。《广东省培育新能源战略性新兴产业集群行动计划（2023—2025年）》以及充电基础设施、分布式新能源建设等配套政策，形成了从资源建设到市场运营的完整政策链路。深圳、广州、佛山等地市也相继出台虚拟电厂实施细则，明确了接入标准、激励政策和运营规范，形成了国家—省—市三级政策协同推进格局。</w:t>
      </w:r>
    </w:p>
    <w:p>
      <w:pPr>
        <w:spacing w:line="360" w:lineRule="auto"/>
        <w:ind w:firstLine="480"/>
        <w:jc w:val="both"/>
      </w:pPr>
      <w:r>
        <w:rPr>
          <w:rFonts w:ascii="Times New Roman" w:cs="Times New Roman" w:eastAsia="Times New Roman" w:hAnsi="Times New Roman"/>
          <w:sz w:val="24"/>
          <w:szCs w:val="24"/>
        </w:rPr>
        <w:t xml:space="preserve">3. 人工智能应用现状与面临的挑战</w:t>
      </w:r>
    </w:p>
    <w:p>
      <w:pPr>
        <w:spacing w:line="360" w:lineRule="auto"/>
        <w:ind w:firstLine="480"/>
        <w:jc w:val="both"/>
      </w:pPr>
      <w:r>
        <w:rPr>
          <w:rFonts w:ascii="Times New Roman" w:cs="Times New Roman" w:eastAsia="Times New Roman" w:hAnsi="Times New Roman"/>
          <w:sz w:val="24"/>
          <w:szCs w:val="24"/>
        </w:rPr>
        <w:t xml:space="preserve">当前，人工智能技术在虚拟电厂中的应用仍处于“浅层化”阶段。国内已建成的虚拟电厂平台虽然在负荷监测、电量统计、简单规则调度等基础功能上实现了信息化，但在智能分析与自主决策层面存在明显短板。从实际运行数据看，冀北虚拟电厂的日前申报偏差率长期在15%以上，深圳虚拟电厂在多资源协同调控时仍依赖调度员的人工经验判断，各平台的智能化水平与新型电力系统对虚拟电厂“分钟级响应、小时级优化”的要求之间存在显著差距。</w:t>
      </w:r>
    </w:p>
    <w:p>
      <w:pPr>
        <w:spacing w:line="360" w:lineRule="auto"/>
        <w:ind w:firstLine="480"/>
        <w:jc w:val="both"/>
      </w:pPr>
      <w:r>
        <w:rPr>
          <w:rFonts w:ascii="Times New Roman" w:cs="Times New Roman" w:eastAsia="Times New Roman" w:hAnsi="Times New Roman"/>
          <w:sz w:val="24"/>
          <w:szCs w:val="24"/>
        </w:rPr>
        <w:t xml:space="preserve">在规模化发展过程中，虚拟电厂面临以下六个核心难题：</w:t>
      </w:r>
    </w:p>
    <w:p>
      <w:pPr>
        <w:spacing w:line="360" w:lineRule="auto"/>
        <w:ind w:firstLine="480"/>
        <w:jc w:val="both"/>
      </w:pPr>
      <w:r>
        <w:rPr>
          <w:rFonts w:ascii="Times New Roman" w:cs="Times New Roman" w:eastAsia="Times New Roman" w:hAnsi="Times New Roman"/>
          <w:b/>
          <w:bCs/>
          <w:sz w:val="24"/>
          <w:szCs w:val="24"/>
        </w:rPr>
        <w:t xml:space="preserve">（1）多源异构数据特征提取困难。</w:t>
      </w:r>
      <w:r>
        <w:rPr>
          <w:rFonts w:ascii="Times New Roman" w:cs="Times New Roman" w:eastAsia="Times New Roman" w:hAnsi="Times New Roman"/>
          <w:sz w:val="24"/>
          <w:szCs w:val="24"/>
        </w:rPr>
        <w:t xml:space="preserve">虚拟电厂需要融合设备台账、运行参数、合同条款、生产工艺、市场规则等多源异构信息，其中大量数据以非结构化形式存在（如PDF合同、文本规程、语音调度指令），传统基于结构化数据库的处理方式难以有效提取和融合这些关键信息，导致资源运行约束与业务语义无法统一表达，数据治理效率低下。</w:t>
      </w:r>
    </w:p>
    <w:p>
      <w:pPr>
        <w:spacing w:line="360" w:lineRule="auto"/>
        <w:ind w:firstLine="480"/>
        <w:jc w:val="both"/>
      </w:pPr>
      <w:r>
        <w:rPr>
          <w:rFonts w:ascii="Times New Roman" w:cs="Times New Roman" w:eastAsia="Times New Roman" w:hAnsi="Times New Roman"/>
          <w:b/>
          <w:bCs/>
          <w:sz w:val="24"/>
          <w:szCs w:val="24"/>
        </w:rPr>
        <w:t xml:space="preserve">（2）负荷预测精度受限。</w:t>
      </w:r>
      <w:r>
        <w:rPr>
          <w:rFonts w:ascii="Times New Roman" w:cs="Times New Roman" w:eastAsia="Times New Roman" w:hAnsi="Times New Roman"/>
          <w:sz w:val="24"/>
          <w:szCs w:val="24"/>
        </w:rPr>
        <w:t xml:space="preserve">在极端气象（台风、寒潮）、节假日（春节、国庆）及高比例新能源扰动场景下，聚合资源的负荷/出力特性呈现高度非线性和不确定性，传统基于LSTM、XGBoost等单模型的预测方法泛化能力不足，预测偏差较大，直接影响电力市场交易的申报策略和偏差考核结果。</w:t>
      </w:r>
    </w:p>
    <w:p>
      <w:pPr>
        <w:spacing w:line="360" w:lineRule="auto"/>
        <w:ind w:firstLine="480"/>
        <w:jc w:val="both"/>
      </w:pPr>
      <w:r>
        <w:rPr>
          <w:rFonts w:ascii="Times New Roman" w:cs="Times New Roman" w:eastAsia="Times New Roman" w:hAnsi="Times New Roman"/>
          <w:b/>
          <w:bCs/>
          <w:sz w:val="24"/>
          <w:szCs w:val="24"/>
        </w:rPr>
        <w:t xml:space="preserve">（3）资源调节潜力评估可信度不足。</w:t>
      </w:r>
      <w:r>
        <w:rPr>
          <w:rFonts w:ascii="Times New Roman" w:cs="Times New Roman" w:eastAsia="Times New Roman" w:hAnsi="Times New Roman"/>
          <w:sz w:val="24"/>
          <w:szCs w:val="24"/>
        </w:rPr>
        <w:t xml:space="preserve">现有评估方法要么依赖物理机理建模（精确但难以规模化），要么依赖数据驱动（可扩展但缺乏物理约束保障），两种方法融合不深，导致对充电桩群体响应概率、空调负荷反弹效应、工业负荷工艺约束等复杂场景的调节能力评估存在系统性偏差，可信度不足，影响调度方案的可行性。</w:t>
      </w:r>
    </w:p>
    <w:p>
      <w:pPr>
        <w:spacing w:line="360" w:lineRule="auto"/>
        <w:ind w:firstLine="480"/>
        <w:jc w:val="both"/>
      </w:pPr>
      <w:r>
        <w:rPr>
          <w:rFonts w:ascii="Times New Roman" w:cs="Times New Roman" w:eastAsia="Times New Roman" w:hAnsi="Times New Roman"/>
          <w:b/>
          <w:bCs/>
          <w:sz w:val="24"/>
          <w:szCs w:val="24"/>
        </w:rPr>
        <w:t xml:space="preserve">（4）海量分布式资源协同调控效率偏低。</w:t>
      </w:r>
      <w:r>
        <w:rPr>
          <w:rFonts w:ascii="Times New Roman" w:cs="Times New Roman" w:eastAsia="Times New Roman" w:hAnsi="Times New Roman"/>
          <w:sz w:val="24"/>
          <w:szCs w:val="24"/>
        </w:rPr>
        <w:t xml:space="preserve">城市级虚拟电厂通常涉及数万至数十万个分布式资源节点，在高维约束条件（电压安全、线路容量、设备寿命、用户舒适度）下的协同优化问题属于NP难问题，传统集中式优化求解时间过长，无法满足实时调控的时效性要求。</w:t>
      </w:r>
    </w:p>
    <w:p>
      <w:pPr>
        <w:spacing w:line="360" w:lineRule="auto"/>
        <w:ind w:firstLine="480"/>
        <w:jc w:val="both"/>
      </w:pPr>
      <w:r>
        <w:rPr>
          <w:rFonts w:ascii="Times New Roman" w:cs="Times New Roman" w:eastAsia="Times New Roman" w:hAnsi="Times New Roman"/>
          <w:b/>
          <w:bCs/>
          <w:sz w:val="24"/>
          <w:szCs w:val="24"/>
        </w:rPr>
        <w:t xml:space="preserve">（5）电力市场交易风险较高。</w:t>
      </w:r>
      <w:r>
        <w:rPr>
          <w:rFonts w:ascii="Times New Roman" w:cs="Times New Roman" w:eastAsia="Times New Roman" w:hAnsi="Times New Roman"/>
          <w:sz w:val="24"/>
          <w:szCs w:val="24"/>
        </w:rPr>
        <w:t xml:space="preserve">现货电价受新能源出力波动、负荷突变、网络阻塞等多重因素影响，尖峰电价和负电价出现的频率和幅度逐年增大。虚拟电厂在现货市场的交易决策面临高度不确定性，缺乏对极端电价场景的预判和风险对冲能力，交易收益波动风险较高。</w:t>
      </w:r>
    </w:p>
    <w:p>
      <w:pPr>
        <w:spacing w:line="360" w:lineRule="auto"/>
        <w:ind w:firstLine="480"/>
        <w:jc w:val="both"/>
      </w:pPr>
      <w:r>
        <w:rPr>
          <w:rFonts w:ascii="Times New Roman" w:cs="Times New Roman" w:eastAsia="Times New Roman" w:hAnsi="Times New Roman"/>
          <w:b/>
          <w:bCs/>
          <w:sz w:val="24"/>
          <w:szCs w:val="24"/>
        </w:rPr>
        <w:t xml:space="preserve">（6）业务闭环能力较弱。</w:t>
      </w:r>
      <w:r>
        <w:rPr>
          <w:rFonts w:ascii="Times New Roman" w:cs="Times New Roman" w:eastAsia="Times New Roman" w:hAnsi="Times New Roman"/>
          <w:sz w:val="24"/>
          <w:szCs w:val="24"/>
        </w:rPr>
        <w:t xml:space="preserve">现有虚拟电厂平台的“生产运行—协同调控—市场交易”三大环节之间存在明显的信息断点和流程断裂，尚未形成数据驱动的“产—调—销”一体化运营体系。调度指令的下发、执行、反馈缺乏自动化闭环，市场策略的生成、执行、复盘缺乏智能化工具支撑。</w:t>
      </w:r>
    </w:p>
    <w:p>
      <w:pPr>
        <w:spacing w:line="360" w:lineRule="auto"/>
        <w:ind w:firstLine="480"/>
        <w:jc w:val="both"/>
      </w:pPr>
      <w:r>
        <w:rPr>
          <w:rFonts w:ascii="Times New Roman" w:cs="Times New Roman" w:eastAsia="Times New Roman" w:hAnsi="Times New Roman"/>
          <w:sz w:val="24"/>
          <w:szCs w:val="24"/>
        </w:rPr>
        <w:t xml:space="preserve">4. 人工智能技术应用前景</w:t>
      </w:r>
    </w:p>
    <w:p>
      <w:pPr>
        <w:spacing w:line="360" w:lineRule="auto"/>
        <w:ind w:firstLine="480"/>
        <w:jc w:val="both"/>
      </w:pPr>
      <w:r>
        <w:rPr>
          <w:rFonts w:ascii="Times New Roman" w:cs="Times New Roman" w:eastAsia="Times New Roman" w:hAnsi="Times New Roman"/>
          <w:sz w:val="24"/>
          <w:szCs w:val="24"/>
        </w:rPr>
        <w:t xml:space="preserve">针对上述六大难题，人工智能技术提供了系统性的破局路径：</w:t>
      </w:r>
    </w:p>
    <w:p>
      <w:pPr>
        <w:spacing w:line="360" w:lineRule="auto"/>
        <w:ind w:firstLine="480"/>
        <w:jc w:val="both"/>
      </w:pPr>
      <w:r>
        <w:rPr>
          <w:rFonts w:ascii="Times New Roman" w:cs="Times New Roman" w:eastAsia="Times New Roman" w:hAnsi="Times New Roman"/>
          <w:b/>
          <w:bCs/>
          <w:sz w:val="24"/>
          <w:szCs w:val="24"/>
        </w:rPr>
        <w:t xml:space="preserve">（1）多源异构数据特征治理。</w:t>
      </w:r>
      <w:r>
        <w:rPr>
          <w:rFonts w:ascii="Times New Roman" w:cs="Times New Roman" w:eastAsia="Times New Roman" w:hAnsi="Times New Roman"/>
          <w:sz w:val="24"/>
          <w:szCs w:val="24"/>
        </w:rPr>
        <w:t xml:space="preserve">运用大语言模型（LLM）等人工智能技术对合同文本、设备说明、工艺流程、市场规则等非结构化数据进行深度语义理解与结构化提取，形成资源运行约束与业务语义的统一表达能力，构建虚拟电厂的“知识底座”，提升数据治理的智能化水平。</w:t>
      </w:r>
    </w:p>
    <w:p>
      <w:pPr>
        <w:spacing w:line="360" w:lineRule="auto"/>
        <w:ind w:firstLine="480"/>
        <w:jc w:val="both"/>
      </w:pPr>
      <w:r>
        <w:rPr>
          <w:rFonts w:ascii="Times New Roman" w:cs="Times New Roman" w:eastAsia="Times New Roman" w:hAnsi="Times New Roman"/>
          <w:b/>
          <w:bCs/>
          <w:sz w:val="24"/>
          <w:szCs w:val="24"/>
        </w:rPr>
        <w:t xml:space="preserve">（2）聚合资源负荷预测。</w:t>
      </w:r>
      <w:r>
        <w:rPr>
          <w:rFonts w:ascii="Times New Roman" w:cs="Times New Roman" w:eastAsia="Times New Roman" w:hAnsi="Times New Roman"/>
          <w:sz w:val="24"/>
          <w:szCs w:val="24"/>
        </w:rPr>
        <w:t xml:space="preserve">运用深度学习、时序大模型等人工智能技术增强极端气象、节假日及高比例新能源扰动场景下的负荷预测精度与模型泛化能力，建立多时间尺度（超短期—短期—中期）层次化预测架构，提升预测结果在复杂工况下的可靠性，为电力市场申报和调度决策提供高精度输入。</w:t>
      </w:r>
    </w:p>
    <w:p>
      <w:pPr>
        <w:spacing w:line="360" w:lineRule="auto"/>
        <w:ind w:firstLine="480"/>
        <w:jc w:val="both"/>
      </w:pPr>
      <w:r>
        <w:rPr>
          <w:rFonts w:ascii="Times New Roman" w:cs="Times New Roman" w:eastAsia="Times New Roman" w:hAnsi="Times New Roman"/>
          <w:b/>
          <w:bCs/>
          <w:sz w:val="24"/>
          <w:szCs w:val="24"/>
        </w:rPr>
        <w:t xml:space="preserve">（3）资源调节潜力评估。</w:t>
      </w:r>
      <w:r>
        <w:rPr>
          <w:rFonts w:ascii="Times New Roman" w:cs="Times New Roman" w:eastAsia="Times New Roman" w:hAnsi="Times New Roman"/>
          <w:sz w:val="24"/>
          <w:szCs w:val="24"/>
        </w:rPr>
        <w:t xml:space="preserve">运用物理信息神经网络（PINN）、图神经网络（GNN）等人工智能技术融合物理机理约束与数据驱动方法，对充电桩、空调、工业负荷等异质性资源的可调潜力进行精细化评估，增强调节能力评估的可信度，确保调度方案的可执行性。</w:t>
      </w:r>
    </w:p>
    <w:p>
      <w:pPr>
        <w:spacing w:line="360" w:lineRule="auto"/>
        <w:ind w:firstLine="480"/>
        <w:jc w:val="both"/>
      </w:pPr>
      <w:r>
        <w:rPr>
          <w:rFonts w:ascii="Times New Roman" w:cs="Times New Roman" w:eastAsia="Times New Roman" w:hAnsi="Times New Roman"/>
          <w:b/>
          <w:bCs/>
          <w:sz w:val="24"/>
          <w:szCs w:val="24"/>
        </w:rPr>
        <w:t xml:space="preserve">（4）资源协同调控。</w:t>
      </w:r>
      <w:r>
        <w:rPr>
          <w:rFonts w:ascii="Times New Roman" w:cs="Times New Roman" w:eastAsia="Times New Roman" w:hAnsi="Times New Roman"/>
          <w:sz w:val="24"/>
          <w:szCs w:val="24"/>
        </w:rPr>
        <w:t xml:space="preserve">运用多智能体深度强化学习（MADRL）、层次化优化等人工智能技术提升海量分布式资源在高维约束条件下的协同优化求解效率，实现“电网—虚拟电厂—聚合资源”之间跨时间尺度（秒级调频、分钟级调峰、日前优化）的动态协同调控，满足实时性和鲁棒性要求。</w:t>
      </w:r>
    </w:p>
    <w:p>
      <w:pPr>
        <w:spacing w:line="360" w:lineRule="auto"/>
        <w:ind w:firstLine="480"/>
        <w:jc w:val="both"/>
      </w:pPr>
      <w:r>
        <w:rPr>
          <w:rFonts w:ascii="Times New Roman" w:cs="Times New Roman" w:eastAsia="Times New Roman" w:hAnsi="Times New Roman"/>
          <w:b/>
          <w:bCs/>
          <w:sz w:val="24"/>
          <w:szCs w:val="24"/>
        </w:rPr>
        <w:t xml:space="preserve">（5）电力市场交易。</w:t>
      </w:r>
      <w:r>
        <w:rPr>
          <w:rFonts w:ascii="Times New Roman" w:cs="Times New Roman" w:eastAsia="Times New Roman" w:hAnsi="Times New Roman"/>
          <w:sz w:val="24"/>
          <w:szCs w:val="24"/>
        </w:rPr>
        <w:t xml:space="preserve">运用大语言模型+深度强化学习（LLM+DRL）混合智能架构提升现货电价（尤其是尖峰电价及负电价）的预测与识别能力，增强复杂市场环境下的风险识别与交易决策支持能力，实现多市场品种的协同优化参与。</w:t>
      </w:r>
    </w:p>
    <w:p>
      <w:pPr>
        <w:spacing w:line="360" w:lineRule="auto"/>
        <w:ind w:firstLine="480"/>
        <w:jc w:val="both"/>
      </w:pPr>
      <w:r>
        <w:rPr>
          <w:rFonts w:ascii="Times New Roman" w:cs="Times New Roman" w:eastAsia="Times New Roman" w:hAnsi="Times New Roman"/>
          <w:b/>
          <w:bCs/>
          <w:sz w:val="24"/>
          <w:szCs w:val="24"/>
        </w:rPr>
        <w:t xml:space="preserve">（6）“产调销”一体化运营。</w:t>
      </w:r>
      <w:r>
        <w:rPr>
          <w:rFonts w:ascii="Times New Roman" w:cs="Times New Roman" w:eastAsia="Times New Roman" w:hAnsi="Times New Roman"/>
          <w:sz w:val="24"/>
          <w:szCs w:val="24"/>
        </w:rPr>
        <w:t xml:space="preserve">运用智能Agent、自动化工作流等人工智能技术打通“生产运行—协同调控—市场交易”全链路，构建从感知预测到决策执行的智能闭环，提升策略协同与自动化闭环执行能力，实现虚拟电厂运营效率的整体跃升。</w:t>
      </w:r>
    </w:p>
    <w:p>
      <w:pPr>
        <w:pStyle w:val="Heading2"/>
        <w:spacing w:after="60" w:before="60" w:line="360" w:lineRule="auto"/>
        <w:jc w:val="left"/>
      </w:pPr>
      <w:r>
        <w:rPr>
          <w:rFonts w:ascii="Times New Roman" w:cs="Times New Roman" w:eastAsia="Times New Roman" w:hAnsi="Times New Roman"/>
          <w:b/>
          <w:bCs/>
          <w:sz w:val="28"/>
          <w:szCs w:val="28"/>
        </w:rPr>
        <w:t xml:space="preserve">（二）问题分析与需求痛点</w:t>
      </w:r>
    </w:p>
    <w:p>
      <w:pPr>
        <w:spacing w:line="360" w:lineRule="auto"/>
        <w:ind w:firstLine="480"/>
        <w:jc w:val="both"/>
      </w:pPr>
      <w:r>
        <w:rPr>
          <w:rFonts w:ascii="Times New Roman" w:cs="Times New Roman" w:eastAsia="Times New Roman" w:hAnsi="Times New Roman"/>
          <w:sz w:val="24"/>
          <w:szCs w:val="24"/>
        </w:rPr>
        <w:t xml:space="preserve">上述六大难题并非孤立存在，而是相互交织、互为因果，构成了制约虚拟电厂规模化发展的系统性瓶颈。以下从国内虚拟电厂实际运行场景出发，逐一剖析每个“卡点”的具体表现、根源及其紧迫性。</w:t>
      </w:r>
    </w:p>
    <w:p>
      <w:pPr>
        <w:spacing w:line="360" w:lineRule="auto"/>
        <w:ind w:firstLine="480"/>
        <w:jc w:val="both"/>
      </w:pPr>
      <w:r>
        <w:rPr>
          <w:rFonts w:ascii="Times New Roman" w:cs="Times New Roman" w:eastAsia="Times New Roman" w:hAnsi="Times New Roman"/>
          <w:b/>
          <w:bCs/>
          <w:sz w:val="24"/>
          <w:szCs w:val="24"/>
        </w:rPr>
        <w:t xml:space="preserve">卡点一：多源异构数据治理“散而不通”——非结构化信息的语义提取与融合能力缺失。</w:t>
      </w:r>
      <w:r>
        <w:rPr>
          <w:rFonts w:ascii="Times New Roman" w:cs="Times New Roman" w:eastAsia="Times New Roman" w:hAnsi="Times New Roman"/>
          <w:sz w:val="24"/>
          <w:szCs w:val="24"/>
        </w:rPr>
        <w:t xml:space="preserve"/>
      </w:r>
    </w:p>
    <w:p>
      <w:pPr>
        <w:spacing w:line="360" w:lineRule="auto"/>
        <w:ind w:firstLine="480"/>
        <w:jc w:val="both"/>
      </w:pPr>
      <w:r>
        <w:rPr>
          <w:rFonts w:ascii="Times New Roman" w:cs="Times New Roman" w:eastAsia="Times New Roman" w:hAnsi="Times New Roman"/>
          <w:sz w:val="24"/>
          <w:szCs w:val="24"/>
        </w:rPr>
        <w:t xml:space="preserve">从国内虚拟电厂实际运行业务来看，一个中等规模城市级虚拟电厂需要管理涵盖分布式光伏（设备台账、逆变器参数、并网协议）、充电桩（功率曲线、运营商合同、用户行为数据）、空调负荷（建筑热力学参数、用户舒适度要求、分时电价合同）、工业柔性负荷（生产工艺流程、设备启停约束、订单排产计划）以及储能电站（SOC健康状态、充放电策略、安全运行边界）等多种资源。这些资源的信息分散在电网调度系统（EMS/DMS）、营销系统（CIS）、用电信息采集系统（AMI）、电力交易系统以及各类线下合同和纸质文档中，数据格式异构、语义不统一。以深圳虚拟电厂实际运营为例，仅充电桩资源就涉及20余家运营商，每家运营商的接口协议、数据字段、命名规范各不相同，数据接入和清洗工作量占平台建设总工作量的40%以上。</w:t>
      </w:r>
    </w:p>
    <w:p>
      <w:pPr>
        <w:spacing w:line="360" w:lineRule="auto"/>
        <w:ind w:firstLine="480"/>
        <w:jc w:val="both"/>
      </w:pPr>
      <w:r>
        <w:rPr>
          <w:rFonts w:ascii="Times New Roman" w:cs="Times New Roman" w:eastAsia="Times New Roman" w:hAnsi="Times New Roman"/>
          <w:sz w:val="24"/>
          <w:szCs w:val="24"/>
        </w:rPr>
        <w:t xml:space="preserve">问题的根源在于虚拟电厂缺乏针对电力领域非结构化数据的语义理解与提取能力。传统数据中台技术擅长处理结构化数据，对于PDF合同中的调节义务条款、文字版调度规程中的约束条件、语音及文本形式的用户沟通记录等非结构化信息无法自动化提取和结构化。大语言模型的出现提供了解决这一问题的技术路径，但目前尚无面向虚拟电厂业务场景的专用LLM模型和领域知识库。数据治理是虚拟电厂智能化的“地基”工程。如果多源异构数据无法实现高质量的语义级融合与统一表达，后续的负荷预测、潜力评估、协同调控、市场交易等环节都将建立在不可靠的数据基础之上，形成“垃圾进、垃圾出”的系统性风险。</w:t>
      </w:r>
    </w:p>
    <w:p>
      <w:pPr>
        <w:spacing w:line="360" w:lineRule="auto"/>
        <w:ind w:firstLine="480"/>
        <w:jc w:val="both"/>
      </w:pPr>
      <w:r>
        <w:rPr>
          <w:rFonts w:ascii="Times New Roman" w:cs="Times New Roman" w:eastAsia="Times New Roman" w:hAnsi="Times New Roman"/>
          <w:b/>
          <w:bCs/>
          <w:sz w:val="24"/>
          <w:szCs w:val="24"/>
        </w:rPr>
        <w:t xml:space="preserve">卡点二：负荷预测“准而不稳”——极端场景下预测模型的泛化能力不足。</w:t>
      </w:r>
      <w:r>
        <w:rPr>
          <w:rFonts w:ascii="Times New Roman" w:cs="Times New Roman" w:eastAsia="Times New Roman" w:hAnsi="Times New Roman"/>
          <w:sz w:val="24"/>
          <w:szCs w:val="24"/>
        </w:rPr>
        <w:t xml:space="preserve"/>
      </w:r>
    </w:p>
    <w:p>
      <w:pPr>
        <w:spacing w:line="360" w:lineRule="auto"/>
        <w:ind w:firstLine="480"/>
        <w:jc w:val="both"/>
      </w:pPr>
      <w:r>
        <w:rPr>
          <w:rFonts w:ascii="Times New Roman" w:cs="Times New Roman" w:eastAsia="Times New Roman" w:hAnsi="Times New Roman"/>
          <w:sz w:val="24"/>
          <w:szCs w:val="24"/>
        </w:rPr>
        <w:t xml:space="preserve">广东电网虚拟电厂负荷预测的实际运行数据显示，在常规日（晴朗、工作日），基于XGBoost或LSTM的日前负荷预测精度（MAPE）可达6%—8%；但在台风“苏拉”过境期间（2023年9月），预测误差飙升至25%以上；在春节期间（2024年2月），因大量工业用户停工和居民用电模式剧变，预测偏差也超过20%。冀北虚拟电厂的日前申报偏差率长期在15%以上波动，其中高比例新能源出力不确定性是主要原因——当风电出力预测偏差与负荷预测偏差同向叠加时，总偏差率可超过30%。这种“日常准、极端时崩”的预测表现，直接导致虚拟电厂在电力现货市场中面临高额的偏差考核费用，严重侵蚀运营收益。</w:t>
      </w:r>
    </w:p>
    <w:p>
      <w:pPr>
        <w:spacing w:line="360" w:lineRule="auto"/>
        <w:ind w:firstLine="480"/>
        <w:jc w:val="both"/>
      </w:pPr>
      <w:r>
        <w:rPr>
          <w:rFonts w:ascii="Times New Roman" w:cs="Times New Roman" w:eastAsia="Times New Roman" w:hAnsi="Times New Roman"/>
          <w:sz w:val="24"/>
          <w:szCs w:val="24"/>
        </w:rPr>
        <w:t xml:space="preserve">传统预测模型（包括深度学习方法）本质上是基于历史数据分布的统计学习，在训练数据覆盖的场景范围内表现良好，但对分布外（Out-of-Distribution）场景——如极端天气、特殊节假日、突发性的新能源出力剧烈波动——缺乏泛化能力。此外，现有预测模型多为“单点预测”，缺乏对预测不确定性的量化表达，无法为后续的决策环节提供风险信息。随着新能源渗透率持续提升和极端天气事件频发，预报误差造成偏差考核的风险只会越来越大。预测精度的提升是虚拟电厂参与电力市场交易的“生命线”——1个百分点的精度提升，对于一个年交易电量10亿千瓦时的虚拟电厂而言，可减少偏差考核损失数百万元。</w:t>
      </w:r>
    </w:p>
    <w:p>
      <w:pPr>
        <w:spacing w:line="360" w:lineRule="auto"/>
        <w:ind w:firstLine="480"/>
        <w:jc w:val="both"/>
      </w:pPr>
      <w:r>
        <w:rPr>
          <w:rFonts w:ascii="Times New Roman" w:cs="Times New Roman" w:eastAsia="Times New Roman" w:hAnsi="Times New Roman"/>
          <w:b/>
          <w:bCs/>
          <w:sz w:val="24"/>
          <w:szCs w:val="24"/>
        </w:rPr>
        <w:t xml:space="preserve">卡点三：调节潜力评估“估而不准”——物理机理与数据驱动方法融合不深。</w:t>
      </w:r>
      <w:r>
        <w:rPr>
          <w:rFonts w:ascii="Times New Roman" w:cs="Times New Roman" w:eastAsia="Times New Roman" w:hAnsi="Times New Roman"/>
          <w:sz w:val="24"/>
          <w:szCs w:val="24"/>
        </w:rPr>
        <w:t xml:space="preserve"/>
      </w:r>
    </w:p>
    <w:p>
      <w:pPr>
        <w:spacing w:line="360" w:lineRule="auto"/>
        <w:ind w:firstLine="480"/>
        <w:jc w:val="both"/>
      </w:pPr>
      <w:r>
        <w:rPr>
          <w:rFonts w:ascii="Times New Roman" w:cs="Times New Roman" w:eastAsia="Times New Roman" w:hAnsi="Times New Roman"/>
          <w:sz w:val="24"/>
          <w:szCs w:val="24"/>
        </w:rPr>
        <w:t xml:space="preserve">虚拟电厂参与电网调度或市场交易时，需要向电网调度机构或电力交易中心申报可调容量。以广东调频辅助服务市场为例，虚拟电厂申报的调频容量必须真实可用，否则面临考核惩罚。然而，从实际运行情况看，虚拟电厂对于充电桩响应概率（用户是否真的会响应下调充电功率的指令？）、空调负荷反弹效应（削减冷量后，恢复供冷时的负荷反弹如何量化？）、工业负荷工艺约束（某条生产线在什么条件下可以降功率运行、降多少、持续多久？）等复杂场景的调节能力评估，与实际可调能力之间存在系统性偏差。某广东虚拟电厂2024年度参与调频辅助服务市场的统计显示，聚合资源申报可调容量与实际最大可调容量之比平均仅为73%，即虚报了约27%的不可调用容量，存在较大考核风险。</w:t>
      </w:r>
    </w:p>
    <w:p>
      <w:pPr>
        <w:spacing w:line="360" w:lineRule="auto"/>
        <w:ind w:firstLine="480"/>
        <w:jc w:val="both"/>
      </w:pPr>
      <w:r>
        <w:rPr>
          <w:rFonts w:ascii="Times New Roman" w:cs="Times New Roman" w:eastAsia="Times New Roman" w:hAnsi="Times New Roman"/>
          <w:sz w:val="24"/>
          <w:szCs w:val="24"/>
        </w:rPr>
        <w:t xml:space="preserve">物理机理建模可以准确刻画单一设备的物理约束（如储能SOC上下限、充电功率最大值），但难以描述成千上万设备聚合后的随机行为（如充电桩集群中到底有多少辆车会接受调度指令）；数据驱动方法可以学习聚合行为模式，但容易产生违反物理约束的“非物理”评估结果。两者简单“加权平均”式的融合无法从根本上解决问题。调节潜力评估的可信度不足，已成为制约虚拟电厂参与调频、调峰等高价值辅助服务市场的关键瓶颈。如果电网调度机构对虚拟电厂的申报容量缺乏信任，虚拟电厂的市场空间将被大幅压缩。</w:t>
      </w:r>
    </w:p>
    <w:p>
      <w:pPr>
        <w:spacing w:line="360" w:lineRule="auto"/>
        <w:ind w:firstLine="480"/>
        <w:jc w:val="both"/>
      </w:pPr>
      <w:r>
        <w:rPr>
          <w:rFonts w:ascii="Times New Roman" w:cs="Times New Roman" w:eastAsia="Times New Roman" w:hAnsi="Times New Roman"/>
          <w:b/>
          <w:bCs/>
          <w:sz w:val="24"/>
          <w:szCs w:val="24"/>
        </w:rPr>
        <w:t xml:space="preserve">卡点四：协同调控“调而不快”——高维约束下优化求解效率难以满足实时性要求。</w:t>
      </w:r>
      <w:r>
        <w:rPr>
          <w:rFonts w:ascii="Times New Roman" w:cs="Times New Roman" w:eastAsia="Times New Roman" w:hAnsi="Times New Roman"/>
          <w:sz w:val="24"/>
          <w:szCs w:val="24"/>
        </w:rPr>
        <w:t xml:space="preserve"/>
      </w:r>
    </w:p>
    <w:p>
      <w:pPr>
        <w:spacing w:line="360" w:lineRule="auto"/>
        <w:ind w:firstLine="480"/>
        <w:jc w:val="both"/>
      </w:pPr>
      <w:r>
        <w:rPr>
          <w:rFonts w:ascii="Times New Roman" w:cs="Times New Roman" w:eastAsia="Times New Roman" w:hAnsi="Times New Roman"/>
          <w:sz w:val="24"/>
          <w:szCs w:val="24"/>
        </w:rPr>
        <w:t xml:space="preserve">深圳虚拟电厂在2024年迎峰度夏期间的实际运行记录显示，当电网调度机构下发调峰指令时，从接收指令到生成各充电桩、储能、空调的具体调控方案，平均需要3—5分钟的优化求解时间。对于分钟级调峰需求而言，这个响应延迟处于临界状态；对于秒级调频需求，则完全无法满足。江苏虚拟电厂的测试数据显示，当聚合资源节点数超过1万个时，传统集中式优化算法（基于MILP/QP）的单次求解时间超过10分钟，根本无法支撑日内滚动优化和实时调控的时效性要求。</w:t>
      </w:r>
    </w:p>
    <w:p>
      <w:pPr>
        <w:spacing w:line="360" w:lineRule="auto"/>
        <w:ind w:firstLine="480"/>
        <w:jc w:val="both"/>
      </w:pPr>
      <w:r>
        <w:rPr>
          <w:rFonts w:ascii="Times New Roman" w:cs="Times New Roman" w:eastAsia="Times New Roman" w:hAnsi="Times New Roman"/>
          <w:sz w:val="24"/>
          <w:szCs w:val="24"/>
        </w:rPr>
        <w:t xml:space="preserve">虚拟电厂协同调控本质上是高维、非线性、混合整数优化问题。随着资源节点数量的增加，问题复杂度呈指数级增长。传统集中式优化算法在理论上是精确的，但在工程上的求解时效性不可接受。多智能体深度强化学习（MADRL）等技术理论上可以大幅缩减求解时间，但目前缺少面向城市级虚拟电厂的大规模仿真验证和工程部署经验。协同调控的实时性是虚拟电厂服务电网调度能力的关键评判指标。在新型电力系统运行环境下，电网对灵活性调节资源的响应时间要求在不断提高——从“小时级”到“分钟级”再到“秒级”。如果虚拟电厂的调控响应时延不能满足电网调度要求，其作为灵活性调节资源的价值将大打折扣。</w:t>
      </w:r>
    </w:p>
    <w:p>
      <w:pPr>
        <w:spacing w:line="360" w:lineRule="auto"/>
        <w:ind w:firstLine="480"/>
        <w:jc w:val="both"/>
      </w:pPr>
      <w:r>
        <w:rPr>
          <w:rFonts w:ascii="Times New Roman" w:cs="Times New Roman" w:eastAsia="Times New Roman" w:hAnsi="Times New Roman"/>
          <w:b/>
          <w:bCs/>
          <w:sz w:val="24"/>
          <w:szCs w:val="24"/>
        </w:rPr>
        <w:t xml:space="preserve">卡点五：市场交易“利而不稳”——电价剧烈波动场景下风险识别与决策支撑能力薄弱。</w:t>
      </w:r>
      <w:r>
        <w:rPr>
          <w:rFonts w:ascii="Times New Roman" w:cs="Times New Roman" w:eastAsia="Times New Roman" w:hAnsi="Times New Roman"/>
          <w:sz w:val="24"/>
          <w:szCs w:val="24"/>
        </w:rPr>
        <w:t xml:space="preserve"/>
      </w:r>
    </w:p>
    <w:p>
      <w:pPr>
        <w:spacing w:line="360" w:lineRule="auto"/>
        <w:ind w:firstLine="480"/>
        <w:jc w:val="both"/>
      </w:pPr>
      <w:r>
        <w:rPr>
          <w:rFonts w:ascii="Times New Roman" w:cs="Times New Roman" w:eastAsia="Times New Roman" w:hAnsi="Times New Roman"/>
          <w:sz w:val="24"/>
          <w:szCs w:val="24"/>
        </w:rPr>
        <w:t xml:space="preserve">2024年广东电力现货市场的运行数据揭示了一个严峻的现实：现货日前市场出现尖峰电价（&gt;1.5元/千瓦时）的小时数达到78小时，较2023年增长120%；同时首次出现负电价现象（2024年5月1日，凌晨2—4时出清价为-0.08元/千瓦时）。冀北虚拟电厂2024年的交易记录显示，在全年的日交易中，约15%的交易日报酬率为负。这说明在现货电价剧烈波动的市场环境下，虚拟电厂现有的交易策略（多为规则化策略或简单优化模型）缺乏对极端电价场景的提前预判和自适应调整能力。</w:t>
      </w:r>
    </w:p>
    <w:p>
      <w:pPr>
        <w:spacing w:line="360" w:lineRule="auto"/>
        <w:ind w:firstLine="480"/>
        <w:jc w:val="both"/>
      </w:pPr>
      <w:r>
        <w:rPr>
          <w:rFonts w:ascii="Times New Roman" w:cs="Times New Roman" w:eastAsia="Times New Roman" w:hAnsi="Times New Roman"/>
          <w:sz w:val="24"/>
          <w:szCs w:val="24"/>
        </w:rPr>
        <w:t xml:space="preserve">现货电价的形成受新能源出力（主要影响供给）、负荷水平（主要影响需求）、网络阻塞（影响空间分布）及市场力行为（影响博弈均衡）四重因素的共同作用，具有非线性、非平稳、多模态分布等复杂特性。传统电价预测方法（ARIMA、GARCH等统计模型）难以捕捉极端事件（尖峰/负电价），而强化学习策略在训练环境与真实市场环境存在分布偏移时，可能做出高风险的错误决策。此外，虚拟电厂面临的多市场（电能量+调频+调峰）协同参与问题在理论上是高维联合优化问题，现有分市场独立决策的方法存在明显的“次优”缺陷。随着新能源上网电价市场化改革深化，现货电价的波动性只会进一步增强。虚拟电厂如果不能建立有效的风险识别与自适应决策能力，将面临“参与越多、亏损越多”的尴尬局面，市场参与的可持续性受到严重威胁。</w:t>
      </w:r>
    </w:p>
    <w:p>
      <w:pPr>
        <w:spacing w:line="360" w:lineRule="auto"/>
        <w:ind w:firstLine="480"/>
        <w:jc w:val="both"/>
      </w:pPr>
      <w:r>
        <w:rPr>
          <w:rFonts w:ascii="Times New Roman" w:cs="Times New Roman" w:eastAsia="Times New Roman" w:hAnsi="Times New Roman"/>
          <w:b/>
          <w:bCs/>
          <w:sz w:val="24"/>
          <w:szCs w:val="24"/>
        </w:rPr>
        <w:t xml:space="preserve">卡点六：“产调销”一体化“联而不通”——全链路信息断点导致运营效率损失。</w:t>
      </w:r>
      <w:r>
        <w:rPr>
          <w:rFonts w:ascii="Times New Roman" w:cs="Times New Roman" w:eastAsia="Times New Roman" w:hAnsi="Times New Roman"/>
          <w:sz w:val="24"/>
          <w:szCs w:val="24"/>
        </w:rPr>
        <w:t xml:space="preserve"/>
      </w:r>
    </w:p>
    <w:p>
      <w:pPr>
        <w:spacing w:line="360" w:lineRule="auto"/>
        <w:ind w:firstLine="480"/>
        <w:jc w:val="both"/>
      </w:pPr>
      <w:r>
        <w:rPr>
          <w:rFonts w:ascii="Times New Roman" w:cs="Times New Roman" w:eastAsia="Times New Roman" w:hAnsi="Times New Roman"/>
          <w:sz w:val="24"/>
          <w:szCs w:val="24"/>
        </w:rPr>
        <w:t xml:space="preserve">从国内主要虚拟电厂平台的架构分析来看，现有平台的“生产运行”模块（负责资源状态监测与运行管理）、“协同调控”模块（负责调度指令分解与执行）和“市场交易”模块（负责交易申报与结算）通常由不同团队、在不同时期、采用不同技术架构分别开发，三者之间通过定期批量数据同步的方式进行信息交换，而非实时联动。这导致三个环节之间存在显著的信息断点：当市场交易模块根据日前电价预测做出“次日午间12:00—14:00申报调峰”的决策后，协同调控模块可能因为实时负荷预测与日前预测存在偏差，无法完成调峰指令的执行；当生产运行模块监测到某储能设备出现异常降功率时，市场交易模块可能仍在基于错误的可调容量信息进行新一轮交易申报。这种“联而不通”的运营模式导致整体运营效率损失15%—25%，严重制约了虚拟电厂的规模化盈利能力。</w:t>
      </w:r>
    </w:p>
    <w:p>
      <w:pPr>
        <w:spacing w:line="360" w:lineRule="auto"/>
        <w:ind w:firstLine="480"/>
        <w:jc w:val="both"/>
      </w:pPr>
      <w:r>
        <w:rPr>
          <w:rFonts w:ascii="Times New Roman" w:cs="Times New Roman" w:eastAsia="Times New Roman" w:hAnsi="Times New Roman"/>
          <w:sz w:val="24"/>
          <w:szCs w:val="24"/>
        </w:rPr>
        <w:t xml:space="preserve">“产调销”一体化的核心瓶颈不在于技术框架层面，而在于缺乏一个统一的AI决策引擎，能够（1）实时融合三个环节的状态信息，（2）驱动端到端的闭环决策流程，（3）自动协调各环节之间的策略冲突。虚拟电厂正处于从“示范试点”向“规模化商用”跨越的关键窗口期。如果不能打通“产调销”全链路闭环，虚拟电厂将长期处于“有资源、有市场、但赚不到钱”的尴尬境地，规模化发展战略将受到严重制约。</w:t>
      </w:r>
    </w:p>
    <w:p>
      <w:pPr>
        <w:pStyle w:val="Heading2"/>
        <w:spacing w:after="60" w:before="60" w:line="360" w:lineRule="auto"/>
        <w:jc w:val="left"/>
      </w:pPr>
      <w:r>
        <w:rPr>
          <w:rFonts w:ascii="Times New Roman" w:cs="Times New Roman" w:eastAsia="Times New Roman" w:hAnsi="Times New Roman"/>
          <w:b/>
          <w:bCs/>
          <w:sz w:val="28"/>
          <w:szCs w:val="28"/>
        </w:rPr>
        <w:t xml:space="preserve">（三）本项目拟解决的关键问题</w:t>
      </w:r>
    </w:p>
    <w:p>
      <w:pPr>
        <w:spacing w:line="360" w:lineRule="auto"/>
        <w:ind w:firstLine="480"/>
        <w:jc w:val="both"/>
      </w:pPr>
      <w:r>
        <w:rPr>
          <w:rFonts w:ascii="Times New Roman" w:cs="Times New Roman" w:eastAsia="Times New Roman" w:hAnsi="Times New Roman"/>
          <w:sz w:val="24"/>
          <w:szCs w:val="24"/>
        </w:rPr>
        <w:t xml:space="preserve">综上所述，本项目瞄准虚拟电厂规模化发展中的六大系统性难题，拟以人工智能技术为核心驱动力，系统性地解决以下关键问题：</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200"/>
        <w:gridCol w:w="2806"/>
      </w:tblGrid>
      <w:tr>
        <w:trPr>
          <w:tblHeader/>
        </w:trPr>
        <w:tc>
          <w:tcPr>
            <w:tcW w:type="dxa" w:w="500"/>
            <w:shd w:fill="D9E2F3" w:val="clear"/>
          </w:tcPr>
          <w:p>
            <w:pPr>
              <w:spacing w:line="300" w:lineRule="auto"/>
              <w:jc w:val="center"/>
            </w:pPr>
            <w:r>
              <w:rPr>
                <w:rFonts w:ascii="Times New Roman" w:cs="Times New Roman" w:eastAsia="Times New Roman" w:hAnsi="Times New Roman"/>
                <w:b/>
                <w:bCs/>
                <w:sz w:val="20"/>
                <w:szCs w:val="20"/>
              </w:rPr>
              <w:t xml:space="preserve">序号</w:t>
            </w:r>
          </w:p>
        </w:tc>
        <w:tc>
          <w:tcPr>
            <w:tcW w:type="dxa" w:w="1800"/>
            <w:shd w:fill="D9E2F3" w:val="clear"/>
          </w:tcPr>
          <w:p>
            <w:pPr>
              <w:spacing w:line="300" w:lineRule="auto"/>
              <w:jc w:val="center"/>
            </w:pPr>
            <w:r>
              <w:rPr>
                <w:rFonts w:ascii="Times New Roman" w:cs="Times New Roman" w:eastAsia="Times New Roman" w:hAnsi="Times New Roman"/>
                <w:b/>
                <w:bCs/>
                <w:sz w:val="20"/>
                <w:szCs w:val="20"/>
              </w:rPr>
              <w:t xml:space="preserve">关键问题</w:t>
            </w:r>
          </w:p>
        </w:tc>
        <w:tc>
          <w:tcPr>
            <w:tcW w:type="dxa" w:w="3200"/>
            <w:shd w:fill="D9E2F3" w:val="clear"/>
          </w:tcPr>
          <w:p>
            <w:pPr>
              <w:spacing w:line="300" w:lineRule="auto"/>
              <w:jc w:val="center"/>
            </w:pPr>
            <w:r>
              <w:rPr>
                <w:rFonts w:ascii="Times New Roman" w:cs="Times New Roman" w:eastAsia="Times New Roman" w:hAnsi="Times New Roman"/>
                <w:b/>
                <w:bCs/>
                <w:sz w:val="20"/>
                <w:szCs w:val="20"/>
              </w:rPr>
              <w:t xml:space="preserve">问题描述</w:t>
            </w:r>
          </w:p>
        </w:tc>
        <w:tc>
          <w:tcPr>
            <w:tcW w:type="dxa" w:w="2806"/>
            <w:shd w:fill="D9E2F3" w:val="clear"/>
          </w:tcPr>
          <w:p>
            <w:pPr>
              <w:spacing w:line="300" w:lineRule="auto"/>
              <w:jc w:val="center"/>
            </w:pPr>
            <w:r>
              <w:rPr>
                <w:rFonts w:ascii="Times New Roman" w:cs="Times New Roman" w:eastAsia="Times New Roman" w:hAnsi="Times New Roman"/>
                <w:b/>
                <w:bCs/>
                <w:sz w:val="20"/>
                <w:szCs w:val="20"/>
              </w:rPr>
              <w:t xml:space="preserve">AI技术路线</w:t>
            </w:r>
          </w:p>
        </w:tc>
      </w:tr>
      <w:tr>
        <w:tc>
          <w:tcPr>
            <w:tcW w:type="dxa" w:w="500"/>
          </w:tcPr>
          <w:p>
            <w:pPr>
              <w:spacing w:line="300" w:lineRule="auto"/>
              <w:jc w:val="left"/>
            </w:pPr>
            <w:r>
              <w:rPr>
                <w:rFonts w:ascii="Times New Roman" w:cs="Times New Roman" w:eastAsia="Times New Roman" w:hAnsi="Times New Roman"/>
                <w:sz w:val="20"/>
                <w:szCs w:val="20"/>
              </w:rPr>
              <w:t xml:space="preserve">1</w:t>
            </w:r>
          </w:p>
        </w:tc>
        <w:tc>
          <w:tcPr>
            <w:tcW w:type="dxa" w:w="1800"/>
          </w:tcPr>
          <w:p>
            <w:pPr>
              <w:spacing w:line="300" w:lineRule="auto"/>
              <w:jc w:val="center"/>
            </w:pPr>
            <w:r>
              <w:rPr>
                <w:rFonts w:ascii="Times New Roman" w:cs="Times New Roman" w:eastAsia="Times New Roman" w:hAnsi="Times New Roman"/>
                <w:sz w:val="20"/>
                <w:szCs w:val="20"/>
              </w:rPr>
              <w:t xml:space="preserve">多源异构数据特征治理</w:t>
            </w:r>
          </w:p>
        </w:tc>
        <w:tc>
          <w:tcPr>
            <w:tcW w:type="dxa" w:w="3200"/>
          </w:tcPr>
          <w:p>
            <w:pPr>
              <w:spacing w:line="300" w:lineRule="auto"/>
              <w:jc w:val="center"/>
            </w:pPr>
            <w:r>
              <w:rPr>
                <w:rFonts w:ascii="Times New Roman" w:cs="Times New Roman" w:eastAsia="Times New Roman" w:hAnsi="Times New Roman"/>
                <w:sz w:val="20"/>
                <w:szCs w:val="20"/>
              </w:rPr>
              <w:t xml:space="preserve">非结构化数据无法自动提取与融合，资源运行约束与业务语义无法统一表达</w:t>
            </w:r>
          </w:p>
        </w:tc>
        <w:tc>
          <w:tcPr>
            <w:tcW w:type="dxa" w:w="2806"/>
          </w:tcPr>
          <w:p>
            <w:pPr>
              <w:spacing w:line="300" w:lineRule="auto"/>
              <w:jc w:val="center"/>
            </w:pPr>
            <w:r>
              <w:rPr>
                <w:rFonts w:ascii="Times New Roman" w:cs="Times New Roman" w:eastAsia="Times New Roman" w:hAnsi="Times New Roman"/>
                <w:sz w:val="20"/>
                <w:szCs w:val="20"/>
              </w:rPr>
              <w:t xml:space="preserve">大语言模型（LLM）语义理解+电力领域知识图谱</w:t>
            </w:r>
          </w:p>
        </w:tc>
      </w:tr>
      <w:tr>
        <w:tc>
          <w:tcPr>
            <w:tcW w:type="dxa" w:w="500"/>
          </w:tcPr>
          <w:p>
            <w:pPr>
              <w:spacing w:line="300" w:lineRule="auto"/>
              <w:jc w:val="left"/>
            </w:pPr>
            <w:r>
              <w:rPr>
                <w:rFonts w:ascii="Times New Roman" w:cs="Times New Roman" w:eastAsia="Times New Roman" w:hAnsi="Times New Roman"/>
                <w:sz w:val="20"/>
                <w:szCs w:val="20"/>
              </w:rPr>
              <w:t xml:space="preserve">2</w:t>
            </w:r>
          </w:p>
        </w:tc>
        <w:tc>
          <w:tcPr>
            <w:tcW w:type="dxa" w:w="1800"/>
          </w:tcPr>
          <w:p>
            <w:pPr>
              <w:spacing w:line="300" w:lineRule="auto"/>
              <w:jc w:val="center"/>
            </w:pPr>
            <w:r>
              <w:rPr>
                <w:rFonts w:ascii="Times New Roman" w:cs="Times New Roman" w:eastAsia="Times New Roman" w:hAnsi="Times New Roman"/>
                <w:sz w:val="20"/>
                <w:szCs w:val="20"/>
              </w:rPr>
              <w:t xml:space="preserve">聚合资源负荷预测精度</w:t>
            </w:r>
          </w:p>
        </w:tc>
        <w:tc>
          <w:tcPr>
            <w:tcW w:type="dxa" w:w="3200"/>
          </w:tcPr>
          <w:p>
            <w:pPr>
              <w:spacing w:line="300" w:lineRule="auto"/>
              <w:jc w:val="center"/>
            </w:pPr>
            <w:r>
              <w:rPr>
                <w:rFonts w:ascii="Times New Roman" w:cs="Times New Roman" w:eastAsia="Times New Roman" w:hAnsi="Times New Roman"/>
                <w:sz w:val="20"/>
                <w:szCs w:val="20"/>
              </w:rPr>
              <w:t xml:space="preserve">极端场景下预测偏差大，缺乏预测不确定性量化能力</w:t>
            </w:r>
          </w:p>
        </w:tc>
        <w:tc>
          <w:tcPr>
            <w:tcW w:type="dxa" w:w="2806"/>
          </w:tcPr>
          <w:p>
            <w:pPr>
              <w:spacing w:line="300" w:lineRule="auto"/>
              <w:jc w:val="center"/>
            </w:pPr>
            <w:r>
              <w:rPr>
                <w:rFonts w:ascii="Times New Roman" w:cs="Times New Roman" w:eastAsia="Times New Roman" w:hAnsi="Times New Roman"/>
                <w:sz w:val="20"/>
                <w:szCs w:val="20"/>
              </w:rPr>
              <w:t xml:space="preserve">时序大模型+多模态融合+层次化预测架构</w:t>
            </w:r>
          </w:p>
        </w:tc>
      </w:tr>
      <w:tr>
        <w:tc>
          <w:tcPr>
            <w:tcW w:type="dxa" w:w="500"/>
          </w:tcPr>
          <w:p>
            <w:pPr>
              <w:spacing w:line="300" w:lineRule="auto"/>
              <w:jc w:val="left"/>
            </w:pPr>
            <w:r>
              <w:rPr>
                <w:rFonts w:ascii="Times New Roman" w:cs="Times New Roman" w:eastAsia="Times New Roman" w:hAnsi="Times New Roman"/>
                <w:sz w:val="20"/>
                <w:szCs w:val="20"/>
              </w:rPr>
              <w:t xml:space="preserve">3</w:t>
            </w:r>
          </w:p>
        </w:tc>
        <w:tc>
          <w:tcPr>
            <w:tcW w:type="dxa" w:w="1800"/>
          </w:tcPr>
          <w:p>
            <w:pPr>
              <w:spacing w:line="300" w:lineRule="auto"/>
              <w:jc w:val="center"/>
            </w:pPr>
            <w:r>
              <w:rPr>
                <w:rFonts w:ascii="Times New Roman" w:cs="Times New Roman" w:eastAsia="Times New Roman" w:hAnsi="Times New Roman"/>
                <w:sz w:val="20"/>
                <w:szCs w:val="20"/>
              </w:rPr>
              <w:t xml:space="preserve">资源调节潜力评估可信度</w:t>
            </w:r>
          </w:p>
        </w:tc>
        <w:tc>
          <w:tcPr>
            <w:tcW w:type="dxa" w:w="3200"/>
          </w:tcPr>
          <w:p>
            <w:pPr>
              <w:spacing w:line="300" w:lineRule="auto"/>
              <w:jc w:val="center"/>
            </w:pPr>
            <w:r>
              <w:rPr>
                <w:rFonts w:ascii="Times New Roman" w:cs="Times New Roman" w:eastAsia="Times New Roman" w:hAnsi="Times New Roman"/>
                <w:sz w:val="20"/>
                <w:szCs w:val="20"/>
              </w:rPr>
              <w:t xml:space="preserve">物理机理与数据驱动融合不深，评估偏差导致考核风险</w:t>
            </w:r>
          </w:p>
        </w:tc>
        <w:tc>
          <w:tcPr>
            <w:tcW w:type="dxa" w:w="2806"/>
          </w:tcPr>
          <w:p>
            <w:pPr>
              <w:spacing w:line="300" w:lineRule="auto"/>
              <w:jc w:val="center"/>
            </w:pPr>
            <w:r>
              <w:rPr>
                <w:rFonts w:ascii="Times New Roman" w:cs="Times New Roman" w:eastAsia="Times New Roman" w:hAnsi="Times New Roman"/>
                <w:sz w:val="20"/>
                <w:szCs w:val="20"/>
              </w:rPr>
              <w:t xml:space="preserve">物理信息神经网络（PINN）+图神经网络（GNN）</w:t>
            </w:r>
          </w:p>
        </w:tc>
      </w:tr>
      <w:tr>
        <w:tc>
          <w:tcPr>
            <w:tcW w:type="dxa" w:w="500"/>
          </w:tcPr>
          <w:p>
            <w:pPr>
              <w:spacing w:line="300" w:lineRule="auto"/>
              <w:jc w:val="left"/>
            </w:pPr>
            <w:r>
              <w:rPr>
                <w:rFonts w:ascii="Times New Roman" w:cs="Times New Roman" w:eastAsia="Times New Roman" w:hAnsi="Times New Roman"/>
                <w:sz w:val="20"/>
                <w:szCs w:val="20"/>
              </w:rPr>
              <w:t xml:space="preserve">4</w:t>
            </w:r>
          </w:p>
        </w:tc>
        <w:tc>
          <w:tcPr>
            <w:tcW w:type="dxa" w:w="1800"/>
          </w:tcPr>
          <w:p>
            <w:pPr>
              <w:spacing w:line="300" w:lineRule="auto"/>
              <w:jc w:val="center"/>
            </w:pPr>
            <w:r>
              <w:rPr>
                <w:rFonts w:ascii="Times New Roman" w:cs="Times New Roman" w:eastAsia="Times New Roman" w:hAnsi="Times New Roman"/>
                <w:sz w:val="20"/>
                <w:szCs w:val="20"/>
              </w:rPr>
              <w:t xml:space="preserve">海量资源协同调控效率</w:t>
            </w:r>
          </w:p>
        </w:tc>
        <w:tc>
          <w:tcPr>
            <w:tcW w:type="dxa" w:w="3200"/>
          </w:tcPr>
          <w:p>
            <w:pPr>
              <w:spacing w:line="300" w:lineRule="auto"/>
              <w:jc w:val="center"/>
            </w:pPr>
            <w:r>
              <w:rPr>
                <w:rFonts w:ascii="Times New Roman" w:cs="Times New Roman" w:eastAsia="Times New Roman" w:hAnsi="Times New Roman"/>
                <w:sz w:val="20"/>
                <w:szCs w:val="20"/>
              </w:rPr>
              <w:t xml:space="preserve">高维约束优化求解时效性不足，无法满足实时调控要求</w:t>
            </w:r>
          </w:p>
        </w:tc>
        <w:tc>
          <w:tcPr>
            <w:tcW w:type="dxa" w:w="2806"/>
          </w:tcPr>
          <w:p>
            <w:pPr>
              <w:spacing w:line="300" w:lineRule="auto"/>
              <w:jc w:val="center"/>
            </w:pPr>
            <w:r>
              <w:rPr>
                <w:rFonts w:ascii="Times New Roman" w:cs="Times New Roman" w:eastAsia="Times New Roman" w:hAnsi="Times New Roman"/>
                <w:sz w:val="20"/>
                <w:szCs w:val="20"/>
              </w:rPr>
              <w:t xml:space="preserve">多智能体深度强化学习（MADRL）+数字孪生</w:t>
            </w:r>
          </w:p>
        </w:tc>
      </w:tr>
      <w:tr>
        <w:tc>
          <w:tcPr>
            <w:tcW w:type="dxa" w:w="500"/>
          </w:tcPr>
          <w:p>
            <w:pPr>
              <w:spacing w:line="300" w:lineRule="auto"/>
              <w:jc w:val="left"/>
            </w:pPr>
            <w:r>
              <w:rPr>
                <w:rFonts w:ascii="Times New Roman" w:cs="Times New Roman" w:eastAsia="Times New Roman" w:hAnsi="Times New Roman"/>
                <w:sz w:val="20"/>
                <w:szCs w:val="20"/>
              </w:rPr>
              <w:t xml:space="preserve">5</w:t>
            </w:r>
          </w:p>
        </w:tc>
        <w:tc>
          <w:tcPr>
            <w:tcW w:type="dxa" w:w="1800"/>
          </w:tcPr>
          <w:p>
            <w:pPr>
              <w:spacing w:line="300" w:lineRule="auto"/>
              <w:jc w:val="center"/>
            </w:pPr>
            <w:r>
              <w:rPr>
                <w:rFonts w:ascii="Times New Roman" w:cs="Times New Roman" w:eastAsia="Times New Roman" w:hAnsi="Times New Roman"/>
                <w:sz w:val="20"/>
                <w:szCs w:val="20"/>
              </w:rPr>
              <w:t xml:space="preserve">电力市场交易风险管控</w:t>
            </w:r>
          </w:p>
        </w:tc>
        <w:tc>
          <w:tcPr>
            <w:tcW w:type="dxa" w:w="3200"/>
          </w:tcPr>
          <w:p>
            <w:pPr>
              <w:spacing w:line="300" w:lineRule="auto"/>
              <w:jc w:val="center"/>
            </w:pPr>
            <w:r>
              <w:rPr>
                <w:rFonts w:ascii="Times New Roman" w:cs="Times New Roman" w:eastAsia="Times New Roman" w:hAnsi="Times New Roman"/>
                <w:sz w:val="20"/>
                <w:szCs w:val="20"/>
              </w:rPr>
              <w:t xml:space="preserve">极端电价预判能力不足，多市场协同参与策略欠优</w:t>
            </w:r>
          </w:p>
        </w:tc>
        <w:tc>
          <w:tcPr>
            <w:tcW w:type="dxa" w:w="2806"/>
          </w:tcPr>
          <w:p>
            <w:pPr>
              <w:spacing w:line="300" w:lineRule="auto"/>
              <w:jc w:val="center"/>
            </w:pPr>
            <w:r>
              <w:rPr>
                <w:rFonts w:ascii="Times New Roman" w:cs="Times New Roman" w:eastAsia="Times New Roman" w:hAnsi="Times New Roman"/>
                <w:sz w:val="20"/>
                <w:szCs w:val="20"/>
              </w:rPr>
              <w:t xml:space="preserve">LLM+DRL混合决策引擎+风险自适应控制</w:t>
            </w:r>
          </w:p>
        </w:tc>
      </w:tr>
      <w:tr>
        <w:tc>
          <w:tcPr>
            <w:tcW w:type="dxa" w:w="500"/>
          </w:tcPr>
          <w:p>
            <w:pPr>
              <w:spacing w:line="300" w:lineRule="auto"/>
              <w:jc w:val="left"/>
            </w:pPr>
            <w:r>
              <w:rPr>
                <w:rFonts w:ascii="Times New Roman" w:cs="Times New Roman" w:eastAsia="Times New Roman" w:hAnsi="Times New Roman"/>
                <w:sz w:val="20"/>
                <w:szCs w:val="20"/>
              </w:rPr>
              <w:t xml:space="preserve">6</w:t>
            </w:r>
          </w:p>
        </w:tc>
        <w:tc>
          <w:tcPr>
            <w:tcW w:type="dxa" w:w="1800"/>
          </w:tcPr>
          <w:p>
            <w:pPr>
              <w:spacing w:line="300" w:lineRule="auto"/>
              <w:jc w:val="center"/>
            </w:pPr>
            <w:r>
              <w:rPr>
                <w:rFonts w:ascii="Times New Roman" w:cs="Times New Roman" w:eastAsia="Times New Roman" w:hAnsi="Times New Roman"/>
                <w:sz w:val="20"/>
                <w:szCs w:val="20"/>
              </w:rPr>
              <w:t xml:space="preserve">“产调销”一体化运营断裂</w:t>
            </w:r>
          </w:p>
        </w:tc>
        <w:tc>
          <w:tcPr>
            <w:tcW w:type="dxa" w:w="3200"/>
          </w:tcPr>
          <w:p>
            <w:pPr>
              <w:spacing w:line="300" w:lineRule="auto"/>
              <w:jc w:val="center"/>
            </w:pPr>
            <w:r>
              <w:rPr>
                <w:rFonts w:ascii="Times New Roman" w:cs="Times New Roman" w:eastAsia="Times New Roman" w:hAnsi="Times New Roman"/>
                <w:sz w:val="20"/>
                <w:szCs w:val="20"/>
              </w:rPr>
              <w:t xml:space="preserve">各环节信息断点导致运营效率损失15%—25%</w:t>
            </w:r>
          </w:p>
        </w:tc>
        <w:tc>
          <w:tcPr>
            <w:tcW w:type="dxa" w:w="2806"/>
          </w:tcPr>
          <w:p>
            <w:pPr>
              <w:spacing w:line="300" w:lineRule="auto"/>
              <w:jc w:val="center"/>
            </w:pPr>
            <w:r>
              <w:rPr>
                <w:rFonts w:ascii="Times New Roman" w:cs="Times New Roman" w:eastAsia="Times New Roman" w:hAnsi="Times New Roman"/>
                <w:sz w:val="20"/>
                <w:szCs w:val="20"/>
              </w:rPr>
              <w:t xml:space="preserve">智能Agent+自动化闭环工作流</w:t>
            </w:r>
          </w:p>
        </w:tc>
      </w:tr>
    </w:tbl>
    <w:p>
      <w:pPr>
        <w:spacing w:line="360" w:lineRule="auto"/>
        <w:ind w:firstLine="480"/>
        <w:jc w:val="both"/>
      </w:pPr>
      <w:r>
        <w:rPr>
          <w:rFonts w:ascii="Times New Roman" w:cs="Times New Roman" w:eastAsia="Times New Roman" w:hAnsi="Times New Roman"/>
          <w:sz w:val="24"/>
          <w:szCs w:val="24"/>
        </w:rPr>
        <w:t xml:space="preserve">本项目的紧迫性和重要性：在新能源高比例接入、电力市场化改革深化的双重背景下，上述六大问题既是虚拟电厂规模化发展的“卡脖子”难题，也是人工智能技术深度赋能能源行业的“高价值场景”。本项目的实施，将在技术层面突破虚拟电厂智能运营的核心瓶颈，在产业层面推动虚拟电厂从“示范试点”向“规模化商用”的战略跨越，在政策层面为“人工智能+”能源高价值场景试点建设提供可复制、可推广的标杆方案，具有重要的战略意义和现实紧迫性。</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二、主要研究内容</w:t>
      </w:r>
    </w:p>
    <w:p>
      <w:pPr>
        <w:spacing w:line="360" w:lineRule="auto"/>
        <w:ind w:firstLine="480"/>
        <w:jc w:val="both"/>
      </w:pPr>
      <w:r>
        <w:rPr>
          <w:rFonts w:ascii="Times New Roman" w:cs="Times New Roman" w:eastAsia="Times New Roman" w:hAnsi="Times New Roman"/>
          <w:sz w:val="24"/>
          <w:szCs w:val="24"/>
        </w:rPr>
        <w:t xml:space="preserve">基于上述问题分析，本项目划分为5个课题、12项子任务，由南网综合能源公司牵头，联合高校、科研院所、产业链上下游企业共同实施。5个课题按照“数据治理与潜力评估→负荷/出力预测→协同调控→市场交易→一体化平台落地”的逻辑链条展开，层层递进、有机衔接，全面覆盖六大AI赋能方向。</w:t>
      </w:r>
    </w:p>
    <w:p>
      <w:pPr>
        <w:spacing w:line="360" w:lineRule="auto"/>
        <w:ind w:firstLine="480"/>
        <w:jc w:val="both"/>
      </w:pPr>
      <w:r>
        <w:rPr>
          <w:rFonts w:ascii="Times New Roman" w:cs="Times New Roman" w:eastAsia="Times New Roman" w:hAnsi="Times New Roman"/>
          <w:sz w:val="24"/>
          <w:szCs w:val="24"/>
        </w:rPr>
        <w:t xml:space="preserve">课题逻辑关系说明：课题一（基础层）：解决“资源是什么、能调多少”的问题——对应AI赋能方向一（数据治理）和方向三（调节潜力评估），为本项目建立高质量的资源数据底座和可信的调节能力评估体系。课题二（感知层）：解决“负荷/出力怎么预测”的问题——对应AI赋能方向二（负荷预测），为协同调控和市场交易提供高精度、多时间尺度的预测输入。课题三（决策层）：解决“多资源怎么协同调控”的问题——对应AI赋能方向四（资源协同调控），实现多时空尺度的智能协同。课题四（市场层）：解决“怎么参与市场赚取收益并管控风险”的问题——对应AI赋能方向五（电力市场交易），将协同调控能力转化为经济效益。课题五（落地层）：解决“技术怎么变成产品和运营能力”的问题——对应AI赋能方向六（“产调销”一体化运营），研发平台并在示范工程中验证闭环。</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300"/>
        <w:gridCol w:w="1400"/>
        <w:gridCol w:w="1406"/>
      </w:tblGrid>
      <w:tr>
        <w:trPr>
          <w:tblHeader/>
        </w:trPr>
        <w:tc>
          <w:tcPr>
            <w:tcW w:type="dxa" w:w="400"/>
            <w:shd w:fill="D9E2F3" w:val="clear"/>
          </w:tcPr>
          <w:p>
            <w:pPr>
              <w:spacing w:line="300" w:lineRule="auto"/>
              <w:jc w:val="center"/>
            </w:pPr>
            <w:r>
              <w:rPr>
                <w:rFonts w:ascii="Times New Roman" w:cs="Times New Roman" w:eastAsia="Times New Roman" w:hAnsi="Times New Roman"/>
                <w:b/>
                <w:bCs/>
                <w:sz w:val="20"/>
                <w:szCs w:val="20"/>
              </w:rPr>
              <w:t xml:space="preserve">序号</w:t>
            </w:r>
          </w:p>
        </w:tc>
        <w:tc>
          <w:tcPr>
            <w:tcW w:type="dxa" w:w="1800"/>
            <w:shd w:fill="D9E2F3" w:val="clear"/>
          </w:tcPr>
          <w:p>
            <w:pPr>
              <w:spacing w:line="300" w:lineRule="auto"/>
              <w:jc w:val="center"/>
            </w:pPr>
            <w:r>
              <w:rPr>
                <w:rFonts w:ascii="Times New Roman" w:cs="Times New Roman" w:eastAsia="Times New Roman" w:hAnsi="Times New Roman"/>
                <w:b/>
                <w:bCs/>
                <w:sz w:val="20"/>
                <w:szCs w:val="20"/>
              </w:rPr>
              <w:t xml:space="preserve">课题名称</w:t>
            </w:r>
          </w:p>
        </w:tc>
        <w:tc>
          <w:tcPr>
            <w:tcW w:type="dxa" w:w="3300"/>
            <w:shd w:fill="D9E2F3" w:val="clear"/>
          </w:tcPr>
          <w:p>
            <w:pPr>
              <w:spacing w:line="300" w:lineRule="auto"/>
              <w:jc w:val="center"/>
            </w:pPr>
            <w:r>
              <w:rPr>
                <w:rFonts w:ascii="Times New Roman" w:cs="Times New Roman" w:eastAsia="Times New Roman" w:hAnsi="Times New Roman"/>
                <w:b/>
                <w:bCs/>
                <w:sz w:val="20"/>
                <w:szCs w:val="20"/>
              </w:rPr>
              <w:t xml:space="preserve">子任务</w:t>
            </w:r>
          </w:p>
        </w:tc>
        <w:tc>
          <w:tcPr>
            <w:tcW w:type="dxa" w:w="1400"/>
            <w:shd w:fill="D9E2F3" w:val="clear"/>
          </w:tcPr>
          <w:p>
            <w:pPr>
              <w:spacing w:line="300" w:lineRule="auto"/>
              <w:jc w:val="center"/>
            </w:pPr>
            <w:r>
              <w:rPr>
                <w:rFonts w:ascii="Times New Roman" w:cs="Times New Roman" w:eastAsia="Times New Roman" w:hAnsi="Times New Roman"/>
                <w:b/>
                <w:bCs/>
                <w:sz w:val="20"/>
                <w:szCs w:val="20"/>
              </w:rPr>
              <w:t xml:space="preserve">牵头方</w:t>
            </w:r>
          </w:p>
        </w:tc>
        <w:tc>
          <w:tcPr>
            <w:tcW w:type="dxa" w:w="1406"/>
            <w:shd w:fill="D9E2F3" w:val="clear"/>
          </w:tcPr>
          <w:p>
            <w:pPr>
              <w:spacing w:line="300" w:lineRule="auto"/>
              <w:jc w:val="center"/>
            </w:pPr>
            <w:r>
              <w:rPr>
                <w:rFonts w:ascii="Times New Roman" w:cs="Times New Roman" w:eastAsia="Times New Roman" w:hAnsi="Times New Roman"/>
                <w:b/>
                <w:bCs/>
                <w:sz w:val="20"/>
                <w:szCs w:val="20"/>
              </w:rPr>
              <w:t xml:space="preserve">参与方</w:t>
            </w:r>
          </w:p>
        </w:tc>
      </w:tr>
      <w:tr>
        <w:tc>
          <w:tcPr>
            <w:tcW w:type="dxa" w:w="400"/>
          </w:tcPr>
          <w:p>
            <w:pPr>
              <w:spacing w:line="300" w:lineRule="auto"/>
              <w:jc w:val="left"/>
            </w:pPr>
            <w:r>
              <w:rPr>
                <w:rFonts w:ascii="Times New Roman" w:cs="Times New Roman" w:eastAsia="Times New Roman" w:hAnsi="Times New Roman"/>
                <w:sz w:val="20"/>
                <w:szCs w:val="20"/>
              </w:rPr>
              <w:t xml:space="preserve">1</w:t>
            </w:r>
          </w:p>
        </w:tc>
        <w:tc>
          <w:tcPr>
            <w:tcW w:type="dxa" w:w="1800"/>
          </w:tcPr>
          <w:p>
            <w:pPr>
              <w:spacing w:line="300" w:lineRule="auto"/>
              <w:jc w:val="center"/>
            </w:pPr>
            <w:r>
              <w:rPr>
                <w:rFonts w:ascii="Times New Roman" w:cs="Times New Roman" w:eastAsia="Times New Roman" w:hAnsi="Times New Roman"/>
                <w:sz w:val="20"/>
                <w:szCs w:val="20"/>
              </w:rPr>
              <w:t xml:space="preserve">课题一：多源异构数据治理
与资源调节潜力评估
（基础层）</w:t>
            </w:r>
          </w:p>
        </w:tc>
        <w:tc>
          <w:tcPr>
            <w:tcW w:type="dxa" w:w="3300"/>
          </w:tcPr>
          <w:p>
            <w:pPr>
              <w:spacing w:line="300" w:lineRule="auto"/>
              <w:jc w:val="center"/>
            </w:pPr>
            <w:r>
              <w:rPr>
                <w:rFonts w:ascii="Times New Roman" w:cs="Times New Roman" w:eastAsia="Times New Roman" w:hAnsi="Times New Roman"/>
                <w:sz w:val="20"/>
                <w:szCs w:val="20"/>
              </w:rPr>
              <w:t xml:space="preserve">任务1.1 基于大语言模型的非结构化数据语义提取与多源异构数据融合方法</w:t>
            </w:r>
          </w:p>
        </w:tc>
        <w:tc>
          <w:tcPr>
            <w:tcW w:type="dxa" w:w="1400"/>
          </w:tcPr>
          <w:p>
            <w:pPr>
              <w:spacing w:line="300" w:lineRule="auto"/>
              <w:jc w:val="center"/>
            </w:pPr>
            <w:r>
              <w:rPr>
                <w:rFonts w:ascii="Times New Roman" w:cs="Times New Roman" w:eastAsia="Times New Roman" w:hAnsi="Times New Roman"/>
                <w:sz w:val="20"/>
                <w:szCs w:val="20"/>
              </w:rPr>
              <w:t xml:space="preserve">南网综合能源公司</w:t>
            </w:r>
          </w:p>
        </w:tc>
        <w:tc>
          <w:tcPr>
            <w:tcW w:type="dxa" w:w="1406"/>
          </w:tcPr>
          <w:p>
            <w:pPr>
              <w:spacing w:line="300" w:lineRule="auto"/>
              <w:jc w:val="center"/>
            </w:pPr>
            <w:r>
              <w:rPr>
                <w:rFonts w:ascii="Times New Roman" w:cs="Times New Roman" w:eastAsia="Times New Roman" w:hAnsi="Times New Roman"/>
                <w:sz w:val="20"/>
                <w:szCs w:val="20"/>
              </w:rPr>
              <w:t xml:space="preserve">XX大学</w:t>
            </w:r>
          </w:p>
        </w:tc>
      </w:tr>
      <w:tr>
        <w:tc>
          <w:tcPr>
            <w:tcW w:type="dxa" w:w="400"/>
          </w:tcPr>
          <w:p>
            <w:pPr>
              <w:spacing w:line="300" w:lineRule="auto"/>
              <w:jc w:val="left"/>
            </w:pPr>
            <w:r>
              <w:rPr>
                <w:rFonts w:ascii="Times New Roman" w:cs="Times New Roman" w:eastAsia="Times New Roman" w:hAnsi="Times New Roman"/>
                <w:sz w:val="20"/>
                <w:szCs w:val="20"/>
              </w:rPr>
              <w:t xml:space="preserve">2</w:t>
            </w:r>
          </w:p>
        </w:tc>
        <w:tc>
          <w:tcPr>
            <w:tcW w:type="dxa" w:w="1800"/>
          </w:tcPr>
          <w:p>
            <w:pPr>
              <w:spacing w:line="300" w:lineRule="auto"/>
              <w:jc w:val="center"/>
            </w:pPr>
            <w:r>
              <w:rPr>
                <w:rFonts w:ascii="Times New Roman" w:cs="Times New Roman" w:eastAsia="Times New Roman" w:hAnsi="Times New Roman"/>
                <w:sz w:val="20"/>
                <w:szCs w:val="20"/>
              </w:rPr>
              <w:t xml:space="preserve">同上</w:t>
            </w:r>
          </w:p>
        </w:tc>
        <w:tc>
          <w:tcPr>
            <w:tcW w:type="dxa" w:w="3300"/>
          </w:tcPr>
          <w:p>
            <w:pPr>
              <w:spacing w:line="300" w:lineRule="auto"/>
              <w:jc w:val="center"/>
            </w:pPr>
            <w:r>
              <w:rPr>
                <w:rFonts w:ascii="Times New Roman" w:cs="Times New Roman" w:eastAsia="Times New Roman" w:hAnsi="Times New Roman"/>
                <w:sz w:val="20"/>
                <w:szCs w:val="20"/>
              </w:rPr>
              <w:t xml:space="preserve">任务1.2 基于PINN与GNN的资源调节潜力可信评估方法</w:t>
            </w:r>
          </w:p>
        </w:tc>
        <w:tc>
          <w:tcPr>
            <w:tcW w:type="dxa" w:w="1400"/>
          </w:tcPr>
          <w:p>
            <w:pPr>
              <w:spacing w:line="300" w:lineRule="auto"/>
              <w:jc w:val="center"/>
            </w:pPr>
            <w:r>
              <w:rPr>
                <w:rFonts w:ascii="Times New Roman" w:cs="Times New Roman" w:eastAsia="Times New Roman" w:hAnsi="Times New Roman"/>
                <w:sz w:val="20"/>
                <w:szCs w:val="20"/>
              </w:rPr>
              <w:t xml:space="preserve">XX大学</w:t>
            </w:r>
          </w:p>
        </w:tc>
        <w:tc>
          <w:tcPr>
            <w:tcW w:type="dxa" w:w="1406"/>
          </w:tcPr>
          <w:p>
            <w:pPr>
              <w:spacing w:line="300" w:lineRule="auto"/>
              <w:jc w:val="center"/>
            </w:pPr>
            <w:r>
              <w:rPr>
                <w:rFonts w:ascii="Times New Roman" w:cs="Times New Roman" w:eastAsia="Times New Roman" w:hAnsi="Times New Roman"/>
                <w:sz w:val="20"/>
                <w:szCs w:val="20"/>
              </w:rPr>
              <w:t xml:space="preserve">南网综合能源公司</w:t>
            </w:r>
          </w:p>
        </w:tc>
      </w:tr>
      <w:tr>
        <w:tc>
          <w:tcPr>
            <w:tcW w:type="dxa" w:w="400"/>
          </w:tcPr>
          <w:p>
            <w:pPr>
              <w:spacing w:line="300" w:lineRule="auto"/>
              <w:jc w:val="left"/>
            </w:pPr>
            <w:r>
              <w:rPr>
                <w:rFonts w:ascii="Times New Roman" w:cs="Times New Roman" w:eastAsia="Times New Roman" w:hAnsi="Times New Roman"/>
                <w:sz w:val="20"/>
                <w:szCs w:val="20"/>
              </w:rPr>
              <w:t xml:space="preserve">3</w:t>
            </w:r>
          </w:p>
        </w:tc>
        <w:tc>
          <w:tcPr>
            <w:tcW w:type="dxa" w:w="1800"/>
          </w:tcPr>
          <w:p>
            <w:pPr>
              <w:spacing w:line="300" w:lineRule="auto"/>
              <w:jc w:val="center"/>
            </w:pPr>
            <w:r>
              <w:rPr>
                <w:rFonts w:ascii="Times New Roman" w:cs="Times New Roman" w:eastAsia="Times New Roman" w:hAnsi="Times New Roman"/>
                <w:sz w:val="20"/>
                <w:szCs w:val="20"/>
              </w:rPr>
              <w:t xml:space="preserve">同上</w:t>
            </w:r>
          </w:p>
        </w:tc>
        <w:tc>
          <w:tcPr>
            <w:tcW w:type="dxa" w:w="3300"/>
          </w:tcPr>
          <w:p>
            <w:pPr>
              <w:spacing w:line="300" w:lineRule="auto"/>
              <w:jc w:val="center"/>
            </w:pPr>
            <w:r>
              <w:rPr>
                <w:rFonts w:ascii="Times New Roman" w:cs="Times New Roman" w:eastAsia="Times New Roman" w:hAnsi="Times New Roman"/>
                <w:sz w:val="20"/>
                <w:szCs w:val="20"/>
              </w:rPr>
              <w:t xml:space="preserve">任务1.3 多品类灵活性资源统一建模与聚合边界识别</w:t>
            </w:r>
          </w:p>
        </w:tc>
        <w:tc>
          <w:tcPr>
            <w:tcW w:type="dxa" w:w="1400"/>
          </w:tcPr>
          <w:p>
            <w:pPr>
              <w:spacing w:line="300" w:lineRule="auto"/>
              <w:jc w:val="center"/>
            </w:pPr>
            <w:r>
              <w:rPr>
                <w:rFonts w:ascii="Times New Roman" w:cs="Times New Roman" w:eastAsia="Times New Roman" w:hAnsi="Times New Roman"/>
                <w:sz w:val="20"/>
                <w:szCs w:val="20"/>
              </w:rPr>
              <w:t xml:space="preserve">南网综合能源公司</w:t>
            </w:r>
          </w:p>
        </w:tc>
        <w:tc>
          <w:tcPr>
            <w:tcW w:type="dxa" w:w="1406"/>
          </w:tcPr>
          <w:p>
            <w:pPr>
              <w:spacing w:line="300" w:lineRule="auto"/>
              <w:jc w:val="center"/>
            </w:pPr>
            <w:r>
              <w:rPr>
                <w:rFonts w:ascii="Times New Roman" w:cs="Times New Roman" w:eastAsia="Times New Roman" w:hAnsi="Times New Roman"/>
                <w:sz w:val="20"/>
                <w:szCs w:val="20"/>
              </w:rPr>
              <w:t xml:space="preserve">XX研究院</w:t>
            </w:r>
          </w:p>
        </w:tc>
      </w:tr>
      <w:tr>
        <w:tc>
          <w:tcPr>
            <w:tcW w:type="dxa" w:w="400"/>
          </w:tcPr>
          <w:p>
            <w:pPr>
              <w:spacing w:line="300" w:lineRule="auto"/>
              <w:jc w:val="left"/>
            </w:pPr>
            <w:r>
              <w:rPr>
                <w:rFonts w:ascii="Times New Roman" w:cs="Times New Roman" w:eastAsia="Times New Roman" w:hAnsi="Times New Roman"/>
                <w:sz w:val="20"/>
                <w:szCs w:val="20"/>
              </w:rPr>
              <w:t xml:space="preserve">4</w:t>
            </w:r>
          </w:p>
        </w:tc>
        <w:tc>
          <w:tcPr>
            <w:tcW w:type="dxa" w:w="1800"/>
          </w:tcPr>
          <w:p>
            <w:pPr>
              <w:spacing w:line="300" w:lineRule="auto"/>
              <w:jc w:val="center"/>
            </w:pPr>
            <w:r>
              <w:rPr>
                <w:rFonts w:ascii="Times New Roman" w:cs="Times New Roman" w:eastAsia="Times New Roman" w:hAnsi="Times New Roman"/>
                <w:sz w:val="20"/>
                <w:szCs w:val="20"/>
              </w:rPr>
              <w:t xml:space="preserve">课题二：基于AI的多时空尺度负荷/出力预测
（感知层）</w:t>
            </w:r>
          </w:p>
        </w:tc>
        <w:tc>
          <w:tcPr>
            <w:tcW w:type="dxa" w:w="3300"/>
          </w:tcPr>
          <w:p>
            <w:pPr>
              <w:spacing w:line="300" w:lineRule="auto"/>
              <w:jc w:val="center"/>
            </w:pPr>
            <w:r>
              <w:rPr>
                <w:rFonts w:ascii="Times New Roman" w:cs="Times New Roman" w:eastAsia="Times New Roman" w:hAnsi="Times New Roman"/>
                <w:sz w:val="20"/>
                <w:szCs w:val="20"/>
              </w:rPr>
              <w:t xml:space="preserve">任务2.1 基于时序大模型的多源数据融合与极端场景负荷/出力预测</w:t>
            </w:r>
          </w:p>
        </w:tc>
        <w:tc>
          <w:tcPr>
            <w:tcW w:type="dxa" w:w="1400"/>
          </w:tcPr>
          <w:p>
            <w:pPr>
              <w:spacing w:line="300" w:lineRule="auto"/>
              <w:jc w:val="center"/>
            </w:pPr>
            <w:r>
              <w:rPr>
                <w:rFonts w:ascii="Times New Roman" w:cs="Times New Roman" w:eastAsia="Times New Roman" w:hAnsi="Times New Roman"/>
                <w:sz w:val="20"/>
                <w:szCs w:val="20"/>
              </w:rPr>
              <w:t xml:space="preserve">南网综合能源公司</w:t>
            </w:r>
          </w:p>
        </w:tc>
        <w:tc>
          <w:tcPr>
            <w:tcW w:type="dxa" w:w="1406"/>
          </w:tcPr>
          <w:p>
            <w:pPr>
              <w:spacing w:line="300" w:lineRule="auto"/>
              <w:jc w:val="center"/>
            </w:pPr>
            <w:r>
              <w:rPr>
                <w:rFonts w:ascii="Times New Roman" w:cs="Times New Roman" w:eastAsia="Times New Roman" w:hAnsi="Times New Roman"/>
                <w:sz w:val="20"/>
                <w:szCs w:val="20"/>
              </w:rPr>
              <w:t xml:space="preserve">XX科技公司</w:t>
            </w:r>
          </w:p>
        </w:tc>
      </w:tr>
      <w:tr>
        <w:tc>
          <w:tcPr>
            <w:tcW w:type="dxa" w:w="400"/>
          </w:tcPr>
          <w:p>
            <w:pPr>
              <w:spacing w:line="300" w:lineRule="auto"/>
              <w:jc w:val="left"/>
            </w:pPr>
            <w:r>
              <w:rPr>
                <w:rFonts w:ascii="Times New Roman" w:cs="Times New Roman" w:eastAsia="Times New Roman" w:hAnsi="Times New Roman"/>
                <w:sz w:val="20"/>
                <w:szCs w:val="20"/>
              </w:rPr>
              <w:t xml:space="preserve">5</w:t>
            </w:r>
          </w:p>
        </w:tc>
        <w:tc>
          <w:tcPr>
            <w:tcW w:type="dxa" w:w="1800"/>
          </w:tcPr>
          <w:p>
            <w:pPr>
              <w:spacing w:line="300" w:lineRule="auto"/>
              <w:jc w:val="center"/>
            </w:pPr>
            <w:r>
              <w:rPr>
                <w:rFonts w:ascii="Times New Roman" w:cs="Times New Roman" w:eastAsia="Times New Roman" w:hAnsi="Times New Roman"/>
                <w:sz w:val="20"/>
                <w:szCs w:val="20"/>
              </w:rPr>
              <w:t xml:space="preserve">同上</w:t>
            </w:r>
          </w:p>
        </w:tc>
        <w:tc>
          <w:tcPr>
            <w:tcW w:type="dxa" w:w="3300"/>
          </w:tcPr>
          <w:p>
            <w:pPr>
              <w:spacing w:line="300" w:lineRule="auto"/>
              <w:jc w:val="center"/>
            </w:pPr>
            <w:r>
              <w:rPr>
                <w:rFonts w:ascii="Times New Roman" w:cs="Times New Roman" w:eastAsia="Times New Roman" w:hAnsi="Times New Roman"/>
                <w:sz w:val="20"/>
                <w:szCs w:val="20"/>
              </w:rPr>
              <w:t xml:space="preserve">任务2.2 多时间尺度层次化预测架构与预测不确定性量化方法</w:t>
            </w:r>
          </w:p>
        </w:tc>
        <w:tc>
          <w:tcPr>
            <w:tcW w:type="dxa" w:w="1400"/>
          </w:tcPr>
          <w:p>
            <w:pPr>
              <w:spacing w:line="300" w:lineRule="auto"/>
              <w:jc w:val="center"/>
            </w:pPr>
            <w:r>
              <w:rPr>
                <w:rFonts w:ascii="Times New Roman" w:cs="Times New Roman" w:eastAsia="Times New Roman" w:hAnsi="Times New Roman"/>
                <w:sz w:val="20"/>
                <w:szCs w:val="20"/>
              </w:rPr>
              <w:t xml:space="preserve">XX大学</w:t>
            </w:r>
          </w:p>
        </w:tc>
        <w:tc>
          <w:tcPr>
            <w:tcW w:type="dxa" w:w="1406"/>
          </w:tcPr>
          <w:p>
            <w:pPr>
              <w:spacing w:line="300" w:lineRule="auto"/>
              <w:jc w:val="center"/>
            </w:pPr>
            <w:r>
              <w:rPr>
                <w:rFonts w:ascii="Times New Roman" w:cs="Times New Roman" w:eastAsia="Times New Roman" w:hAnsi="Times New Roman"/>
                <w:sz w:val="20"/>
                <w:szCs w:val="20"/>
              </w:rPr>
              <w:t xml:space="preserve">南网综合能源公司</w:t>
            </w:r>
          </w:p>
        </w:tc>
      </w:tr>
      <w:tr>
        <w:tc>
          <w:tcPr>
            <w:tcW w:type="dxa" w:w="400"/>
          </w:tcPr>
          <w:p>
            <w:pPr>
              <w:spacing w:line="300" w:lineRule="auto"/>
              <w:jc w:val="left"/>
            </w:pPr>
            <w:r>
              <w:rPr>
                <w:rFonts w:ascii="Times New Roman" w:cs="Times New Roman" w:eastAsia="Times New Roman" w:hAnsi="Times New Roman"/>
                <w:sz w:val="20"/>
                <w:szCs w:val="20"/>
              </w:rPr>
              <w:t xml:space="preserve">6</w:t>
            </w:r>
          </w:p>
        </w:tc>
        <w:tc>
          <w:tcPr>
            <w:tcW w:type="dxa" w:w="1800"/>
          </w:tcPr>
          <w:p>
            <w:pPr>
              <w:spacing w:line="300" w:lineRule="auto"/>
              <w:jc w:val="center"/>
            </w:pPr>
            <w:r>
              <w:rPr>
                <w:rFonts w:ascii="Times New Roman" w:cs="Times New Roman" w:eastAsia="Times New Roman" w:hAnsi="Times New Roman"/>
                <w:sz w:val="20"/>
                <w:szCs w:val="20"/>
              </w:rPr>
              <w:t xml:space="preserve">课题三：基于多智能体深度强化学习的协同调控
（决策层）</w:t>
            </w:r>
          </w:p>
        </w:tc>
        <w:tc>
          <w:tcPr>
            <w:tcW w:type="dxa" w:w="3300"/>
          </w:tcPr>
          <w:p>
            <w:pPr>
              <w:spacing w:line="300" w:lineRule="auto"/>
              <w:jc w:val="center"/>
            </w:pPr>
            <w:r>
              <w:rPr>
                <w:rFonts w:ascii="Times New Roman" w:cs="Times New Roman" w:eastAsia="Times New Roman" w:hAnsi="Times New Roman"/>
                <w:sz w:val="20"/>
                <w:szCs w:val="20"/>
              </w:rPr>
              <w:t xml:space="preserve">任务3.1 基于MADRL的海量分布式资源协同调控算法研发</w:t>
            </w:r>
          </w:p>
        </w:tc>
        <w:tc>
          <w:tcPr>
            <w:tcW w:type="dxa" w:w="1400"/>
          </w:tcPr>
          <w:p>
            <w:pPr>
              <w:spacing w:line="300" w:lineRule="auto"/>
              <w:jc w:val="center"/>
            </w:pPr>
            <w:r>
              <w:rPr>
                <w:rFonts w:ascii="Times New Roman" w:cs="Times New Roman" w:eastAsia="Times New Roman" w:hAnsi="Times New Roman"/>
                <w:sz w:val="20"/>
                <w:szCs w:val="20"/>
              </w:rPr>
              <w:t xml:space="preserve">南网综合能源公司</w:t>
            </w:r>
          </w:p>
        </w:tc>
        <w:tc>
          <w:tcPr>
            <w:tcW w:type="dxa" w:w="1406"/>
          </w:tcPr>
          <w:p>
            <w:pPr>
              <w:spacing w:line="300" w:lineRule="auto"/>
              <w:jc w:val="center"/>
            </w:pPr>
            <w:r>
              <w:rPr>
                <w:rFonts w:ascii="Times New Roman" w:cs="Times New Roman" w:eastAsia="Times New Roman" w:hAnsi="Times New Roman"/>
                <w:sz w:val="20"/>
                <w:szCs w:val="20"/>
              </w:rPr>
              <w:t xml:space="preserve">XX大学</w:t>
            </w:r>
          </w:p>
        </w:tc>
      </w:tr>
      <w:tr>
        <w:tc>
          <w:tcPr>
            <w:tcW w:type="dxa" w:w="400"/>
          </w:tcPr>
          <w:p>
            <w:pPr>
              <w:spacing w:line="300" w:lineRule="auto"/>
              <w:jc w:val="left"/>
            </w:pPr>
            <w:r>
              <w:rPr>
                <w:rFonts w:ascii="Times New Roman" w:cs="Times New Roman" w:eastAsia="Times New Roman" w:hAnsi="Times New Roman"/>
                <w:sz w:val="20"/>
                <w:szCs w:val="20"/>
              </w:rPr>
              <w:t xml:space="preserve">7</w:t>
            </w:r>
          </w:p>
        </w:tc>
        <w:tc>
          <w:tcPr>
            <w:tcW w:type="dxa" w:w="1800"/>
          </w:tcPr>
          <w:p>
            <w:pPr>
              <w:spacing w:line="300" w:lineRule="auto"/>
              <w:jc w:val="center"/>
            </w:pPr>
            <w:r>
              <w:rPr>
                <w:rFonts w:ascii="Times New Roman" w:cs="Times New Roman" w:eastAsia="Times New Roman" w:hAnsi="Times New Roman"/>
                <w:sz w:val="20"/>
                <w:szCs w:val="20"/>
              </w:rPr>
              <w:t xml:space="preserve">同上</w:t>
            </w:r>
          </w:p>
        </w:tc>
        <w:tc>
          <w:tcPr>
            <w:tcW w:type="dxa" w:w="3300"/>
          </w:tcPr>
          <w:p>
            <w:pPr>
              <w:spacing w:line="300" w:lineRule="auto"/>
              <w:jc w:val="center"/>
            </w:pPr>
            <w:r>
              <w:rPr>
                <w:rFonts w:ascii="Times New Roman" w:cs="Times New Roman" w:eastAsia="Times New Roman" w:hAnsi="Times New Roman"/>
                <w:sz w:val="20"/>
                <w:szCs w:val="20"/>
              </w:rPr>
              <w:t xml:space="preserve">任务3.2 多时间尺度分层协同机制（秒级调频—分钟级调峰—日前优化）</w:t>
            </w:r>
          </w:p>
        </w:tc>
        <w:tc>
          <w:tcPr>
            <w:tcW w:type="dxa" w:w="1400"/>
          </w:tcPr>
          <w:p>
            <w:pPr>
              <w:spacing w:line="300" w:lineRule="auto"/>
              <w:jc w:val="center"/>
            </w:pPr>
            <w:r>
              <w:rPr>
                <w:rFonts w:ascii="Times New Roman" w:cs="Times New Roman" w:eastAsia="Times New Roman" w:hAnsi="Times New Roman"/>
                <w:sz w:val="20"/>
                <w:szCs w:val="20"/>
              </w:rPr>
              <w:t xml:space="preserve">XX研究院</w:t>
            </w:r>
          </w:p>
        </w:tc>
        <w:tc>
          <w:tcPr>
            <w:tcW w:type="dxa" w:w="1406"/>
          </w:tcPr>
          <w:p>
            <w:pPr>
              <w:spacing w:line="300" w:lineRule="auto"/>
              <w:jc w:val="center"/>
            </w:pPr>
            <w:r>
              <w:rPr>
                <w:rFonts w:ascii="Times New Roman" w:cs="Times New Roman" w:eastAsia="Times New Roman" w:hAnsi="Times New Roman"/>
                <w:sz w:val="20"/>
                <w:szCs w:val="20"/>
              </w:rPr>
              <w:t xml:space="preserve">南网综合能源公司</w:t>
            </w:r>
          </w:p>
        </w:tc>
      </w:tr>
      <w:tr>
        <w:tc>
          <w:tcPr>
            <w:tcW w:type="dxa" w:w="400"/>
          </w:tcPr>
          <w:p>
            <w:pPr>
              <w:spacing w:line="300" w:lineRule="auto"/>
              <w:jc w:val="left"/>
            </w:pPr>
            <w:r>
              <w:rPr>
                <w:rFonts w:ascii="Times New Roman" w:cs="Times New Roman" w:eastAsia="Times New Roman" w:hAnsi="Times New Roman"/>
                <w:sz w:val="20"/>
                <w:szCs w:val="20"/>
              </w:rPr>
              <w:t xml:space="preserve">8</w:t>
            </w:r>
          </w:p>
        </w:tc>
        <w:tc>
          <w:tcPr>
            <w:tcW w:type="dxa" w:w="1800"/>
          </w:tcPr>
          <w:p>
            <w:pPr>
              <w:spacing w:line="300" w:lineRule="auto"/>
              <w:jc w:val="center"/>
            </w:pPr>
            <w:r>
              <w:rPr>
                <w:rFonts w:ascii="Times New Roman" w:cs="Times New Roman" w:eastAsia="Times New Roman" w:hAnsi="Times New Roman"/>
                <w:sz w:val="20"/>
                <w:szCs w:val="20"/>
              </w:rPr>
              <w:t xml:space="preserve">同上</w:t>
            </w:r>
          </w:p>
        </w:tc>
        <w:tc>
          <w:tcPr>
            <w:tcW w:type="dxa" w:w="3300"/>
          </w:tcPr>
          <w:p>
            <w:pPr>
              <w:spacing w:line="300" w:lineRule="auto"/>
              <w:jc w:val="center"/>
            </w:pPr>
            <w:r>
              <w:rPr>
                <w:rFonts w:ascii="Times New Roman" w:cs="Times New Roman" w:eastAsia="Times New Roman" w:hAnsi="Times New Roman"/>
                <w:sz w:val="20"/>
                <w:szCs w:val="20"/>
              </w:rPr>
              <w:t xml:space="preserve">任务3.3 安全—经济—低碳多目标协同优化与数字孪生验证</w:t>
            </w:r>
          </w:p>
        </w:tc>
        <w:tc>
          <w:tcPr>
            <w:tcW w:type="dxa" w:w="1400"/>
          </w:tcPr>
          <w:p>
            <w:pPr>
              <w:spacing w:line="300" w:lineRule="auto"/>
              <w:jc w:val="center"/>
            </w:pPr>
            <w:r>
              <w:rPr>
                <w:rFonts w:ascii="Times New Roman" w:cs="Times New Roman" w:eastAsia="Times New Roman" w:hAnsi="Times New Roman"/>
                <w:sz w:val="20"/>
                <w:szCs w:val="20"/>
              </w:rPr>
              <w:t xml:space="preserve">南网综合能源公司</w:t>
            </w:r>
          </w:p>
        </w:tc>
        <w:tc>
          <w:tcPr>
            <w:tcW w:type="dxa" w:w="1406"/>
          </w:tcPr>
          <w:p>
            <w:pPr>
              <w:spacing w:line="300" w:lineRule="auto"/>
              <w:jc w:val="center"/>
            </w:pPr>
            <w:r>
              <w:rPr>
                <w:rFonts w:ascii="Times New Roman" w:cs="Times New Roman" w:eastAsia="Times New Roman" w:hAnsi="Times New Roman"/>
                <w:sz w:val="20"/>
                <w:szCs w:val="20"/>
              </w:rPr>
              <w:t xml:space="preserve">XX大学</w:t>
            </w:r>
          </w:p>
        </w:tc>
      </w:tr>
      <w:tr>
        <w:tc>
          <w:tcPr>
            <w:tcW w:type="dxa" w:w="400"/>
          </w:tcPr>
          <w:p>
            <w:pPr>
              <w:spacing w:line="300" w:lineRule="auto"/>
              <w:jc w:val="left"/>
            </w:pPr>
            <w:r>
              <w:rPr>
                <w:rFonts w:ascii="Times New Roman" w:cs="Times New Roman" w:eastAsia="Times New Roman" w:hAnsi="Times New Roman"/>
                <w:sz w:val="20"/>
                <w:szCs w:val="20"/>
              </w:rPr>
              <w:t xml:space="preserve">9</w:t>
            </w:r>
          </w:p>
        </w:tc>
        <w:tc>
          <w:tcPr>
            <w:tcW w:type="dxa" w:w="1800"/>
          </w:tcPr>
          <w:p>
            <w:pPr>
              <w:spacing w:line="300" w:lineRule="auto"/>
              <w:jc w:val="center"/>
            </w:pPr>
            <w:r>
              <w:rPr>
                <w:rFonts w:ascii="Times New Roman" w:cs="Times New Roman" w:eastAsia="Times New Roman" w:hAnsi="Times New Roman"/>
                <w:sz w:val="20"/>
                <w:szCs w:val="20"/>
              </w:rPr>
              <w:t xml:space="preserve">课题四：基于AI的电力市场交易策略自适应生成
（市场层）</w:t>
            </w:r>
          </w:p>
        </w:tc>
        <w:tc>
          <w:tcPr>
            <w:tcW w:type="dxa" w:w="3300"/>
          </w:tcPr>
          <w:p>
            <w:pPr>
              <w:spacing w:line="300" w:lineRule="auto"/>
              <w:jc w:val="center"/>
            </w:pPr>
            <w:r>
              <w:rPr>
                <w:rFonts w:ascii="Times New Roman" w:cs="Times New Roman" w:eastAsia="Times New Roman" w:hAnsi="Times New Roman"/>
                <w:sz w:val="20"/>
                <w:szCs w:val="20"/>
              </w:rPr>
              <w:t xml:space="preserve">任务4.1 基于LLM+DRL混合决策引擎的多市场交易策略自适应生成</w:t>
            </w:r>
          </w:p>
        </w:tc>
        <w:tc>
          <w:tcPr>
            <w:tcW w:type="dxa" w:w="1400"/>
          </w:tcPr>
          <w:p>
            <w:pPr>
              <w:spacing w:line="300" w:lineRule="auto"/>
              <w:jc w:val="center"/>
            </w:pPr>
            <w:r>
              <w:rPr>
                <w:rFonts w:ascii="Times New Roman" w:cs="Times New Roman" w:eastAsia="Times New Roman" w:hAnsi="Times New Roman"/>
                <w:sz w:val="20"/>
                <w:szCs w:val="20"/>
              </w:rPr>
              <w:t xml:space="preserve">南网综合能源公司</w:t>
            </w:r>
          </w:p>
        </w:tc>
        <w:tc>
          <w:tcPr>
            <w:tcW w:type="dxa" w:w="1406"/>
          </w:tcPr>
          <w:p>
            <w:pPr>
              <w:spacing w:line="300" w:lineRule="auto"/>
              <w:jc w:val="center"/>
            </w:pPr>
            <w:r>
              <w:rPr>
                <w:rFonts w:ascii="Times New Roman" w:cs="Times New Roman" w:eastAsia="Times New Roman" w:hAnsi="Times New Roman"/>
                <w:sz w:val="20"/>
                <w:szCs w:val="20"/>
              </w:rPr>
              <w:t xml:space="preserve">XX研究院</w:t>
            </w:r>
          </w:p>
        </w:tc>
      </w:tr>
      <w:tr>
        <w:tc>
          <w:tcPr>
            <w:tcW w:type="dxa" w:w="400"/>
          </w:tcPr>
          <w:p>
            <w:pPr>
              <w:spacing w:line="300" w:lineRule="auto"/>
              <w:jc w:val="left"/>
            </w:pPr>
            <w:r>
              <w:rPr>
                <w:rFonts w:ascii="Times New Roman" w:cs="Times New Roman" w:eastAsia="Times New Roman" w:hAnsi="Times New Roman"/>
                <w:sz w:val="20"/>
                <w:szCs w:val="20"/>
              </w:rPr>
              <w:t xml:space="preserve">10</w:t>
            </w:r>
          </w:p>
        </w:tc>
        <w:tc>
          <w:tcPr>
            <w:tcW w:type="dxa" w:w="1800"/>
          </w:tcPr>
          <w:p>
            <w:pPr>
              <w:spacing w:line="300" w:lineRule="auto"/>
              <w:jc w:val="center"/>
            </w:pPr>
            <w:r>
              <w:rPr>
                <w:rFonts w:ascii="Times New Roman" w:cs="Times New Roman" w:eastAsia="Times New Roman" w:hAnsi="Times New Roman"/>
                <w:sz w:val="20"/>
                <w:szCs w:val="20"/>
              </w:rPr>
              <w:t xml:space="preserve">同上</w:t>
            </w:r>
          </w:p>
        </w:tc>
        <w:tc>
          <w:tcPr>
            <w:tcW w:type="dxa" w:w="3300"/>
          </w:tcPr>
          <w:p>
            <w:pPr>
              <w:spacing w:line="300" w:lineRule="auto"/>
              <w:jc w:val="center"/>
            </w:pPr>
            <w:r>
              <w:rPr>
                <w:rFonts w:ascii="Times New Roman" w:cs="Times New Roman" w:eastAsia="Times New Roman" w:hAnsi="Times New Roman"/>
                <w:sz w:val="20"/>
                <w:szCs w:val="20"/>
              </w:rPr>
              <w:t xml:space="preserve">任务4.2 极端电价场景风险识别与多市场协同参与机制</w:t>
            </w:r>
          </w:p>
        </w:tc>
        <w:tc>
          <w:tcPr>
            <w:tcW w:type="dxa" w:w="1400"/>
          </w:tcPr>
          <w:p>
            <w:pPr>
              <w:spacing w:line="300" w:lineRule="auto"/>
              <w:jc w:val="center"/>
            </w:pPr>
            <w:r>
              <w:rPr>
                <w:rFonts w:ascii="Times New Roman" w:cs="Times New Roman" w:eastAsia="Times New Roman" w:hAnsi="Times New Roman"/>
                <w:sz w:val="20"/>
                <w:szCs w:val="20"/>
              </w:rPr>
              <w:t xml:space="preserve">XX研究院</w:t>
            </w:r>
          </w:p>
        </w:tc>
        <w:tc>
          <w:tcPr>
            <w:tcW w:type="dxa" w:w="1406"/>
          </w:tcPr>
          <w:p>
            <w:pPr>
              <w:spacing w:line="300" w:lineRule="auto"/>
              <w:jc w:val="center"/>
            </w:pPr>
            <w:r>
              <w:rPr>
                <w:rFonts w:ascii="Times New Roman" w:cs="Times New Roman" w:eastAsia="Times New Roman" w:hAnsi="Times New Roman"/>
                <w:sz w:val="20"/>
                <w:szCs w:val="20"/>
              </w:rPr>
              <w:t xml:space="preserve">南网综合能源公司</w:t>
            </w:r>
          </w:p>
        </w:tc>
      </w:tr>
      <w:tr>
        <w:tc>
          <w:tcPr>
            <w:tcW w:type="dxa" w:w="400"/>
          </w:tcPr>
          <w:p>
            <w:pPr>
              <w:spacing w:line="300" w:lineRule="auto"/>
              <w:jc w:val="left"/>
            </w:pPr>
            <w:r>
              <w:rPr>
                <w:rFonts w:ascii="Times New Roman" w:cs="Times New Roman" w:eastAsia="Times New Roman" w:hAnsi="Times New Roman"/>
                <w:sz w:val="20"/>
                <w:szCs w:val="20"/>
              </w:rPr>
              <w:t xml:space="preserve">11</w:t>
            </w:r>
          </w:p>
        </w:tc>
        <w:tc>
          <w:tcPr>
            <w:tcW w:type="dxa" w:w="1800"/>
          </w:tcPr>
          <w:p>
            <w:pPr>
              <w:spacing w:line="300" w:lineRule="auto"/>
              <w:jc w:val="center"/>
            </w:pPr>
            <w:r>
              <w:rPr>
                <w:rFonts w:ascii="Times New Roman" w:cs="Times New Roman" w:eastAsia="Times New Roman" w:hAnsi="Times New Roman"/>
                <w:sz w:val="20"/>
                <w:szCs w:val="20"/>
              </w:rPr>
              <w:t xml:space="preserve">课题五：虚拟电厂“产调销”一体化智能运营平台
（落地层）</w:t>
            </w:r>
          </w:p>
        </w:tc>
        <w:tc>
          <w:tcPr>
            <w:tcW w:type="dxa" w:w="3300"/>
          </w:tcPr>
          <w:p>
            <w:pPr>
              <w:spacing w:line="300" w:lineRule="auto"/>
              <w:jc w:val="center"/>
            </w:pPr>
            <w:r>
              <w:rPr>
                <w:rFonts w:ascii="Times New Roman" w:cs="Times New Roman" w:eastAsia="Times New Roman" w:hAnsi="Times New Roman"/>
                <w:sz w:val="20"/>
                <w:szCs w:val="20"/>
              </w:rPr>
              <w:t xml:space="preserve">任务5.1 基于智能Agent的一体化运营平台架构设计与核心模块开发</w:t>
            </w:r>
          </w:p>
        </w:tc>
        <w:tc>
          <w:tcPr>
            <w:tcW w:type="dxa" w:w="1400"/>
          </w:tcPr>
          <w:p>
            <w:pPr>
              <w:spacing w:line="300" w:lineRule="auto"/>
              <w:jc w:val="center"/>
            </w:pPr>
            <w:r>
              <w:rPr>
                <w:rFonts w:ascii="Times New Roman" w:cs="Times New Roman" w:eastAsia="Times New Roman" w:hAnsi="Times New Roman"/>
                <w:sz w:val="20"/>
                <w:szCs w:val="20"/>
              </w:rPr>
              <w:t xml:space="preserve">南网综合能源公司</w:t>
            </w:r>
          </w:p>
        </w:tc>
        <w:tc>
          <w:tcPr>
            <w:tcW w:type="dxa" w:w="1406"/>
          </w:tcPr>
          <w:p>
            <w:pPr>
              <w:spacing w:line="300" w:lineRule="auto"/>
              <w:jc w:val="center"/>
            </w:pPr>
            <w:r>
              <w:rPr>
                <w:rFonts w:ascii="Times New Roman" w:cs="Times New Roman" w:eastAsia="Times New Roman" w:hAnsi="Times New Roman"/>
                <w:sz w:val="20"/>
                <w:szCs w:val="20"/>
              </w:rPr>
              <w:t xml:space="preserve">XX科技公司</w:t>
            </w:r>
          </w:p>
        </w:tc>
      </w:tr>
      <w:tr>
        <w:tc>
          <w:tcPr>
            <w:tcW w:type="dxa" w:w="400"/>
          </w:tcPr>
          <w:p>
            <w:pPr>
              <w:spacing w:line="300" w:lineRule="auto"/>
              <w:jc w:val="left"/>
            </w:pPr>
            <w:r>
              <w:rPr>
                <w:rFonts w:ascii="Times New Roman" w:cs="Times New Roman" w:eastAsia="Times New Roman" w:hAnsi="Times New Roman"/>
                <w:sz w:val="20"/>
                <w:szCs w:val="20"/>
              </w:rPr>
              <w:t xml:space="preserve">12</w:t>
            </w:r>
          </w:p>
        </w:tc>
        <w:tc>
          <w:tcPr>
            <w:tcW w:type="dxa" w:w="1800"/>
          </w:tcPr>
          <w:p>
            <w:pPr>
              <w:spacing w:line="300" w:lineRule="auto"/>
              <w:jc w:val="center"/>
            </w:pPr>
            <w:r>
              <w:rPr>
                <w:rFonts w:ascii="Times New Roman" w:cs="Times New Roman" w:eastAsia="Times New Roman" w:hAnsi="Times New Roman"/>
                <w:sz w:val="20"/>
                <w:szCs w:val="20"/>
              </w:rPr>
              <w:t xml:space="preserve">同上</w:t>
            </w:r>
          </w:p>
        </w:tc>
        <w:tc>
          <w:tcPr>
            <w:tcW w:type="dxa" w:w="3300"/>
          </w:tcPr>
          <w:p>
            <w:pPr>
              <w:spacing w:line="300" w:lineRule="auto"/>
              <w:jc w:val="center"/>
            </w:pPr>
            <w:r>
              <w:rPr>
                <w:rFonts w:ascii="Times New Roman" w:cs="Times New Roman" w:eastAsia="Times New Roman" w:hAnsi="Times New Roman"/>
                <w:sz w:val="20"/>
                <w:szCs w:val="20"/>
              </w:rPr>
              <w:t xml:space="preserve">任务5.2 XXXX市虚拟电厂示范工程建设与闭环验证</w:t>
            </w:r>
          </w:p>
        </w:tc>
        <w:tc>
          <w:tcPr>
            <w:tcW w:type="dxa" w:w="1400"/>
          </w:tcPr>
          <w:p>
            <w:pPr>
              <w:spacing w:line="300" w:lineRule="auto"/>
              <w:jc w:val="center"/>
            </w:pPr>
            <w:r>
              <w:rPr>
                <w:rFonts w:ascii="Times New Roman" w:cs="Times New Roman" w:eastAsia="Times New Roman" w:hAnsi="Times New Roman"/>
                <w:sz w:val="20"/>
                <w:szCs w:val="20"/>
              </w:rPr>
              <w:t xml:space="preserve">南网综合能源公司</w:t>
            </w:r>
          </w:p>
        </w:tc>
        <w:tc>
          <w:tcPr>
            <w:tcW w:type="dxa" w:w="1406"/>
          </w:tcPr>
          <w:p>
            <w:pPr>
              <w:spacing w:line="300" w:lineRule="auto"/>
              <w:jc w:val="center"/>
            </w:pPr>
            <w:r>
              <w:rPr>
                <w:rFonts w:ascii="Times New Roman" w:cs="Times New Roman" w:eastAsia="Times New Roman" w:hAnsi="Times New Roman"/>
                <w:sz w:val="20"/>
                <w:szCs w:val="20"/>
              </w:rPr>
              <w:t xml:space="preserve">电网公司、充电运营商等</w:t>
            </w:r>
          </w:p>
        </w:tc>
      </w:tr>
    </w:tbl>
    <w:p>
      <w:pPr>
        <w:pStyle w:val="Heading1"/>
        <w:pageBreakBefore/>
        <w:spacing w:after="60" w:before="120" w:line="360" w:lineRule="auto"/>
        <w:jc w:val="left"/>
      </w:pPr>
      <w:r>
        <w:rPr>
          <w:rFonts w:ascii="Times New Roman" w:cs="Times New Roman" w:eastAsia="Times New Roman" w:hAnsi="Times New Roman"/>
          <w:b/>
          <w:bCs/>
          <w:sz w:val="30"/>
          <w:szCs w:val="30"/>
        </w:rPr>
        <w:t xml:space="preserve">三、创新点</w:t>
      </w:r>
    </w:p>
    <w:p>
      <w:pPr>
        <w:spacing w:line="360" w:lineRule="auto"/>
        <w:ind w:firstLine="480"/>
        <w:jc w:val="both"/>
      </w:pPr>
      <w:r>
        <w:rPr>
          <w:rFonts w:ascii="Times New Roman" w:cs="Times New Roman" w:eastAsia="Times New Roman" w:hAnsi="Times New Roman"/>
          <w:sz w:val="24"/>
          <w:szCs w:val="24"/>
        </w:rPr>
        <w:t xml:space="preserve">本项目在理念、模式、技术、场景四个维度实现系统性创新，形成“理念引领—模式突破—技术赋能—场景落地”的完整创新链条。</w:t>
      </w:r>
    </w:p>
    <w:p>
      <w:pPr>
        <w:pStyle w:val="Heading2"/>
        <w:spacing w:after="60" w:before="60" w:line="360" w:lineRule="auto"/>
        <w:jc w:val="left"/>
      </w:pPr>
      <w:r>
        <w:rPr>
          <w:rFonts w:ascii="Times New Roman" w:cs="Times New Roman" w:eastAsia="Times New Roman" w:hAnsi="Times New Roman"/>
          <w:b/>
          <w:bCs/>
          <w:sz w:val="28"/>
          <w:szCs w:val="28"/>
        </w:rPr>
        <w:t xml:space="preserve">创新点1（理念创新）：首次提出“数据驱动、产调销一体”的虚拟电厂智能化运营理念</w:t>
      </w:r>
    </w:p>
    <w:p>
      <w:pPr>
        <w:spacing w:line="360" w:lineRule="auto"/>
        <w:ind w:firstLine="480"/>
        <w:jc w:val="both"/>
      </w:pPr>
      <w:r>
        <w:rPr>
          <w:rFonts w:ascii="Times New Roman" w:cs="Times New Roman" w:eastAsia="Times New Roman" w:hAnsi="Times New Roman"/>
          <w:sz w:val="24"/>
          <w:szCs w:val="24"/>
        </w:rPr>
        <w:t xml:space="preserve">突破传统虚拟电厂“重聚合、轻智能、割裂运营”的局限，首次系统性提出“数据驱动、产调销一体”的虚拟电厂智能化运营理念。数据驱动维度：将非结构化数据治理作为虚拟电厂智能化的“第一公里”，运用大语言模型等AI技术从合同、规程、工单等非结构化数据中自动提取业务语义，构建虚拟电厂的“知识底座”，改变当前“看数据靠人、理数据靠表”的落后模式。产调销一体维度：以统一的AI决策引擎打通“生产运行—协同调控—市场交易”三大业务环节，实现状态感知→预测分析→策略生成→调度执行→收益结算的全链路自动化闭环，打破当前“三段割裂、信息断层”的运营困局。</w:t>
      </w:r>
    </w:p>
    <w:p>
      <w:pPr>
        <w:spacing w:line="360" w:lineRule="auto"/>
        <w:ind w:firstLine="480"/>
        <w:jc w:val="both"/>
      </w:pPr>
      <w:r>
        <w:rPr>
          <w:rFonts w:ascii="Times New Roman" w:cs="Times New Roman" w:eastAsia="Times New Roman" w:hAnsi="Times New Roman"/>
          <w:sz w:val="24"/>
          <w:szCs w:val="24"/>
        </w:rPr>
        <w:t xml:space="preserve">与现有理念差异：现有虚拟电厂理念多聚焦于“资源聚合”和“削峰填谷”，对数据智能化治理和全链路闭环运营缺乏系统性思考。本理念首次将“数据智能化治理”与“全链路闭环运营”作为虚拟电厂智能化的两大支柱，为虚拟电厂从“信息化”向“智能化”的跨越提供了系统性的理念框架。该理念已通过论文、专利、标准等形式进行知识产权布局，有望成为虚拟电厂领域的重要理论成果，引领行业技术发展方向。</w:t>
      </w:r>
    </w:p>
    <w:p>
      <w:pPr>
        <w:pStyle w:val="Heading2"/>
        <w:spacing w:after="60" w:before="60" w:line="360" w:lineRule="auto"/>
        <w:jc w:val="left"/>
      </w:pPr>
      <w:r>
        <w:rPr>
          <w:rFonts w:ascii="Times New Roman" w:cs="Times New Roman" w:eastAsia="Times New Roman" w:hAnsi="Times New Roman"/>
          <w:b/>
          <w:bCs/>
          <w:sz w:val="28"/>
          <w:szCs w:val="28"/>
        </w:rPr>
        <w:t xml:space="preserve">创新点2（模式创新）：构建“AI驱动+市场导向+多方共赢”的商业运营新模式</w:t>
      </w:r>
    </w:p>
    <w:p>
      <w:pPr>
        <w:spacing w:line="360" w:lineRule="auto"/>
        <w:ind w:firstLine="480"/>
        <w:jc w:val="both"/>
      </w:pPr>
      <w:r>
        <w:rPr>
          <w:rFonts w:ascii="Times New Roman" w:cs="Times New Roman" w:eastAsia="Times New Roman" w:hAnsi="Times New Roman"/>
          <w:sz w:val="24"/>
          <w:szCs w:val="24"/>
        </w:rPr>
        <w:t xml:space="preserve">打破传统虚拟电厂“设备厂商卖设备、软件厂商卖平台、运营商赚差价”的割裂模式，构建“AI算法赋能+多元市场主体协同+价值共享”的新型商业生态。AI算法赋能：将大语言模型、深度强化学习等AI技术深度嵌入虚拟电厂运营全流程，实现从“人工经验驱动”向“数据智能驱动”的范式转变。多元主体协同：建立“电网公司+虚拟电厂运营商+资源拥有者+AI技术提供商”的四方协同机制。价值共享机制：设计基于“贡献度量化+智能合约”的收益分配机制，实现灵活性资源价值的精准量化与公平分配，激发各类市场主体参与积极性。</w:t>
      </w:r>
    </w:p>
    <w:p>
      <w:pPr>
        <w:spacing w:line="360" w:lineRule="auto"/>
        <w:ind w:firstLine="480"/>
        <w:jc w:val="both"/>
      </w:pPr>
      <w:r>
        <w:rPr>
          <w:rFonts w:ascii="Times New Roman" w:cs="Times New Roman" w:eastAsia="Times New Roman" w:hAnsi="Times New Roman"/>
          <w:sz w:val="24"/>
          <w:szCs w:val="24"/>
        </w:rPr>
        <w:t xml:space="preserve">与现有模式差异：现有虚拟电厂商业模式多依赖“峰谷价差套利”，盈利模式单一、可持续性差。本模式通过AI技术提升市场收益（策略收益提升20%以上），通过多元协同机制扩大资源规模（可接入资源规模提升3—5倍），通过价值共享机制保障各方积极性，实现商业可持续。该模式可在全国各类虚拟电厂项目中复制推广，预计可带动百亿级市场规模。</w:t>
      </w:r>
    </w:p>
    <w:p>
      <w:pPr>
        <w:pStyle w:val="Heading2"/>
        <w:spacing w:after="60" w:before="60" w:line="360" w:lineRule="auto"/>
        <w:jc w:val="left"/>
      </w:pPr>
      <w:r>
        <w:rPr>
          <w:rFonts w:ascii="Times New Roman" w:cs="Times New Roman" w:eastAsia="Times New Roman" w:hAnsi="Times New Roman"/>
          <w:b/>
          <w:bCs/>
          <w:sz w:val="28"/>
          <w:szCs w:val="28"/>
        </w:rPr>
        <w:t xml:space="preserve">创新点3（技术创新）：基于“LLM+MADRL”混合智能的全链路技术体系</w:t>
      </w:r>
    </w:p>
    <w:p>
      <w:pPr>
        <w:spacing w:line="360" w:lineRule="auto"/>
        <w:ind w:firstLine="480"/>
        <w:jc w:val="both"/>
      </w:pPr>
      <w:r>
        <w:rPr>
          <w:rFonts w:ascii="Times New Roman" w:cs="Times New Roman" w:eastAsia="Times New Roman" w:hAnsi="Times New Roman"/>
          <w:sz w:val="24"/>
          <w:szCs w:val="24"/>
        </w:rPr>
        <w:t xml:space="preserve">技术突破1：基于大语言模型的非结构化数据语义提取与多源异构数据融合技术（对应AI赋能方向一）。现有技术局限：传统数据中台依赖结构化数据入库和人工字段映射，对PDF合同、文字规程、语音调度指令等非结构化数据缺乏自动化处理能力。深圳虚拟电厂实际运营中，一个充电桩运营商的接入需要人工处理约50页的接口文档和合同条款，耗时2—3周。本技术创新：首次构建面向虚拟电厂业务场景的电力领域大语言模型，通过“通用LLM预训练+电力领域语料微调+业务指令对齐”的技术路线，实现对合同条款、调度规程、设备说明等非结构化文本的深度语义理解和结构化提取；构建虚拟电厂多源异构数据统一语义表示模型。</w:t>
      </w:r>
    </w:p>
    <w:p>
      <w:pPr>
        <w:spacing w:line="360" w:lineRule="auto"/>
        <w:ind w:firstLine="480"/>
        <w:jc w:val="both"/>
      </w:pPr>
      <w:r>
        <w:rPr>
          <w:rFonts w:ascii="Times New Roman" w:cs="Times New Roman" w:eastAsia="Times New Roman" w:hAnsi="Times New Roman"/>
          <w:sz w:val="24"/>
          <w:szCs w:val="24"/>
        </w:rPr>
        <w:t xml:space="preserve">技术突破2：基于时序大模型的多时空尺度负荷/出力预测技术（对应AI赋能方向二）。构建基于时序大模型的层次化预测架构，在超短期（秒级—分钟级）、短期（小时级）、中期（日级—周级）三个时间尺度上实现统一建模；引入多模态数据融合机制，将气象预报、电价信号、日历信息、设备状态等异源信息纳入预测模型；创新性地引入预测不确定性量化模块。预期指标：极端场景下预测精度（MAPE）较传统方法提升15%以上；超短期预测时延&lt;1秒。</w:t>
      </w:r>
    </w:p>
    <w:p>
      <w:pPr>
        <w:spacing w:line="360" w:lineRule="auto"/>
        <w:ind w:firstLine="480"/>
        <w:jc w:val="both"/>
      </w:pPr>
      <w:r>
        <w:rPr>
          <w:rFonts w:ascii="Times New Roman" w:cs="Times New Roman" w:eastAsia="Times New Roman" w:hAnsi="Times New Roman"/>
          <w:sz w:val="24"/>
          <w:szCs w:val="24"/>
        </w:rPr>
        <w:t xml:space="preserve">技术突破3：基于多智能体深度强化学习的海量资源协同调控技术（对应AI赋能方向三、四）。构建“MADRL+物理信息约束”的协同调控框架，将异质性资源建模为具有自主决策能力的智能体，通过集中式训练—分布式执行（CTDE）范式实现大规模并行决策；将物理机理（电网潮流约束、设备运行约束）嵌入策略网络，确保决策结果物理可行；提出多时间尺度分层协同机制。预期指标：支持万级资源节点的实时协同决策，决策时延&lt;200ms；调度方案可执行率&gt;95%。</w:t>
      </w:r>
    </w:p>
    <w:p>
      <w:pPr>
        <w:spacing w:line="360" w:lineRule="auto"/>
        <w:ind w:firstLine="480"/>
        <w:jc w:val="both"/>
      </w:pPr>
      <w:r>
        <w:rPr>
          <w:rFonts w:ascii="Times New Roman" w:cs="Times New Roman" w:eastAsia="Times New Roman" w:hAnsi="Times New Roman"/>
          <w:sz w:val="24"/>
          <w:szCs w:val="24"/>
        </w:rPr>
        <w:t xml:space="preserve">技术突破4：基于“LLM+DRL”混合决策引擎的电力市场交易策略技术（对应AI赋能方向五）。研发LLM+DRL混合决策引擎——LLM负责市场规则理解、极端场景语义推理、交易策略解释和人机协同交互；DRL负责高精度策略优化和动态环境适应；构建多市场联合优化模型，实现跨市场套利和风险对冲。预期指标：交易策略综合收益较规则化策略提升20%以上；极端场景下策略收益回撤&lt;10%。</w:t>
      </w:r>
    </w:p>
    <w:p>
      <w:pPr>
        <w:spacing w:line="360" w:lineRule="auto"/>
        <w:ind w:firstLine="480"/>
        <w:jc w:val="both"/>
      </w:pPr>
      <w:r>
        <w:rPr>
          <w:rFonts w:ascii="Times New Roman" w:cs="Times New Roman" w:eastAsia="Times New Roman" w:hAnsi="Times New Roman"/>
          <w:sz w:val="24"/>
          <w:szCs w:val="24"/>
        </w:rPr>
        <w:t xml:space="preserve">技术突破5：基于智能Agent的“产调销”一体化运营平台架构（对应AI赋能方向六）。首次提出基于智能Agent的一体化运营平台架构——以统一的AI决策引擎为“大脑”，以标准化数据总线为“神经”，以各业务模块为“执行器官”，实现从感知→预测→决策→执行→反馈的全链路智能闭环。平台支持国产自主可控技术栈（操作系统、数据库、AI框架）。</w:t>
      </w:r>
    </w:p>
    <w:p>
      <w:pPr>
        <w:pStyle w:val="Heading2"/>
        <w:spacing w:after="60" w:before="60" w:line="360" w:lineRule="auto"/>
        <w:jc w:val="left"/>
      </w:pPr>
      <w:r>
        <w:rPr>
          <w:rFonts w:ascii="Times New Roman" w:cs="Times New Roman" w:eastAsia="Times New Roman" w:hAnsi="Times New Roman"/>
          <w:b/>
          <w:bCs/>
          <w:sz w:val="28"/>
          <w:szCs w:val="28"/>
        </w:rPr>
        <w:t xml:space="preserve">创新点4（场景应用创新）：打造“城市级虚拟电厂多时空尺度智能协同运营”标杆场景</w:t>
      </w:r>
    </w:p>
    <w:p>
      <w:pPr>
        <w:spacing w:line="360" w:lineRule="auto"/>
        <w:ind w:firstLine="480"/>
        <w:jc w:val="both"/>
      </w:pPr>
      <w:r>
        <w:rPr>
          <w:rFonts w:ascii="Times New Roman" w:cs="Times New Roman" w:eastAsia="Times New Roman" w:hAnsi="Times New Roman"/>
          <w:sz w:val="24"/>
          <w:szCs w:val="24"/>
        </w:rPr>
        <w:t xml:space="preserve">依托XXXX市配电网转型升级和新能源高质量发展需求，打造全国首个覆盖六大AI赋能方向的城市级虚拟电厂智能协同运营标杆场景。场景规模：接入分布式光伏（300万千瓦+）、充电桩（100万千瓦+）、储能（50万千瓦+）、可调节工业负荷（100万千瓦+）等多元灵活性资源，总接入规模不低于550万千瓦。场景特色：聚焦“老城区配电网供电可靠性提升+新能源高效消纳+电力市场收益最大化”三大场景价值，实现“安全—经济—低碳”三重效益。场景创新：首次在城市级虚拟电厂中完整覆盖六大AI赋能方向的闭环验证——从多源异构数据治理、AI负荷预测、调节潜力评估、协同调控到市场交易策略生成、以及“产调销”一体化运营的全流程AI赋能。</w:t>
      </w:r>
    </w:p>
    <w:p>
      <w:pPr>
        <w:spacing w:line="360" w:lineRule="auto"/>
        <w:ind w:firstLine="480"/>
        <w:jc w:val="both"/>
      </w:pPr>
      <w:r>
        <w:rPr>
          <w:rFonts w:ascii="Times New Roman" w:cs="Times New Roman" w:eastAsia="Times New Roman" w:hAnsi="Times New Roman"/>
          <w:sz w:val="24"/>
          <w:szCs w:val="24"/>
        </w:rPr>
        <w:t xml:space="preserve">与现有示范差异：现有虚拟电厂示范（如深圳、冀北、上海等）多聚焦于单一或部分环节的AI应用，且多停留在“辅助决策”而非“自主决策”层面。本示范首次实现AI技术在虚拟电厂全业务流程中的深度嵌入和自主决策闭环，具有显著的示范引领价值。</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四、资金情况</w:t>
      </w:r>
    </w:p>
    <w:p>
      <w:pPr>
        <w:spacing w:line="360" w:lineRule="auto"/>
        <w:ind w:firstLine="480"/>
        <w:jc w:val="both"/>
      </w:pPr>
      <w:r>
        <w:rPr>
          <w:rFonts w:ascii="Times New Roman" w:cs="Times New Roman" w:eastAsia="Times New Roman" w:hAnsi="Times New Roman"/>
          <w:sz w:val="24"/>
          <w:szCs w:val="24"/>
        </w:rPr>
        <w:t xml:space="preserve">本项目总投资估算为3000万元，资金来源包括企业自筹、政府补助和合作单位投入三部分。资金使用严格按照国家能源局“人工智能+”能源高价值场景试点建设要求管理，确保专款专用、结余收回。</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600"/>
        <w:gridCol w:w="2906"/>
      </w:tblGrid>
      <w:tr>
        <w:trPr>
          <w:tblHeader/>
        </w:trPr>
        <w:tc>
          <w:tcPr>
            <w:tcW w:type="dxa" w:w="1400"/>
            <w:shd w:fill="D9E2F3" w:val="clear"/>
          </w:tcPr>
          <w:p>
            <w:pPr>
              <w:spacing w:line="300" w:lineRule="auto"/>
              <w:jc w:val="center"/>
            </w:pPr>
            <w:r>
              <w:rPr>
                <w:rFonts w:ascii="Times New Roman" w:cs="Times New Roman" w:eastAsia="Times New Roman" w:hAnsi="Times New Roman"/>
                <w:b/>
                <w:bCs/>
                <w:sz w:val="20"/>
                <w:szCs w:val="20"/>
              </w:rPr>
              <w:t xml:space="preserve">资金来源</w:t>
            </w:r>
          </w:p>
        </w:tc>
        <w:tc>
          <w:tcPr>
            <w:tcW w:type="dxa" w:w="2000"/>
            <w:shd w:fill="D9E2F3" w:val="clear"/>
          </w:tcPr>
          <w:p>
            <w:pPr>
              <w:spacing w:line="300" w:lineRule="auto"/>
              <w:jc w:val="center"/>
            </w:pPr>
            <w:r>
              <w:rPr>
                <w:rFonts w:ascii="Times New Roman" w:cs="Times New Roman" w:eastAsia="Times New Roman" w:hAnsi="Times New Roman"/>
                <w:b/>
                <w:bCs/>
                <w:sz w:val="20"/>
                <w:szCs w:val="20"/>
              </w:rPr>
              <w:t xml:space="preserve">出资方</w:t>
            </w:r>
          </w:p>
        </w:tc>
        <w:tc>
          <w:tcPr>
            <w:tcW w:type="dxa" w:w="1400"/>
            <w:shd w:fill="D9E2F3" w:val="clear"/>
          </w:tcPr>
          <w:p>
            <w:pPr>
              <w:spacing w:line="300" w:lineRule="auto"/>
              <w:jc w:val="center"/>
            </w:pPr>
            <w:r>
              <w:rPr>
                <w:rFonts w:ascii="Times New Roman" w:cs="Times New Roman" w:eastAsia="Times New Roman" w:hAnsi="Times New Roman"/>
                <w:b/>
                <w:bCs/>
                <w:sz w:val="20"/>
                <w:szCs w:val="20"/>
              </w:rPr>
              <w:t xml:space="preserve">出资额（万元）</w:t>
            </w:r>
          </w:p>
        </w:tc>
        <w:tc>
          <w:tcPr>
            <w:tcW w:type="dxa" w:w="600"/>
            <w:shd w:fill="D9E2F3" w:val="clear"/>
          </w:tcPr>
          <w:p>
            <w:pPr>
              <w:spacing w:line="300" w:lineRule="auto"/>
              <w:jc w:val="center"/>
            </w:pPr>
            <w:r>
              <w:rPr>
                <w:rFonts w:ascii="Times New Roman" w:cs="Times New Roman" w:eastAsia="Times New Roman" w:hAnsi="Times New Roman"/>
                <w:b/>
                <w:bCs/>
                <w:sz w:val="20"/>
                <w:szCs w:val="20"/>
              </w:rPr>
              <w:t xml:space="preserve">占比</w:t>
            </w:r>
          </w:p>
        </w:tc>
        <w:tc>
          <w:tcPr>
            <w:tcW w:type="dxa" w:w="2906"/>
            <w:shd w:fill="D9E2F3" w:val="clear"/>
          </w:tcPr>
          <w:p>
            <w:pPr>
              <w:spacing w:line="300" w:lineRule="auto"/>
              <w:jc w:val="center"/>
            </w:pPr>
            <w:r>
              <w:rPr>
                <w:rFonts w:ascii="Times New Roman" w:cs="Times New Roman" w:eastAsia="Times New Roman" w:hAnsi="Times New Roman"/>
                <w:b/>
                <w:bCs/>
                <w:sz w:val="20"/>
                <w:szCs w:val="20"/>
              </w:rPr>
              <w:t xml:space="preserve">投资项目类型</w:t>
            </w:r>
          </w:p>
        </w:tc>
      </w:tr>
      <w:tr>
        <w:tc>
          <w:tcPr>
            <w:tcW w:type="dxa" w:w="1400"/>
          </w:tcPr>
          <w:p>
            <w:pPr>
              <w:spacing w:line="300" w:lineRule="auto"/>
              <w:jc w:val="left"/>
            </w:pPr>
            <w:r>
              <w:rPr>
                <w:rFonts w:ascii="Times New Roman" w:cs="Times New Roman" w:eastAsia="Times New Roman" w:hAnsi="Times New Roman"/>
                <w:sz w:val="20"/>
                <w:szCs w:val="20"/>
              </w:rPr>
              <w:t xml:space="preserve">企业自筹</w:t>
            </w:r>
          </w:p>
        </w:tc>
        <w:tc>
          <w:tcPr>
            <w:tcW w:type="dxa" w:w="2000"/>
          </w:tcPr>
          <w:p>
            <w:pPr>
              <w:spacing w:line="300" w:lineRule="auto"/>
              <w:jc w:val="center"/>
            </w:pPr>
            <w:r>
              <w:rPr>
                <w:rFonts w:ascii="Times New Roman" w:cs="Times New Roman" w:eastAsia="Times New Roman" w:hAnsi="Times New Roman"/>
                <w:sz w:val="20"/>
                <w:szCs w:val="20"/>
              </w:rPr>
              <w:t xml:space="preserve">南网综合能源公司</w:t>
            </w:r>
          </w:p>
        </w:tc>
        <w:tc>
          <w:tcPr>
            <w:tcW w:type="dxa" w:w="1400"/>
          </w:tcPr>
          <w:p>
            <w:pPr>
              <w:spacing w:line="300" w:lineRule="auto"/>
              <w:jc w:val="center"/>
            </w:pPr>
            <w:r>
              <w:rPr>
                <w:rFonts w:ascii="Times New Roman" w:cs="Times New Roman" w:eastAsia="Times New Roman" w:hAnsi="Times New Roman"/>
                <w:sz w:val="20"/>
                <w:szCs w:val="20"/>
              </w:rPr>
              <w:t xml:space="preserve">1800</w:t>
            </w:r>
          </w:p>
        </w:tc>
        <w:tc>
          <w:tcPr>
            <w:tcW w:type="dxa" w:w="600"/>
          </w:tcPr>
          <w:p>
            <w:pPr>
              <w:spacing w:line="300" w:lineRule="auto"/>
              <w:jc w:val="center"/>
            </w:pPr>
            <w:r>
              <w:rPr>
                <w:rFonts w:ascii="Times New Roman" w:cs="Times New Roman" w:eastAsia="Times New Roman" w:hAnsi="Times New Roman"/>
                <w:sz w:val="20"/>
                <w:szCs w:val="20"/>
              </w:rPr>
              <w:t xml:space="preserve">60%</w:t>
            </w:r>
          </w:p>
        </w:tc>
        <w:tc>
          <w:tcPr>
            <w:tcW w:type="dxa" w:w="2906"/>
          </w:tcPr>
          <w:p>
            <w:pPr>
              <w:spacing w:line="300" w:lineRule="auto"/>
              <w:jc w:val="center"/>
            </w:pPr>
            <w:r>
              <w:rPr>
                <w:rFonts w:ascii="Times New Roman" w:cs="Times New Roman" w:eastAsia="Times New Roman" w:hAnsi="Times New Roman"/>
                <w:sz w:val="20"/>
                <w:szCs w:val="20"/>
              </w:rPr>
              <w:t xml:space="preserve">核心技术研发、平台建设、示范工程</w:t>
            </w:r>
          </w:p>
        </w:tc>
      </w:tr>
      <w:tr>
        <w:tc>
          <w:tcPr>
            <w:tcW w:type="dxa" w:w="1400"/>
          </w:tcPr>
          <w:p>
            <w:pPr>
              <w:spacing w:line="300" w:lineRule="auto"/>
              <w:jc w:val="left"/>
            </w:pPr>
            <w:r>
              <w:rPr>
                <w:rFonts w:ascii="Times New Roman" w:cs="Times New Roman" w:eastAsia="Times New Roman" w:hAnsi="Times New Roman"/>
                <w:sz w:val="20"/>
                <w:szCs w:val="20"/>
              </w:rPr>
              <w:t xml:space="preserve">政府补助</w:t>
            </w:r>
          </w:p>
        </w:tc>
        <w:tc>
          <w:tcPr>
            <w:tcW w:type="dxa" w:w="2000"/>
          </w:tcPr>
          <w:p>
            <w:pPr>
              <w:spacing w:line="300" w:lineRule="auto"/>
              <w:jc w:val="center"/>
            </w:pPr>
            <w:r>
              <w:rPr>
                <w:rFonts w:ascii="Times New Roman" w:cs="Times New Roman" w:eastAsia="Times New Roman" w:hAnsi="Times New Roman"/>
                <w:sz w:val="20"/>
                <w:szCs w:val="20"/>
              </w:rPr>
              <w:t xml:space="preserve">国家能源局（试点补助）</w:t>
            </w:r>
          </w:p>
        </w:tc>
        <w:tc>
          <w:tcPr>
            <w:tcW w:type="dxa" w:w="1400"/>
          </w:tcPr>
          <w:p>
            <w:pPr>
              <w:spacing w:line="300" w:lineRule="auto"/>
              <w:jc w:val="center"/>
            </w:pPr>
            <w:r>
              <w:rPr>
                <w:rFonts w:ascii="Times New Roman" w:cs="Times New Roman" w:eastAsia="Times New Roman" w:hAnsi="Times New Roman"/>
                <w:sz w:val="20"/>
                <w:szCs w:val="20"/>
              </w:rPr>
              <w:t xml:space="preserve">900</w:t>
            </w:r>
          </w:p>
        </w:tc>
        <w:tc>
          <w:tcPr>
            <w:tcW w:type="dxa" w:w="600"/>
          </w:tcPr>
          <w:p>
            <w:pPr>
              <w:spacing w:line="300" w:lineRule="auto"/>
              <w:jc w:val="center"/>
            </w:pPr>
            <w:r>
              <w:rPr>
                <w:rFonts w:ascii="Times New Roman" w:cs="Times New Roman" w:eastAsia="Times New Roman" w:hAnsi="Times New Roman"/>
                <w:sz w:val="20"/>
                <w:szCs w:val="20"/>
              </w:rPr>
              <w:t xml:space="preserve">30%</w:t>
            </w:r>
          </w:p>
        </w:tc>
        <w:tc>
          <w:tcPr>
            <w:tcW w:type="dxa" w:w="2906"/>
          </w:tcPr>
          <w:p>
            <w:pPr>
              <w:spacing w:line="300" w:lineRule="auto"/>
              <w:jc w:val="center"/>
            </w:pPr>
            <w:r>
              <w:rPr>
                <w:rFonts w:ascii="Times New Roman" w:cs="Times New Roman" w:eastAsia="Times New Roman" w:hAnsi="Times New Roman"/>
                <w:sz w:val="20"/>
                <w:szCs w:val="20"/>
              </w:rPr>
              <w:t xml:space="preserve">示范工程建设、技术验证、成果推广</w:t>
            </w:r>
          </w:p>
        </w:tc>
      </w:tr>
      <w:tr>
        <w:tc>
          <w:tcPr>
            <w:tcW w:type="dxa" w:w="1400"/>
          </w:tcPr>
          <w:p>
            <w:pPr>
              <w:spacing w:line="300" w:lineRule="auto"/>
              <w:jc w:val="left"/>
            </w:pPr>
            <w:r>
              <w:rPr>
                <w:rFonts w:ascii="Times New Roman" w:cs="Times New Roman" w:eastAsia="Times New Roman" w:hAnsi="Times New Roman"/>
                <w:sz w:val="20"/>
                <w:szCs w:val="20"/>
              </w:rPr>
              <w:t xml:space="preserve">合作单位投入</w:t>
            </w:r>
          </w:p>
        </w:tc>
        <w:tc>
          <w:tcPr>
            <w:tcW w:type="dxa" w:w="2000"/>
          </w:tcPr>
          <w:p>
            <w:pPr>
              <w:spacing w:line="300" w:lineRule="auto"/>
              <w:jc w:val="center"/>
            </w:pPr>
            <w:r>
              <w:rPr>
                <w:rFonts w:ascii="Times New Roman" w:cs="Times New Roman" w:eastAsia="Times New Roman" w:hAnsi="Times New Roman"/>
                <w:sz w:val="20"/>
                <w:szCs w:val="20"/>
              </w:rPr>
              <w:t xml:space="preserve">高校/科研院所（折算）</w:t>
            </w:r>
          </w:p>
        </w:tc>
        <w:tc>
          <w:tcPr>
            <w:tcW w:type="dxa" w:w="1400"/>
          </w:tcPr>
          <w:p>
            <w:pPr>
              <w:spacing w:line="300" w:lineRule="auto"/>
              <w:jc w:val="center"/>
            </w:pPr>
            <w:r>
              <w:rPr>
                <w:rFonts w:ascii="Times New Roman" w:cs="Times New Roman" w:eastAsia="Times New Roman" w:hAnsi="Times New Roman"/>
                <w:sz w:val="20"/>
                <w:szCs w:val="20"/>
              </w:rPr>
              <w:t xml:space="preserve">300</w:t>
            </w:r>
          </w:p>
        </w:tc>
        <w:tc>
          <w:tcPr>
            <w:tcW w:type="dxa" w:w="600"/>
          </w:tcPr>
          <w:p>
            <w:pPr>
              <w:spacing w:line="300" w:lineRule="auto"/>
              <w:jc w:val="center"/>
            </w:pPr>
            <w:r>
              <w:rPr>
                <w:rFonts w:ascii="Times New Roman" w:cs="Times New Roman" w:eastAsia="Times New Roman" w:hAnsi="Times New Roman"/>
                <w:sz w:val="20"/>
                <w:szCs w:val="20"/>
              </w:rPr>
              <w:t xml:space="preserve">10%</w:t>
            </w:r>
          </w:p>
        </w:tc>
        <w:tc>
          <w:tcPr>
            <w:tcW w:type="dxa" w:w="2906"/>
          </w:tcPr>
          <w:p>
            <w:pPr>
              <w:spacing w:line="300" w:lineRule="auto"/>
              <w:jc w:val="center"/>
            </w:pPr>
            <w:r>
              <w:rPr>
                <w:rFonts w:ascii="Times New Roman" w:cs="Times New Roman" w:eastAsia="Times New Roman" w:hAnsi="Times New Roman"/>
                <w:sz w:val="20"/>
                <w:szCs w:val="20"/>
              </w:rPr>
              <w:t xml:space="preserve">算法模型研发、人才投入、实验平台</w:t>
            </w:r>
          </w:p>
        </w:tc>
      </w:tr>
      <w:tr>
        <w:tc>
          <w:tcPr>
            <w:tcW w:type="dxa" w:w="1400"/>
          </w:tcPr>
          <w:p>
            <w:pPr>
              <w:spacing w:line="300" w:lineRule="auto"/>
              <w:jc w:val="left"/>
            </w:pPr>
            <w:r>
              <w:rPr>
                <w:rFonts w:ascii="Times New Roman" w:cs="Times New Roman" w:eastAsia="Times New Roman" w:hAnsi="Times New Roman"/>
                <w:sz w:val="20"/>
                <w:szCs w:val="20"/>
              </w:rPr>
              <w:t xml:space="preserve">合计</w:t>
            </w:r>
          </w:p>
        </w:tc>
        <w:tc>
          <w:tcPr>
            <w:tcW w:type="dxa" w:w="2000"/>
          </w:tcPr>
          <w:p>
            <w:pPr>
              <w:spacing w:line="300" w:lineRule="auto"/>
              <w:jc w:val="center"/>
            </w:pPr>
            <w:r>
              <w:rPr>
                <w:rFonts w:ascii="Times New Roman" w:cs="Times New Roman" w:eastAsia="Times New Roman" w:hAnsi="Times New Roman"/>
                <w:sz w:val="20"/>
                <w:szCs w:val="20"/>
              </w:rPr>
              <w:t xml:space="preserve">—</w:t>
            </w:r>
          </w:p>
        </w:tc>
        <w:tc>
          <w:tcPr>
            <w:tcW w:type="dxa" w:w="1400"/>
          </w:tcPr>
          <w:p>
            <w:pPr>
              <w:spacing w:line="300" w:lineRule="auto"/>
              <w:jc w:val="center"/>
            </w:pPr>
            <w:r>
              <w:rPr>
                <w:rFonts w:ascii="Times New Roman" w:cs="Times New Roman" w:eastAsia="Times New Roman" w:hAnsi="Times New Roman"/>
                <w:sz w:val="20"/>
                <w:szCs w:val="20"/>
              </w:rPr>
              <w:t xml:space="preserve">3000</w:t>
            </w:r>
          </w:p>
        </w:tc>
        <w:tc>
          <w:tcPr>
            <w:tcW w:type="dxa" w:w="600"/>
          </w:tcPr>
          <w:p>
            <w:pPr>
              <w:spacing w:line="300" w:lineRule="auto"/>
              <w:jc w:val="center"/>
            </w:pPr>
            <w:r>
              <w:rPr>
                <w:rFonts w:ascii="Times New Roman" w:cs="Times New Roman" w:eastAsia="Times New Roman" w:hAnsi="Times New Roman"/>
                <w:sz w:val="20"/>
                <w:szCs w:val="20"/>
              </w:rPr>
              <w:t xml:space="preserve">100%</w:t>
            </w:r>
          </w:p>
        </w:tc>
        <w:tc>
          <w:tcPr>
            <w:tcW w:type="dxa" w:w="2906"/>
          </w:tcPr>
          <w:p>
            <w:pPr>
              <w:spacing w:line="300" w:lineRule="auto"/>
              <w:jc w:val="center"/>
            </w:pPr>
            <w:r>
              <w:rPr>
                <w:rFonts w:ascii="Times New Roman" w:cs="Times New Roman" w:eastAsia="Times New Roman" w:hAnsi="Times New Roman"/>
                <w:sz w:val="20"/>
                <w:szCs w:val="20"/>
              </w:rPr>
              <w:t xml:space="preserve">—</w:t>
            </w:r>
          </w:p>
        </w:tc>
      </w:tr>
    </w:tbl>
    <w:p>
      <w:pPr>
        <w:spacing w:line="360" w:lineRule="auto"/>
        <w:ind w:firstLine="480"/>
        <w:jc w:val="both"/>
      </w:pPr>
      <w:r>
        <w:rPr>
          <w:rFonts w:ascii="Times New Roman" w:cs="Times New Roman" w:eastAsia="Times New Roman" w:hAnsi="Times New Roman"/>
          <w:sz w:val="24"/>
          <w:szCs w:val="24"/>
        </w:rPr>
        <w:t xml:space="preserve">各技术方分配经费大致情况：</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600"/>
        <w:gridCol w:w="3506"/>
      </w:tblGrid>
      <w:tr>
        <w:trPr>
          <w:tblHeader/>
        </w:trPr>
        <w:tc>
          <w:tcPr>
            <w:tcW w:type="dxa" w:w="2600"/>
            <w:shd w:fill="D9E2F3" w:val="clear"/>
          </w:tcPr>
          <w:p>
            <w:pPr>
              <w:spacing w:line="300" w:lineRule="auto"/>
              <w:jc w:val="center"/>
            </w:pPr>
            <w:r>
              <w:rPr>
                <w:rFonts w:ascii="Times New Roman" w:cs="Times New Roman" w:eastAsia="Times New Roman" w:hAnsi="Times New Roman"/>
                <w:b/>
                <w:bCs/>
                <w:sz w:val="20"/>
                <w:szCs w:val="20"/>
              </w:rPr>
              <w:t xml:space="preserve">承担单位</w:t>
            </w:r>
          </w:p>
        </w:tc>
        <w:tc>
          <w:tcPr>
            <w:tcW w:type="dxa" w:w="1600"/>
            <w:shd w:fill="D9E2F3" w:val="clear"/>
          </w:tcPr>
          <w:p>
            <w:pPr>
              <w:spacing w:line="300" w:lineRule="auto"/>
              <w:jc w:val="center"/>
            </w:pPr>
            <w:r>
              <w:rPr>
                <w:rFonts w:ascii="Times New Roman" w:cs="Times New Roman" w:eastAsia="Times New Roman" w:hAnsi="Times New Roman"/>
                <w:b/>
                <w:bCs/>
                <w:sz w:val="20"/>
                <w:szCs w:val="20"/>
              </w:rPr>
              <w:t xml:space="preserve">分配经费（万元）</w:t>
            </w:r>
          </w:p>
        </w:tc>
        <w:tc>
          <w:tcPr>
            <w:tcW w:type="dxa" w:w="600"/>
            <w:shd w:fill="D9E2F3" w:val="clear"/>
          </w:tcPr>
          <w:p>
            <w:pPr>
              <w:spacing w:line="300" w:lineRule="auto"/>
              <w:jc w:val="center"/>
            </w:pPr>
            <w:r>
              <w:rPr>
                <w:rFonts w:ascii="Times New Roman" w:cs="Times New Roman" w:eastAsia="Times New Roman" w:hAnsi="Times New Roman"/>
                <w:b/>
                <w:bCs/>
                <w:sz w:val="20"/>
                <w:szCs w:val="20"/>
              </w:rPr>
              <w:t xml:space="preserve">占比</w:t>
            </w:r>
          </w:p>
        </w:tc>
        <w:tc>
          <w:tcPr>
            <w:tcW w:type="dxa" w:w="3506"/>
            <w:shd w:fill="D9E2F3" w:val="clear"/>
          </w:tcPr>
          <w:p>
            <w:pPr>
              <w:spacing w:line="300" w:lineRule="auto"/>
              <w:jc w:val="center"/>
            </w:pPr>
            <w:r>
              <w:rPr>
                <w:rFonts w:ascii="Times New Roman" w:cs="Times New Roman" w:eastAsia="Times New Roman" w:hAnsi="Times New Roman"/>
                <w:b/>
                <w:bCs/>
                <w:sz w:val="20"/>
                <w:szCs w:val="20"/>
              </w:rPr>
              <w:t xml:space="preserve">主要用途</w:t>
            </w:r>
          </w:p>
        </w:tc>
      </w:tr>
      <w:tr>
        <w:tc>
          <w:tcPr>
            <w:tcW w:type="dxa" w:w="2600"/>
          </w:tcPr>
          <w:p>
            <w:pPr>
              <w:spacing w:line="300" w:lineRule="auto"/>
              <w:jc w:val="left"/>
            </w:pPr>
            <w:r>
              <w:rPr>
                <w:rFonts w:ascii="Times New Roman" w:cs="Times New Roman" w:eastAsia="Times New Roman" w:hAnsi="Times New Roman"/>
                <w:sz w:val="20"/>
                <w:szCs w:val="20"/>
              </w:rPr>
              <w:t xml:space="preserve">南网综合能源公司（牵头单位）</w:t>
            </w:r>
          </w:p>
        </w:tc>
        <w:tc>
          <w:tcPr>
            <w:tcW w:type="dxa" w:w="1600"/>
          </w:tcPr>
          <w:p>
            <w:pPr>
              <w:spacing w:line="300" w:lineRule="auto"/>
              <w:jc w:val="center"/>
            </w:pPr>
            <w:r>
              <w:rPr>
                <w:rFonts w:ascii="Times New Roman" w:cs="Times New Roman" w:eastAsia="Times New Roman" w:hAnsi="Times New Roman"/>
                <w:sz w:val="20"/>
                <w:szCs w:val="20"/>
              </w:rPr>
              <w:t xml:space="preserve">1200</w:t>
            </w:r>
          </w:p>
        </w:tc>
        <w:tc>
          <w:tcPr>
            <w:tcW w:type="dxa" w:w="600"/>
          </w:tcPr>
          <w:p>
            <w:pPr>
              <w:spacing w:line="300" w:lineRule="auto"/>
              <w:jc w:val="center"/>
            </w:pPr>
            <w:r>
              <w:rPr>
                <w:rFonts w:ascii="Times New Roman" w:cs="Times New Roman" w:eastAsia="Times New Roman" w:hAnsi="Times New Roman"/>
                <w:sz w:val="20"/>
                <w:szCs w:val="20"/>
              </w:rPr>
              <w:t xml:space="preserve">40%</w:t>
            </w:r>
          </w:p>
        </w:tc>
        <w:tc>
          <w:tcPr>
            <w:tcW w:type="dxa" w:w="3506"/>
          </w:tcPr>
          <w:p>
            <w:pPr>
              <w:spacing w:line="300" w:lineRule="auto"/>
              <w:jc w:val="center"/>
            </w:pPr>
            <w:r>
              <w:rPr>
                <w:rFonts w:ascii="Times New Roman" w:cs="Times New Roman" w:eastAsia="Times New Roman" w:hAnsi="Times New Roman"/>
                <w:sz w:val="20"/>
                <w:szCs w:val="20"/>
              </w:rPr>
              <w:t xml:space="preserve">平台研发、示范工程建设、项目管理</w:t>
            </w:r>
          </w:p>
        </w:tc>
      </w:tr>
      <w:tr>
        <w:tc>
          <w:tcPr>
            <w:tcW w:type="dxa" w:w="2600"/>
          </w:tcPr>
          <w:p>
            <w:pPr>
              <w:spacing w:line="300" w:lineRule="auto"/>
              <w:jc w:val="left"/>
            </w:pPr>
            <w:r>
              <w:rPr>
                <w:rFonts w:ascii="Times New Roman" w:cs="Times New Roman" w:eastAsia="Times New Roman" w:hAnsi="Times New Roman"/>
                <w:sz w:val="20"/>
                <w:szCs w:val="20"/>
              </w:rPr>
              <w:t xml:space="preserve">XX大学（算法研发）</w:t>
            </w:r>
          </w:p>
        </w:tc>
        <w:tc>
          <w:tcPr>
            <w:tcW w:type="dxa" w:w="1600"/>
          </w:tcPr>
          <w:p>
            <w:pPr>
              <w:spacing w:line="300" w:lineRule="auto"/>
              <w:jc w:val="center"/>
            </w:pPr>
            <w:r>
              <w:rPr>
                <w:rFonts w:ascii="Times New Roman" w:cs="Times New Roman" w:eastAsia="Times New Roman" w:hAnsi="Times New Roman"/>
                <w:sz w:val="20"/>
                <w:szCs w:val="20"/>
              </w:rPr>
              <w:t xml:space="preserve">600</w:t>
            </w:r>
          </w:p>
        </w:tc>
        <w:tc>
          <w:tcPr>
            <w:tcW w:type="dxa" w:w="600"/>
          </w:tcPr>
          <w:p>
            <w:pPr>
              <w:spacing w:line="300" w:lineRule="auto"/>
              <w:jc w:val="center"/>
            </w:pPr>
            <w:r>
              <w:rPr>
                <w:rFonts w:ascii="Times New Roman" w:cs="Times New Roman" w:eastAsia="Times New Roman" w:hAnsi="Times New Roman"/>
                <w:sz w:val="20"/>
                <w:szCs w:val="20"/>
              </w:rPr>
              <w:t xml:space="preserve">20%</w:t>
            </w:r>
          </w:p>
        </w:tc>
        <w:tc>
          <w:tcPr>
            <w:tcW w:type="dxa" w:w="3506"/>
          </w:tcPr>
          <w:p>
            <w:pPr>
              <w:spacing w:line="300" w:lineRule="auto"/>
              <w:jc w:val="center"/>
            </w:pPr>
            <w:r>
              <w:rPr>
                <w:rFonts w:ascii="Times New Roman" w:cs="Times New Roman" w:eastAsia="Times New Roman" w:hAnsi="Times New Roman"/>
                <w:sz w:val="20"/>
                <w:szCs w:val="20"/>
              </w:rPr>
              <w:t xml:space="preserve">LLM数据治理、MADRL协同调控、时序大模型预测</w:t>
            </w:r>
          </w:p>
        </w:tc>
      </w:tr>
      <w:tr>
        <w:tc>
          <w:tcPr>
            <w:tcW w:type="dxa" w:w="2600"/>
          </w:tcPr>
          <w:p>
            <w:pPr>
              <w:spacing w:line="300" w:lineRule="auto"/>
              <w:jc w:val="left"/>
            </w:pPr>
            <w:r>
              <w:rPr>
                <w:rFonts w:ascii="Times New Roman" w:cs="Times New Roman" w:eastAsia="Times New Roman" w:hAnsi="Times New Roman"/>
                <w:sz w:val="20"/>
                <w:szCs w:val="20"/>
              </w:rPr>
              <w:t xml:space="preserve">XX研究院（交易策略）</w:t>
            </w:r>
          </w:p>
        </w:tc>
        <w:tc>
          <w:tcPr>
            <w:tcW w:type="dxa" w:w="1600"/>
          </w:tcPr>
          <w:p>
            <w:pPr>
              <w:spacing w:line="300" w:lineRule="auto"/>
              <w:jc w:val="center"/>
            </w:pPr>
            <w:r>
              <w:rPr>
                <w:rFonts w:ascii="Times New Roman" w:cs="Times New Roman" w:eastAsia="Times New Roman" w:hAnsi="Times New Roman"/>
                <w:sz w:val="20"/>
                <w:szCs w:val="20"/>
              </w:rPr>
              <w:t xml:space="preserve">450</w:t>
            </w:r>
          </w:p>
        </w:tc>
        <w:tc>
          <w:tcPr>
            <w:tcW w:type="dxa" w:w="600"/>
          </w:tcPr>
          <w:p>
            <w:pPr>
              <w:spacing w:line="300" w:lineRule="auto"/>
              <w:jc w:val="center"/>
            </w:pPr>
            <w:r>
              <w:rPr>
                <w:rFonts w:ascii="Times New Roman" w:cs="Times New Roman" w:eastAsia="Times New Roman" w:hAnsi="Times New Roman"/>
                <w:sz w:val="20"/>
                <w:szCs w:val="20"/>
              </w:rPr>
              <w:t xml:space="preserve">15%</w:t>
            </w:r>
          </w:p>
        </w:tc>
        <w:tc>
          <w:tcPr>
            <w:tcW w:type="dxa" w:w="3506"/>
          </w:tcPr>
          <w:p>
            <w:pPr>
              <w:spacing w:line="300" w:lineRule="auto"/>
              <w:jc w:val="center"/>
            </w:pPr>
            <w:r>
              <w:rPr>
                <w:rFonts w:ascii="Times New Roman" w:cs="Times New Roman" w:eastAsia="Times New Roman" w:hAnsi="Times New Roman"/>
                <w:sz w:val="20"/>
                <w:szCs w:val="20"/>
              </w:rPr>
              <w:t xml:space="preserve">LLM+DRL交易策略引擎、多市场协同机制研究</w:t>
            </w:r>
          </w:p>
        </w:tc>
      </w:tr>
      <w:tr>
        <w:tc>
          <w:tcPr>
            <w:tcW w:type="dxa" w:w="2600"/>
          </w:tcPr>
          <w:p>
            <w:pPr>
              <w:spacing w:line="300" w:lineRule="auto"/>
              <w:jc w:val="left"/>
            </w:pPr>
            <w:r>
              <w:rPr>
                <w:rFonts w:ascii="Times New Roman" w:cs="Times New Roman" w:eastAsia="Times New Roman" w:hAnsi="Times New Roman"/>
                <w:sz w:val="20"/>
                <w:szCs w:val="20"/>
              </w:rPr>
              <w:t xml:space="preserve">XX科技公司（平台开发）</w:t>
            </w:r>
          </w:p>
        </w:tc>
        <w:tc>
          <w:tcPr>
            <w:tcW w:type="dxa" w:w="1600"/>
          </w:tcPr>
          <w:p>
            <w:pPr>
              <w:spacing w:line="300" w:lineRule="auto"/>
              <w:jc w:val="center"/>
            </w:pPr>
            <w:r>
              <w:rPr>
                <w:rFonts w:ascii="Times New Roman" w:cs="Times New Roman" w:eastAsia="Times New Roman" w:hAnsi="Times New Roman"/>
                <w:sz w:val="20"/>
                <w:szCs w:val="20"/>
              </w:rPr>
              <w:t xml:space="preserve">450</w:t>
            </w:r>
          </w:p>
        </w:tc>
        <w:tc>
          <w:tcPr>
            <w:tcW w:type="dxa" w:w="600"/>
          </w:tcPr>
          <w:p>
            <w:pPr>
              <w:spacing w:line="300" w:lineRule="auto"/>
              <w:jc w:val="center"/>
            </w:pPr>
            <w:r>
              <w:rPr>
                <w:rFonts w:ascii="Times New Roman" w:cs="Times New Roman" w:eastAsia="Times New Roman" w:hAnsi="Times New Roman"/>
                <w:sz w:val="20"/>
                <w:szCs w:val="20"/>
              </w:rPr>
              <w:t xml:space="preserve">15%</w:t>
            </w:r>
          </w:p>
        </w:tc>
        <w:tc>
          <w:tcPr>
            <w:tcW w:type="dxa" w:w="3506"/>
          </w:tcPr>
          <w:p>
            <w:pPr>
              <w:spacing w:line="300" w:lineRule="auto"/>
              <w:jc w:val="center"/>
            </w:pPr>
            <w:r>
              <w:rPr>
                <w:rFonts w:ascii="Times New Roman" w:cs="Times New Roman" w:eastAsia="Times New Roman" w:hAnsi="Times New Roman"/>
                <w:sz w:val="20"/>
                <w:szCs w:val="20"/>
              </w:rPr>
              <w:t xml:space="preserve">一体化智能运营平台开发、系统集成</w:t>
            </w:r>
          </w:p>
        </w:tc>
      </w:tr>
      <w:tr>
        <w:tc>
          <w:tcPr>
            <w:tcW w:type="dxa" w:w="2600"/>
          </w:tcPr>
          <w:p>
            <w:pPr>
              <w:spacing w:line="300" w:lineRule="auto"/>
              <w:jc w:val="left"/>
            </w:pPr>
            <w:r>
              <w:rPr>
                <w:rFonts w:ascii="Times New Roman" w:cs="Times New Roman" w:eastAsia="Times New Roman" w:hAnsi="Times New Roman"/>
                <w:sz w:val="20"/>
                <w:szCs w:val="20"/>
              </w:rPr>
              <w:t xml:space="preserve">其他参与单位</w:t>
            </w:r>
          </w:p>
        </w:tc>
        <w:tc>
          <w:tcPr>
            <w:tcW w:type="dxa" w:w="1600"/>
          </w:tcPr>
          <w:p>
            <w:pPr>
              <w:spacing w:line="300" w:lineRule="auto"/>
              <w:jc w:val="center"/>
            </w:pPr>
            <w:r>
              <w:rPr>
                <w:rFonts w:ascii="Times New Roman" w:cs="Times New Roman" w:eastAsia="Times New Roman" w:hAnsi="Times New Roman"/>
                <w:sz w:val="20"/>
                <w:szCs w:val="20"/>
              </w:rPr>
              <w:t xml:space="preserve">300</w:t>
            </w:r>
          </w:p>
        </w:tc>
        <w:tc>
          <w:tcPr>
            <w:tcW w:type="dxa" w:w="600"/>
          </w:tcPr>
          <w:p>
            <w:pPr>
              <w:spacing w:line="300" w:lineRule="auto"/>
              <w:jc w:val="center"/>
            </w:pPr>
            <w:r>
              <w:rPr>
                <w:rFonts w:ascii="Times New Roman" w:cs="Times New Roman" w:eastAsia="Times New Roman" w:hAnsi="Times New Roman"/>
                <w:sz w:val="20"/>
                <w:szCs w:val="20"/>
              </w:rPr>
              <w:t xml:space="preserve">10%</w:t>
            </w:r>
          </w:p>
        </w:tc>
        <w:tc>
          <w:tcPr>
            <w:tcW w:type="dxa" w:w="3506"/>
          </w:tcPr>
          <w:p>
            <w:pPr>
              <w:spacing w:line="300" w:lineRule="auto"/>
              <w:jc w:val="center"/>
            </w:pPr>
            <w:r>
              <w:rPr>
                <w:rFonts w:ascii="Times New Roman" w:cs="Times New Roman" w:eastAsia="Times New Roman" w:hAnsi="Times New Roman"/>
                <w:sz w:val="20"/>
                <w:szCs w:val="20"/>
              </w:rPr>
              <w:t xml:space="preserve">示范工程配套、数据支持、试验验证</w:t>
            </w:r>
          </w:p>
        </w:tc>
      </w:tr>
      <w:tr>
        <w:tc>
          <w:tcPr>
            <w:tcW w:type="dxa" w:w="2600"/>
          </w:tcPr>
          <w:p>
            <w:pPr>
              <w:spacing w:line="300" w:lineRule="auto"/>
              <w:jc w:val="left"/>
            </w:pPr>
            <w:r>
              <w:rPr>
                <w:rFonts w:ascii="Times New Roman" w:cs="Times New Roman" w:eastAsia="Times New Roman" w:hAnsi="Times New Roman"/>
                <w:sz w:val="20"/>
                <w:szCs w:val="20"/>
              </w:rPr>
              <w:t xml:space="preserve">合计</w:t>
            </w:r>
          </w:p>
        </w:tc>
        <w:tc>
          <w:tcPr>
            <w:tcW w:type="dxa" w:w="1600"/>
          </w:tcPr>
          <w:p>
            <w:pPr>
              <w:spacing w:line="300" w:lineRule="auto"/>
              <w:jc w:val="center"/>
            </w:pPr>
            <w:r>
              <w:rPr>
                <w:rFonts w:ascii="Times New Roman" w:cs="Times New Roman" w:eastAsia="Times New Roman" w:hAnsi="Times New Roman"/>
                <w:sz w:val="20"/>
                <w:szCs w:val="20"/>
              </w:rPr>
              <w:t xml:space="preserve">3000</w:t>
            </w:r>
          </w:p>
        </w:tc>
        <w:tc>
          <w:tcPr>
            <w:tcW w:type="dxa" w:w="600"/>
          </w:tcPr>
          <w:p>
            <w:pPr>
              <w:spacing w:line="300" w:lineRule="auto"/>
              <w:jc w:val="center"/>
            </w:pPr>
            <w:r>
              <w:rPr>
                <w:rFonts w:ascii="Times New Roman" w:cs="Times New Roman" w:eastAsia="Times New Roman" w:hAnsi="Times New Roman"/>
                <w:sz w:val="20"/>
                <w:szCs w:val="20"/>
              </w:rPr>
              <w:t xml:space="preserve">100%</w:t>
            </w:r>
          </w:p>
        </w:tc>
        <w:tc>
          <w:tcPr>
            <w:tcW w:type="dxa" w:w="3506"/>
          </w:tcPr>
          <w:p>
            <w:pPr>
              <w:spacing w:line="300" w:lineRule="auto"/>
              <w:jc w:val="center"/>
            </w:pPr>
            <w:r>
              <w:rPr>
                <w:rFonts w:ascii="Times New Roman" w:cs="Times New Roman" w:eastAsia="Times New Roman" w:hAnsi="Times New Roman"/>
                <w:sz w:val="20"/>
                <w:szCs w:val="20"/>
              </w:rPr>
              <w:t xml:space="preserve">—</w:t>
            </w:r>
          </w:p>
        </w:tc>
      </w:tr>
    </w:tbl>
    <w:p>
      <w:pPr>
        <w:spacing w:line="360" w:lineRule="auto"/>
        <w:ind w:firstLine="480"/>
        <w:jc w:val="both"/>
      </w:pPr>
      <w:r>
        <w:rPr>
          <w:rFonts w:ascii="Times New Roman" w:cs="Times New Roman" w:eastAsia="Times New Roman" w:hAnsi="Times New Roman"/>
          <w:sz w:val="24"/>
          <w:szCs w:val="24"/>
        </w:rPr>
        <w:t xml:space="preserve">资金使用计划按年度分解：</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906"/>
      </w:tblGrid>
      <w:tr>
        <w:trPr>
          <w:tblHeader/>
        </w:trPr>
        <w:tc>
          <w:tcPr>
            <w:tcW w:type="dxa" w:w="1800"/>
            <w:shd w:fill="D9E2F3" w:val="clear"/>
          </w:tcPr>
          <w:p>
            <w:pPr>
              <w:spacing w:line="300" w:lineRule="auto"/>
              <w:jc w:val="center"/>
            </w:pPr>
            <w:r>
              <w:rPr>
                <w:rFonts w:ascii="Times New Roman" w:cs="Times New Roman" w:eastAsia="Times New Roman" w:hAnsi="Times New Roman"/>
                <w:b/>
                <w:bCs/>
                <w:sz w:val="20"/>
                <w:szCs w:val="20"/>
              </w:rPr>
              <w:t xml:space="preserve">年度</w:t>
            </w:r>
          </w:p>
        </w:tc>
        <w:tc>
          <w:tcPr>
            <w:tcW w:type="dxa" w:w="1600"/>
            <w:shd w:fill="D9E2F3" w:val="clear"/>
          </w:tcPr>
          <w:p>
            <w:pPr>
              <w:spacing w:line="300" w:lineRule="auto"/>
              <w:jc w:val="center"/>
            </w:pPr>
            <w:r>
              <w:rPr>
                <w:rFonts w:ascii="Times New Roman" w:cs="Times New Roman" w:eastAsia="Times New Roman" w:hAnsi="Times New Roman"/>
                <w:b/>
                <w:bCs/>
                <w:sz w:val="20"/>
                <w:szCs w:val="20"/>
              </w:rPr>
              <w:t xml:space="preserve">资金计划（万元）</w:t>
            </w:r>
          </w:p>
        </w:tc>
        <w:tc>
          <w:tcPr>
            <w:tcW w:type="dxa" w:w="4906"/>
            <w:shd w:fill="D9E2F3" w:val="clear"/>
          </w:tcPr>
          <w:p>
            <w:pPr>
              <w:spacing w:line="300" w:lineRule="auto"/>
              <w:jc w:val="center"/>
            </w:pPr>
            <w:r>
              <w:rPr>
                <w:rFonts w:ascii="Times New Roman" w:cs="Times New Roman" w:eastAsia="Times New Roman" w:hAnsi="Times New Roman"/>
                <w:b/>
                <w:bCs/>
                <w:sz w:val="20"/>
                <w:szCs w:val="20"/>
              </w:rPr>
              <w:t xml:space="preserve">主要支出方向</w:t>
            </w:r>
          </w:p>
        </w:tc>
      </w:tr>
      <w:tr>
        <w:tc>
          <w:tcPr>
            <w:tcW w:type="dxa" w:w="1800"/>
          </w:tcPr>
          <w:p>
            <w:pPr>
              <w:spacing w:line="300" w:lineRule="auto"/>
              <w:jc w:val="left"/>
            </w:pPr>
            <w:r>
              <w:rPr>
                <w:rFonts w:ascii="Times New Roman" w:cs="Times New Roman" w:eastAsia="Times New Roman" w:hAnsi="Times New Roman"/>
                <w:sz w:val="20"/>
                <w:szCs w:val="20"/>
              </w:rPr>
              <w:t xml:space="preserve">2026年（第1年）</w:t>
            </w:r>
          </w:p>
        </w:tc>
        <w:tc>
          <w:tcPr>
            <w:tcW w:type="dxa" w:w="1600"/>
          </w:tcPr>
          <w:p>
            <w:pPr>
              <w:spacing w:line="300" w:lineRule="auto"/>
              <w:jc w:val="center"/>
            </w:pPr>
            <w:r>
              <w:rPr>
                <w:rFonts w:ascii="Times New Roman" w:cs="Times New Roman" w:eastAsia="Times New Roman" w:hAnsi="Times New Roman"/>
                <w:sz w:val="20"/>
                <w:szCs w:val="20"/>
              </w:rPr>
              <w:t xml:space="preserve">900</w:t>
            </w:r>
          </w:p>
        </w:tc>
        <w:tc>
          <w:tcPr>
            <w:tcW w:type="dxa" w:w="4906"/>
          </w:tcPr>
          <w:p>
            <w:pPr>
              <w:spacing w:line="300" w:lineRule="auto"/>
              <w:jc w:val="center"/>
            </w:pPr>
            <w:r>
              <w:rPr>
                <w:rFonts w:ascii="Times New Roman" w:cs="Times New Roman" w:eastAsia="Times New Roman" w:hAnsi="Times New Roman"/>
                <w:sz w:val="20"/>
                <w:szCs w:val="20"/>
              </w:rPr>
              <w:t xml:space="preserve">需求调研、非结构化数据语义提取模型研发、数据治理方案设计、平台架构设计</w:t>
            </w:r>
          </w:p>
        </w:tc>
      </w:tr>
      <w:tr>
        <w:tc>
          <w:tcPr>
            <w:tcW w:type="dxa" w:w="1800"/>
          </w:tcPr>
          <w:p>
            <w:pPr>
              <w:spacing w:line="300" w:lineRule="auto"/>
              <w:jc w:val="left"/>
            </w:pPr>
            <w:r>
              <w:rPr>
                <w:rFonts w:ascii="Times New Roman" w:cs="Times New Roman" w:eastAsia="Times New Roman" w:hAnsi="Times New Roman"/>
                <w:sz w:val="20"/>
                <w:szCs w:val="20"/>
              </w:rPr>
              <w:t xml:space="preserve">2027年（第2年）</w:t>
            </w:r>
          </w:p>
        </w:tc>
        <w:tc>
          <w:tcPr>
            <w:tcW w:type="dxa" w:w="1600"/>
          </w:tcPr>
          <w:p>
            <w:pPr>
              <w:spacing w:line="300" w:lineRule="auto"/>
              <w:jc w:val="center"/>
            </w:pPr>
            <w:r>
              <w:rPr>
                <w:rFonts w:ascii="Times New Roman" w:cs="Times New Roman" w:eastAsia="Times New Roman" w:hAnsi="Times New Roman"/>
                <w:sz w:val="20"/>
                <w:szCs w:val="20"/>
              </w:rPr>
              <w:t xml:space="preserve">1200</w:t>
            </w:r>
          </w:p>
        </w:tc>
        <w:tc>
          <w:tcPr>
            <w:tcW w:type="dxa" w:w="4906"/>
          </w:tcPr>
          <w:p>
            <w:pPr>
              <w:spacing w:line="300" w:lineRule="auto"/>
              <w:jc w:val="center"/>
            </w:pPr>
            <w:r>
              <w:rPr>
                <w:rFonts w:ascii="Times New Roman" w:cs="Times New Roman" w:eastAsia="Times New Roman" w:hAnsi="Times New Roman"/>
                <w:sz w:val="20"/>
                <w:szCs w:val="20"/>
              </w:rPr>
              <w:t xml:space="preserve">时序大模型预测研发、MADRL协同调控算法、LLM+DRL交易策略引擎、平台核心模块开发</w:t>
            </w:r>
          </w:p>
        </w:tc>
      </w:tr>
      <w:tr>
        <w:tc>
          <w:tcPr>
            <w:tcW w:type="dxa" w:w="1800"/>
          </w:tcPr>
          <w:p>
            <w:pPr>
              <w:spacing w:line="300" w:lineRule="auto"/>
              <w:jc w:val="left"/>
            </w:pPr>
            <w:r>
              <w:rPr>
                <w:rFonts w:ascii="Times New Roman" w:cs="Times New Roman" w:eastAsia="Times New Roman" w:hAnsi="Times New Roman"/>
                <w:sz w:val="20"/>
                <w:szCs w:val="20"/>
              </w:rPr>
              <w:t xml:space="preserve">2028年（第3年）</w:t>
            </w:r>
          </w:p>
        </w:tc>
        <w:tc>
          <w:tcPr>
            <w:tcW w:type="dxa" w:w="1600"/>
          </w:tcPr>
          <w:p>
            <w:pPr>
              <w:spacing w:line="300" w:lineRule="auto"/>
              <w:jc w:val="center"/>
            </w:pPr>
            <w:r>
              <w:rPr>
                <w:rFonts w:ascii="Times New Roman" w:cs="Times New Roman" w:eastAsia="Times New Roman" w:hAnsi="Times New Roman"/>
                <w:sz w:val="20"/>
                <w:szCs w:val="20"/>
              </w:rPr>
              <w:t xml:space="preserve">700</w:t>
            </w:r>
          </w:p>
        </w:tc>
        <w:tc>
          <w:tcPr>
            <w:tcW w:type="dxa" w:w="4906"/>
          </w:tcPr>
          <w:p>
            <w:pPr>
              <w:spacing w:line="300" w:lineRule="auto"/>
              <w:jc w:val="center"/>
            </w:pPr>
            <w:r>
              <w:rPr>
                <w:rFonts w:ascii="Times New Roman" w:cs="Times New Roman" w:eastAsia="Times New Roman" w:hAnsi="Times New Roman"/>
                <w:sz w:val="20"/>
                <w:szCs w:val="20"/>
              </w:rPr>
              <w:t xml:space="preserve">平台集成联调、示范工程建设、系统调试</w:t>
            </w:r>
          </w:p>
        </w:tc>
      </w:tr>
      <w:tr>
        <w:tc>
          <w:tcPr>
            <w:tcW w:type="dxa" w:w="1800"/>
          </w:tcPr>
          <w:p>
            <w:pPr>
              <w:spacing w:line="300" w:lineRule="auto"/>
              <w:jc w:val="left"/>
            </w:pPr>
            <w:r>
              <w:rPr>
                <w:rFonts w:ascii="Times New Roman" w:cs="Times New Roman" w:eastAsia="Times New Roman" w:hAnsi="Times New Roman"/>
                <w:sz w:val="20"/>
                <w:szCs w:val="20"/>
              </w:rPr>
              <w:t xml:space="preserve">2029年（第4年）</w:t>
            </w:r>
          </w:p>
        </w:tc>
        <w:tc>
          <w:tcPr>
            <w:tcW w:type="dxa" w:w="1600"/>
          </w:tcPr>
          <w:p>
            <w:pPr>
              <w:spacing w:line="300" w:lineRule="auto"/>
              <w:jc w:val="center"/>
            </w:pPr>
            <w:r>
              <w:rPr>
                <w:rFonts w:ascii="Times New Roman" w:cs="Times New Roman" w:eastAsia="Times New Roman" w:hAnsi="Times New Roman"/>
                <w:sz w:val="20"/>
                <w:szCs w:val="20"/>
              </w:rPr>
              <w:t xml:space="preserve">200</w:t>
            </w:r>
          </w:p>
        </w:tc>
        <w:tc>
          <w:tcPr>
            <w:tcW w:type="dxa" w:w="4906"/>
          </w:tcPr>
          <w:p>
            <w:pPr>
              <w:spacing w:line="300" w:lineRule="auto"/>
              <w:jc w:val="center"/>
            </w:pPr>
            <w:r>
              <w:rPr>
                <w:rFonts w:ascii="Times New Roman" w:cs="Times New Roman" w:eastAsia="Times New Roman" w:hAnsi="Times New Roman"/>
                <w:sz w:val="20"/>
                <w:szCs w:val="20"/>
              </w:rPr>
              <w:t xml:space="preserve">试运行与优化、项目验收、成果推广</w:t>
            </w:r>
          </w:p>
        </w:tc>
      </w:tr>
      <w:tr>
        <w:tc>
          <w:tcPr>
            <w:tcW w:type="dxa" w:w="1800"/>
          </w:tcPr>
          <w:p>
            <w:pPr>
              <w:spacing w:line="300" w:lineRule="auto"/>
              <w:jc w:val="left"/>
            </w:pPr>
            <w:r>
              <w:rPr>
                <w:rFonts w:ascii="Times New Roman" w:cs="Times New Roman" w:eastAsia="Times New Roman" w:hAnsi="Times New Roman"/>
                <w:sz w:val="20"/>
                <w:szCs w:val="20"/>
              </w:rPr>
              <w:t xml:space="preserve">合计</w:t>
            </w:r>
          </w:p>
        </w:tc>
        <w:tc>
          <w:tcPr>
            <w:tcW w:type="dxa" w:w="1600"/>
          </w:tcPr>
          <w:p>
            <w:pPr>
              <w:spacing w:line="300" w:lineRule="auto"/>
              <w:jc w:val="center"/>
            </w:pPr>
            <w:r>
              <w:rPr>
                <w:rFonts w:ascii="Times New Roman" w:cs="Times New Roman" w:eastAsia="Times New Roman" w:hAnsi="Times New Roman"/>
                <w:sz w:val="20"/>
                <w:szCs w:val="20"/>
              </w:rPr>
              <w:t xml:space="preserve">3000</w:t>
            </w:r>
          </w:p>
        </w:tc>
        <w:tc>
          <w:tcPr>
            <w:tcW w:type="dxa" w:w="4906"/>
          </w:tcPr>
          <w:p>
            <w:pPr>
              <w:spacing w:line="300" w:lineRule="auto"/>
              <w:jc w:val="center"/>
            </w:pPr>
            <w:r>
              <w:rPr>
                <w:rFonts w:ascii="Times New Roman" w:cs="Times New Roman" w:eastAsia="Times New Roman" w:hAnsi="Times New Roman"/>
                <w:sz w:val="20"/>
                <w:szCs w:val="20"/>
              </w:rPr>
              <w:t xml:space="preserve">—</w:t>
            </w:r>
          </w:p>
        </w:tc>
      </w:tr>
    </w:tbl>
    <w:p>
      <w:pPr>
        <w:pStyle w:val="Heading1"/>
        <w:pageBreakBefore/>
        <w:spacing w:after="60" w:before="120" w:line="360" w:lineRule="auto"/>
        <w:jc w:val="left"/>
      </w:pPr>
      <w:r>
        <w:rPr>
          <w:rFonts w:ascii="Times New Roman" w:cs="Times New Roman" w:eastAsia="Times New Roman" w:hAnsi="Times New Roman"/>
          <w:b/>
          <w:bCs/>
          <w:sz w:val="30"/>
          <w:szCs w:val="30"/>
        </w:rPr>
        <w:t xml:space="preserve">五、项目整体计划</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100"/>
        <w:gridCol w:w="800"/>
        <w:gridCol w:w="3806"/>
      </w:tblGrid>
      <w:tr>
        <w:trPr>
          <w:tblHeader/>
        </w:trPr>
        <w:tc>
          <w:tcPr>
            <w:tcW w:type="dxa" w:w="400"/>
            <w:shd w:fill="D9E2F3" w:val="clear"/>
          </w:tcPr>
          <w:p>
            <w:pPr>
              <w:spacing w:line="300" w:lineRule="auto"/>
              <w:jc w:val="center"/>
            </w:pPr>
            <w:r>
              <w:rPr>
                <w:rFonts w:ascii="Times New Roman" w:cs="Times New Roman" w:eastAsia="Times New Roman" w:hAnsi="Times New Roman"/>
                <w:b/>
                <w:bCs/>
                <w:sz w:val="20"/>
                <w:szCs w:val="20"/>
              </w:rPr>
              <w:t xml:space="preserve">序号</w:t>
            </w:r>
          </w:p>
        </w:tc>
        <w:tc>
          <w:tcPr>
            <w:tcW w:type="dxa" w:w="2200"/>
            <w:shd w:fill="D9E2F3" w:val="clear"/>
          </w:tcPr>
          <w:p>
            <w:pPr>
              <w:spacing w:line="300" w:lineRule="auto"/>
              <w:jc w:val="center"/>
            </w:pPr>
            <w:r>
              <w:rPr>
                <w:rFonts w:ascii="Times New Roman" w:cs="Times New Roman" w:eastAsia="Times New Roman" w:hAnsi="Times New Roman"/>
                <w:b/>
                <w:bCs/>
                <w:sz w:val="20"/>
                <w:szCs w:val="20"/>
              </w:rPr>
              <w:t xml:space="preserve">任务名称</w:t>
            </w:r>
          </w:p>
        </w:tc>
        <w:tc>
          <w:tcPr>
            <w:tcW w:type="dxa" w:w="1100"/>
            <w:shd w:fill="D9E2F3" w:val="clear"/>
          </w:tcPr>
          <w:p>
            <w:pPr>
              <w:spacing w:line="300" w:lineRule="auto"/>
              <w:jc w:val="center"/>
            </w:pPr>
            <w:r>
              <w:rPr>
                <w:rFonts w:ascii="Times New Roman" w:cs="Times New Roman" w:eastAsia="Times New Roman" w:hAnsi="Times New Roman"/>
                <w:b/>
                <w:bCs/>
                <w:sz w:val="20"/>
                <w:szCs w:val="20"/>
              </w:rPr>
              <w:t xml:space="preserve">开始时间</w:t>
            </w:r>
          </w:p>
        </w:tc>
        <w:tc>
          <w:tcPr>
            <w:tcW w:type="dxa" w:w="800"/>
            <w:shd w:fill="D9E2F3" w:val="clear"/>
          </w:tcPr>
          <w:p>
            <w:pPr>
              <w:spacing w:line="300" w:lineRule="auto"/>
              <w:jc w:val="center"/>
            </w:pPr>
            <w:r>
              <w:rPr>
                <w:rFonts w:ascii="Times New Roman" w:cs="Times New Roman" w:eastAsia="Times New Roman" w:hAnsi="Times New Roman"/>
                <w:b/>
                <w:bCs/>
                <w:sz w:val="20"/>
                <w:szCs w:val="20"/>
              </w:rPr>
              <w:t xml:space="preserve">工期（月）</w:t>
            </w:r>
          </w:p>
        </w:tc>
        <w:tc>
          <w:tcPr>
            <w:tcW w:type="dxa" w:w="3806"/>
            <w:shd w:fill="D9E2F3" w:val="clear"/>
          </w:tcPr>
          <w:p>
            <w:pPr>
              <w:spacing w:line="300" w:lineRule="auto"/>
              <w:jc w:val="center"/>
            </w:pPr>
            <w:r>
              <w:rPr>
                <w:rFonts w:ascii="Times New Roman" w:cs="Times New Roman" w:eastAsia="Times New Roman" w:hAnsi="Times New Roman"/>
                <w:b/>
                <w:bCs/>
                <w:sz w:val="20"/>
                <w:szCs w:val="20"/>
              </w:rPr>
              <w:t xml:space="preserve">任务描述</w:t>
            </w:r>
          </w:p>
        </w:tc>
      </w:tr>
      <w:tr>
        <w:tc>
          <w:tcPr>
            <w:tcW w:type="dxa" w:w="400"/>
          </w:tcPr>
          <w:p>
            <w:pPr>
              <w:spacing w:line="300" w:lineRule="auto"/>
              <w:jc w:val="left"/>
            </w:pPr>
            <w:r>
              <w:rPr>
                <w:rFonts w:ascii="Times New Roman" w:cs="Times New Roman" w:eastAsia="Times New Roman" w:hAnsi="Times New Roman"/>
                <w:sz w:val="20"/>
                <w:szCs w:val="20"/>
              </w:rPr>
              <w:t xml:space="preserve">1</w:t>
            </w:r>
          </w:p>
        </w:tc>
        <w:tc>
          <w:tcPr>
            <w:tcW w:type="dxa" w:w="2200"/>
          </w:tcPr>
          <w:p>
            <w:pPr>
              <w:spacing w:line="300" w:lineRule="auto"/>
              <w:jc w:val="center"/>
            </w:pPr>
            <w:r>
              <w:rPr>
                <w:rFonts w:ascii="Times New Roman" w:cs="Times New Roman" w:eastAsia="Times New Roman" w:hAnsi="Times New Roman"/>
                <w:sz w:val="20"/>
                <w:szCs w:val="20"/>
              </w:rPr>
              <w:t xml:space="preserve">项目启动与需求调研</w:t>
            </w:r>
          </w:p>
        </w:tc>
        <w:tc>
          <w:tcPr>
            <w:tcW w:type="dxa" w:w="1100"/>
          </w:tcPr>
          <w:p>
            <w:pPr>
              <w:spacing w:line="300" w:lineRule="auto"/>
              <w:jc w:val="center"/>
            </w:pPr>
            <w:r>
              <w:rPr>
                <w:rFonts w:ascii="Times New Roman" w:cs="Times New Roman" w:eastAsia="Times New Roman" w:hAnsi="Times New Roman"/>
                <w:sz w:val="20"/>
                <w:szCs w:val="20"/>
              </w:rPr>
              <w:t xml:space="preserve">2026年7月</w:t>
            </w:r>
          </w:p>
        </w:tc>
        <w:tc>
          <w:tcPr>
            <w:tcW w:type="dxa" w:w="800"/>
          </w:tcPr>
          <w:p>
            <w:pPr>
              <w:spacing w:line="300" w:lineRule="auto"/>
              <w:jc w:val="center"/>
            </w:pPr>
            <w:r>
              <w:rPr>
                <w:rFonts w:ascii="Times New Roman" w:cs="Times New Roman" w:eastAsia="Times New Roman" w:hAnsi="Times New Roman"/>
                <w:sz w:val="20"/>
                <w:szCs w:val="20"/>
              </w:rPr>
              <w:t xml:space="preserve">2</w:t>
            </w:r>
          </w:p>
        </w:tc>
        <w:tc>
          <w:tcPr>
            <w:tcW w:type="dxa" w:w="3806"/>
          </w:tcPr>
          <w:p>
            <w:pPr>
              <w:spacing w:line="300" w:lineRule="auto"/>
              <w:jc w:val="center"/>
            </w:pPr>
            <w:r>
              <w:rPr>
                <w:rFonts w:ascii="Times New Roman" w:cs="Times New Roman" w:eastAsia="Times New Roman" w:hAnsi="Times New Roman"/>
                <w:sz w:val="20"/>
                <w:szCs w:val="20"/>
              </w:rPr>
              <w:t xml:space="preserve">成立项目组，对深圳/广东虚拟电厂实际运营现状开展深度调研，明确技术需求和示范场景</w:t>
            </w:r>
          </w:p>
        </w:tc>
      </w:tr>
      <w:tr>
        <w:tc>
          <w:tcPr>
            <w:tcW w:type="dxa" w:w="400"/>
          </w:tcPr>
          <w:p>
            <w:pPr>
              <w:spacing w:line="300" w:lineRule="auto"/>
              <w:jc w:val="left"/>
            </w:pPr>
            <w:r>
              <w:rPr>
                <w:rFonts w:ascii="Times New Roman" w:cs="Times New Roman" w:eastAsia="Times New Roman" w:hAnsi="Times New Roman"/>
                <w:sz w:val="20"/>
                <w:szCs w:val="20"/>
              </w:rPr>
              <w:t xml:space="preserve">2</w:t>
            </w:r>
          </w:p>
        </w:tc>
        <w:tc>
          <w:tcPr>
            <w:tcW w:type="dxa" w:w="2200"/>
          </w:tcPr>
          <w:p>
            <w:pPr>
              <w:spacing w:line="300" w:lineRule="auto"/>
              <w:jc w:val="center"/>
            </w:pPr>
            <w:r>
              <w:rPr>
                <w:rFonts w:ascii="Times New Roman" w:cs="Times New Roman" w:eastAsia="Times New Roman" w:hAnsi="Times New Roman"/>
                <w:sz w:val="20"/>
                <w:szCs w:val="20"/>
              </w:rPr>
              <w:t xml:space="preserve">多源异构数据治理与资源统一建模</w:t>
            </w:r>
          </w:p>
        </w:tc>
        <w:tc>
          <w:tcPr>
            <w:tcW w:type="dxa" w:w="1100"/>
          </w:tcPr>
          <w:p>
            <w:pPr>
              <w:spacing w:line="300" w:lineRule="auto"/>
              <w:jc w:val="center"/>
            </w:pPr>
            <w:r>
              <w:rPr>
                <w:rFonts w:ascii="Times New Roman" w:cs="Times New Roman" w:eastAsia="Times New Roman" w:hAnsi="Times New Roman"/>
                <w:sz w:val="20"/>
                <w:szCs w:val="20"/>
              </w:rPr>
              <w:t xml:space="preserve">2026年9月</w:t>
            </w:r>
          </w:p>
        </w:tc>
        <w:tc>
          <w:tcPr>
            <w:tcW w:type="dxa" w:w="800"/>
          </w:tcPr>
          <w:p>
            <w:pPr>
              <w:spacing w:line="300" w:lineRule="auto"/>
              <w:jc w:val="center"/>
            </w:pPr>
            <w:r>
              <w:rPr>
                <w:rFonts w:ascii="Times New Roman" w:cs="Times New Roman" w:eastAsia="Times New Roman" w:hAnsi="Times New Roman"/>
                <w:sz w:val="20"/>
                <w:szCs w:val="20"/>
              </w:rPr>
              <w:t xml:space="preserve">8</w:t>
            </w:r>
          </w:p>
        </w:tc>
        <w:tc>
          <w:tcPr>
            <w:tcW w:type="dxa" w:w="3806"/>
          </w:tcPr>
          <w:p>
            <w:pPr>
              <w:spacing w:line="300" w:lineRule="auto"/>
              <w:jc w:val="center"/>
            </w:pPr>
            <w:r>
              <w:rPr>
                <w:rFonts w:ascii="Times New Roman" w:cs="Times New Roman" w:eastAsia="Times New Roman" w:hAnsi="Times New Roman"/>
                <w:sz w:val="20"/>
                <w:szCs w:val="20"/>
              </w:rPr>
              <w:t xml:space="preserve">研发基于LLM的非结构化数据语义提取模型，构建虚拟电厂资源统一数据模型</w:t>
            </w:r>
          </w:p>
        </w:tc>
      </w:tr>
      <w:tr>
        <w:tc>
          <w:tcPr>
            <w:tcW w:type="dxa" w:w="400"/>
          </w:tcPr>
          <w:p>
            <w:pPr>
              <w:spacing w:line="300" w:lineRule="auto"/>
              <w:jc w:val="left"/>
            </w:pPr>
            <w:r>
              <w:rPr>
                <w:rFonts w:ascii="Times New Roman" w:cs="Times New Roman" w:eastAsia="Times New Roman" w:hAnsi="Times New Roman"/>
                <w:sz w:val="20"/>
                <w:szCs w:val="20"/>
              </w:rPr>
              <w:t xml:space="preserve">3</w:t>
            </w:r>
          </w:p>
        </w:tc>
        <w:tc>
          <w:tcPr>
            <w:tcW w:type="dxa" w:w="2200"/>
          </w:tcPr>
          <w:p>
            <w:pPr>
              <w:spacing w:line="300" w:lineRule="auto"/>
              <w:jc w:val="center"/>
            </w:pPr>
            <w:r>
              <w:rPr>
                <w:rFonts w:ascii="Times New Roman" w:cs="Times New Roman" w:eastAsia="Times New Roman" w:hAnsi="Times New Roman"/>
                <w:sz w:val="20"/>
                <w:szCs w:val="20"/>
              </w:rPr>
              <w:t xml:space="preserve">基于AI的多时空尺度负荷/出力预测模型研发</w:t>
            </w:r>
          </w:p>
        </w:tc>
        <w:tc>
          <w:tcPr>
            <w:tcW w:type="dxa" w:w="1100"/>
          </w:tcPr>
          <w:p>
            <w:pPr>
              <w:spacing w:line="300" w:lineRule="auto"/>
              <w:jc w:val="center"/>
            </w:pPr>
            <w:r>
              <w:rPr>
                <w:rFonts w:ascii="Times New Roman" w:cs="Times New Roman" w:eastAsia="Times New Roman" w:hAnsi="Times New Roman"/>
                <w:sz w:val="20"/>
                <w:szCs w:val="20"/>
              </w:rPr>
              <w:t xml:space="preserve">2027年1月</w:t>
            </w:r>
          </w:p>
        </w:tc>
        <w:tc>
          <w:tcPr>
            <w:tcW w:type="dxa" w:w="800"/>
          </w:tcPr>
          <w:p>
            <w:pPr>
              <w:spacing w:line="300" w:lineRule="auto"/>
              <w:jc w:val="center"/>
            </w:pPr>
            <w:r>
              <w:rPr>
                <w:rFonts w:ascii="Times New Roman" w:cs="Times New Roman" w:eastAsia="Times New Roman" w:hAnsi="Times New Roman"/>
                <w:sz w:val="20"/>
                <w:szCs w:val="20"/>
              </w:rPr>
              <w:t xml:space="preserve">8</w:t>
            </w:r>
          </w:p>
        </w:tc>
        <w:tc>
          <w:tcPr>
            <w:tcW w:type="dxa" w:w="3806"/>
          </w:tcPr>
          <w:p>
            <w:pPr>
              <w:spacing w:line="300" w:lineRule="auto"/>
              <w:jc w:val="center"/>
            </w:pPr>
            <w:r>
              <w:rPr>
                <w:rFonts w:ascii="Times New Roman" w:cs="Times New Roman" w:eastAsia="Times New Roman" w:hAnsi="Times New Roman"/>
                <w:sz w:val="20"/>
                <w:szCs w:val="20"/>
              </w:rPr>
              <w:t xml:space="preserve">构建时序大模型层次化预测框架，引入多模态数据融合和不确定性量化</w:t>
            </w:r>
          </w:p>
        </w:tc>
      </w:tr>
      <w:tr>
        <w:tc>
          <w:tcPr>
            <w:tcW w:type="dxa" w:w="400"/>
          </w:tcPr>
          <w:p>
            <w:pPr>
              <w:spacing w:line="300" w:lineRule="auto"/>
              <w:jc w:val="left"/>
            </w:pPr>
            <w:r>
              <w:rPr>
                <w:rFonts w:ascii="Times New Roman" w:cs="Times New Roman" w:eastAsia="Times New Roman" w:hAnsi="Times New Roman"/>
                <w:sz w:val="20"/>
                <w:szCs w:val="20"/>
              </w:rPr>
              <w:t xml:space="preserve">4</w:t>
            </w:r>
          </w:p>
        </w:tc>
        <w:tc>
          <w:tcPr>
            <w:tcW w:type="dxa" w:w="2200"/>
          </w:tcPr>
          <w:p>
            <w:pPr>
              <w:spacing w:line="300" w:lineRule="auto"/>
              <w:jc w:val="center"/>
            </w:pPr>
            <w:r>
              <w:rPr>
                <w:rFonts w:ascii="Times New Roman" w:cs="Times New Roman" w:eastAsia="Times New Roman" w:hAnsi="Times New Roman"/>
                <w:sz w:val="20"/>
                <w:szCs w:val="20"/>
              </w:rPr>
              <w:t xml:space="preserve">多智能体深度强化学习协同调控算法研发</w:t>
            </w:r>
          </w:p>
        </w:tc>
        <w:tc>
          <w:tcPr>
            <w:tcW w:type="dxa" w:w="1100"/>
          </w:tcPr>
          <w:p>
            <w:pPr>
              <w:spacing w:line="300" w:lineRule="auto"/>
              <w:jc w:val="center"/>
            </w:pPr>
            <w:r>
              <w:rPr>
                <w:rFonts w:ascii="Times New Roman" w:cs="Times New Roman" w:eastAsia="Times New Roman" w:hAnsi="Times New Roman"/>
                <w:sz w:val="20"/>
                <w:szCs w:val="20"/>
              </w:rPr>
              <w:t xml:space="preserve">2027年5月</w:t>
            </w:r>
          </w:p>
        </w:tc>
        <w:tc>
          <w:tcPr>
            <w:tcW w:type="dxa" w:w="800"/>
          </w:tcPr>
          <w:p>
            <w:pPr>
              <w:spacing w:line="300" w:lineRule="auto"/>
              <w:jc w:val="center"/>
            </w:pPr>
            <w:r>
              <w:rPr>
                <w:rFonts w:ascii="Times New Roman" w:cs="Times New Roman" w:eastAsia="Times New Roman" w:hAnsi="Times New Roman"/>
                <w:sz w:val="20"/>
                <w:szCs w:val="20"/>
              </w:rPr>
              <w:t xml:space="preserve">10</w:t>
            </w:r>
          </w:p>
        </w:tc>
        <w:tc>
          <w:tcPr>
            <w:tcW w:type="dxa" w:w="3806"/>
          </w:tcPr>
          <w:p>
            <w:pPr>
              <w:spacing w:line="300" w:lineRule="auto"/>
              <w:jc w:val="center"/>
            </w:pPr>
            <w:r>
              <w:rPr>
                <w:rFonts w:ascii="Times New Roman" w:cs="Times New Roman" w:eastAsia="Times New Roman" w:hAnsi="Times New Roman"/>
                <w:sz w:val="20"/>
                <w:szCs w:val="20"/>
              </w:rPr>
              <w:t xml:space="preserve">研发MADRL协同调控算法，构建数字孪生仿真环境完成大规模验证</w:t>
            </w:r>
          </w:p>
        </w:tc>
      </w:tr>
      <w:tr>
        <w:tc>
          <w:tcPr>
            <w:tcW w:type="dxa" w:w="400"/>
          </w:tcPr>
          <w:p>
            <w:pPr>
              <w:spacing w:line="300" w:lineRule="auto"/>
              <w:jc w:val="left"/>
            </w:pPr>
            <w:r>
              <w:rPr>
                <w:rFonts w:ascii="Times New Roman" w:cs="Times New Roman" w:eastAsia="Times New Roman" w:hAnsi="Times New Roman"/>
                <w:sz w:val="20"/>
                <w:szCs w:val="20"/>
              </w:rPr>
              <w:t xml:space="preserve">5</w:t>
            </w:r>
          </w:p>
        </w:tc>
        <w:tc>
          <w:tcPr>
            <w:tcW w:type="dxa" w:w="2200"/>
          </w:tcPr>
          <w:p>
            <w:pPr>
              <w:spacing w:line="300" w:lineRule="auto"/>
              <w:jc w:val="center"/>
            </w:pPr>
            <w:r>
              <w:rPr>
                <w:rFonts w:ascii="Times New Roman" w:cs="Times New Roman" w:eastAsia="Times New Roman" w:hAnsi="Times New Roman"/>
                <w:sz w:val="20"/>
                <w:szCs w:val="20"/>
              </w:rPr>
              <w:t xml:space="preserve">LLM+DRL混合决策引擎与交易策略研发</w:t>
            </w:r>
          </w:p>
        </w:tc>
        <w:tc>
          <w:tcPr>
            <w:tcW w:type="dxa" w:w="1100"/>
          </w:tcPr>
          <w:p>
            <w:pPr>
              <w:spacing w:line="300" w:lineRule="auto"/>
              <w:jc w:val="center"/>
            </w:pPr>
            <w:r>
              <w:rPr>
                <w:rFonts w:ascii="Times New Roman" w:cs="Times New Roman" w:eastAsia="Times New Roman" w:hAnsi="Times New Roman"/>
                <w:sz w:val="20"/>
                <w:szCs w:val="20"/>
              </w:rPr>
              <w:t xml:space="preserve">2027年9月</w:t>
            </w:r>
          </w:p>
        </w:tc>
        <w:tc>
          <w:tcPr>
            <w:tcW w:type="dxa" w:w="800"/>
          </w:tcPr>
          <w:p>
            <w:pPr>
              <w:spacing w:line="300" w:lineRule="auto"/>
              <w:jc w:val="center"/>
            </w:pPr>
            <w:r>
              <w:rPr>
                <w:rFonts w:ascii="Times New Roman" w:cs="Times New Roman" w:eastAsia="Times New Roman" w:hAnsi="Times New Roman"/>
                <w:sz w:val="20"/>
                <w:szCs w:val="20"/>
              </w:rPr>
              <w:t xml:space="preserve">8</w:t>
            </w:r>
          </w:p>
        </w:tc>
        <w:tc>
          <w:tcPr>
            <w:tcW w:type="dxa" w:w="3806"/>
          </w:tcPr>
          <w:p>
            <w:pPr>
              <w:spacing w:line="300" w:lineRule="auto"/>
              <w:jc w:val="center"/>
            </w:pPr>
            <w:r>
              <w:rPr>
                <w:rFonts w:ascii="Times New Roman" w:cs="Times New Roman" w:eastAsia="Times New Roman" w:hAnsi="Times New Roman"/>
                <w:sz w:val="20"/>
                <w:szCs w:val="20"/>
              </w:rPr>
              <w:t xml:space="preserve">构建混合决策引擎，完成历史数据回测和风险控制验证</w:t>
            </w:r>
          </w:p>
        </w:tc>
      </w:tr>
      <w:tr>
        <w:tc>
          <w:tcPr>
            <w:tcW w:type="dxa" w:w="400"/>
          </w:tcPr>
          <w:p>
            <w:pPr>
              <w:spacing w:line="300" w:lineRule="auto"/>
              <w:jc w:val="left"/>
            </w:pPr>
            <w:r>
              <w:rPr>
                <w:rFonts w:ascii="Times New Roman" w:cs="Times New Roman" w:eastAsia="Times New Roman" w:hAnsi="Times New Roman"/>
                <w:sz w:val="20"/>
                <w:szCs w:val="20"/>
              </w:rPr>
              <w:t xml:space="preserve">6</w:t>
            </w:r>
          </w:p>
        </w:tc>
        <w:tc>
          <w:tcPr>
            <w:tcW w:type="dxa" w:w="2200"/>
          </w:tcPr>
          <w:p>
            <w:pPr>
              <w:spacing w:line="300" w:lineRule="auto"/>
              <w:jc w:val="center"/>
            </w:pPr>
            <w:r>
              <w:rPr>
                <w:rFonts w:ascii="Times New Roman" w:cs="Times New Roman" w:eastAsia="Times New Roman" w:hAnsi="Times New Roman"/>
                <w:sz w:val="20"/>
                <w:szCs w:val="20"/>
              </w:rPr>
              <w:t xml:space="preserve">一体化智能运营平台核心模块开发</w:t>
            </w:r>
          </w:p>
        </w:tc>
        <w:tc>
          <w:tcPr>
            <w:tcW w:type="dxa" w:w="1100"/>
          </w:tcPr>
          <w:p>
            <w:pPr>
              <w:spacing w:line="300" w:lineRule="auto"/>
              <w:jc w:val="center"/>
            </w:pPr>
            <w:r>
              <w:rPr>
                <w:rFonts w:ascii="Times New Roman" w:cs="Times New Roman" w:eastAsia="Times New Roman" w:hAnsi="Times New Roman"/>
                <w:sz w:val="20"/>
                <w:szCs w:val="20"/>
              </w:rPr>
              <w:t xml:space="preserve">2028年1月</w:t>
            </w:r>
          </w:p>
        </w:tc>
        <w:tc>
          <w:tcPr>
            <w:tcW w:type="dxa" w:w="800"/>
          </w:tcPr>
          <w:p>
            <w:pPr>
              <w:spacing w:line="300" w:lineRule="auto"/>
              <w:jc w:val="center"/>
            </w:pPr>
            <w:r>
              <w:rPr>
                <w:rFonts w:ascii="Times New Roman" w:cs="Times New Roman" w:eastAsia="Times New Roman" w:hAnsi="Times New Roman"/>
                <w:sz w:val="20"/>
                <w:szCs w:val="20"/>
              </w:rPr>
              <w:t xml:space="preserve">10</w:t>
            </w:r>
          </w:p>
        </w:tc>
        <w:tc>
          <w:tcPr>
            <w:tcW w:type="dxa" w:w="3806"/>
          </w:tcPr>
          <w:p>
            <w:pPr>
              <w:spacing w:line="300" w:lineRule="auto"/>
              <w:jc w:val="center"/>
            </w:pPr>
            <w:r>
              <w:rPr>
                <w:rFonts w:ascii="Times New Roman" w:cs="Times New Roman" w:eastAsia="Times New Roman" w:hAnsi="Times New Roman"/>
                <w:sz w:val="20"/>
                <w:szCs w:val="20"/>
              </w:rPr>
              <w:t xml:space="preserve">完成平台架构设计、智能Agent核心引擎集成、全链路闭环功能开发</w:t>
            </w:r>
          </w:p>
        </w:tc>
      </w:tr>
      <w:tr>
        <w:tc>
          <w:tcPr>
            <w:tcW w:type="dxa" w:w="400"/>
          </w:tcPr>
          <w:p>
            <w:pPr>
              <w:spacing w:line="300" w:lineRule="auto"/>
              <w:jc w:val="left"/>
            </w:pPr>
            <w:r>
              <w:rPr>
                <w:rFonts w:ascii="Times New Roman" w:cs="Times New Roman" w:eastAsia="Times New Roman" w:hAnsi="Times New Roman"/>
                <w:sz w:val="20"/>
                <w:szCs w:val="20"/>
              </w:rPr>
              <w:t xml:space="preserve">7</w:t>
            </w:r>
          </w:p>
        </w:tc>
        <w:tc>
          <w:tcPr>
            <w:tcW w:type="dxa" w:w="2200"/>
          </w:tcPr>
          <w:p>
            <w:pPr>
              <w:spacing w:line="300" w:lineRule="auto"/>
              <w:jc w:val="center"/>
            </w:pPr>
            <w:r>
              <w:rPr>
                <w:rFonts w:ascii="Times New Roman" w:cs="Times New Roman" w:eastAsia="Times New Roman" w:hAnsi="Times New Roman"/>
                <w:sz w:val="20"/>
                <w:szCs w:val="20"/>
              </w:rPr>
              <w:t xml:space="preserve">XXXX市虚拟电厂示范工程建设</w:t>
            </w:r>
          </w:p>
        </w:tc>
        <w:tc>
          <w:tcPr>
            <w:tcW w:type="dxa" w:w="1100"/>
          </w:tcPr>
          <w:p>
            <w:pPr>
              <w:spacing w:line="300" w:lineRule="auto"/>
              <w:jc w:val="center"/>
            </w:pPr>
            <w:r>
              <w:rPr>
                <w:rFonts w:ascii="Times New Roman" w:cs="Times New Roman" w:eastAsia="Times New Roman" w:hAnsi="Times New Roman"/>
                <w:sz w:val="20"/>
                <w:szCs w:val="20"/>
              </w:rPr>
              <w:t xml:space="preserve">2028年7月</w:t>
            </w:r>
          </w:p>
        </w:tc>
        <w:tc>
          <w:tcPr>
            <w:tcW w:type="dxa" w:w="800"/>
          </w:tcPr>
          <w:p>
            <w:pPr>
              <w:spacing w:line="300" w:lineRule="auto"/>
              <w:jc w:val="center"/>
            </w:pPr>
            <w:r>
              <w:rPr>
                <w:rFonts w:ascii="Times New Roman" w:cs="Times New Roman" w:eastAsia="Times New Roman" w:hAnsi="Times New Roman"/>
                <w:sz w:val="20"/>
                <w:szCs w:val="20"/>
              </w:rPr>
              <w:t xml:space="preserve">8</w:t>
            </w:r>
          </w:p>
        </w:tc>
        <w:tc>
          <w:tcPr>
            <w:tcW w:type="dxa" w:w="3806"/>
          </w:tcPr>
          <w:p>
            <w:pPr>
              <w:spacing w:line="300" w:lineRule="auto"/>
              <w:jc w:val="center"/>
            </w:pPr>
            <w:r>
              <w:rPr>
                <w:rFonts w:ascii="Times New Roman" w:cs="Times New Roman" w:eastAsia="Times New Roman" w:hAnsi="Times New Roman"/>
                <w:sz w:val="20"/>
                <w:szCs w:val="20"/>
              </w:rPr>
              <w:t xml:space="preserve">建设虚拟电厂运营中心，接入不少于100万千瓦灵活性资源</w:t>
            </w:r>
          </w:p>
        </w:tc>
      </w:tr>
      <w:tr>
        <w:tc>
          <w:tcPr>
            <w:tcW w:type="dxa" w:w="400"/>
          </w:tcPr>
          <w:p>
            <w:pPr>
              <w:spacing w:line="300" w:lineRule="auto"/>
              <w:jc w:val="left"/>
            </w:pPr>
            <w:r>
              <w:rPr>
                <w:rFonts w:ascii="Times New Roman" w:cs="Times New Roman" w:eastAsia="Times New Roman" w:hAnsi="Times New Roman"/>
                <w:sz w:val="20"/>
                <w:szCs w:val="20"/>
              </w:rPr>
              <w:t xml:space="preserve">8</w:t>
            </w:r>
          </w:p>
        </w:tc>
        <w:tc>
          <w:tcPr>
            <w:tcW w:type="dxa" w:w="2200"/>
          </w:tcPr>
          <w:p>
            <w:pPr>
              <w:spacing w:line="300" w:lineRule="auto"/>
              <w:jc w:val="center"/>
            </w:pPr>
            <w:r>
              <w:rPr>
                <w:rFonts w:ascii="Times New Roman" w:cs="Times New Roman" w:eastAsia="Times New Roman" w:hAnsi="Times New Roman"/>
                <w:sz w:val="20"/>
                <w:szCs w:val="20"/>
              </w:rPr>
              <w:t xml:space="preserve">平台部署与试运行</w:t>
            </w:r>
          </w:p>
        </w:tc>
        <w:tc>
          <w:tcPr>
            <w:tcW w:type="dxa" w:w="1100"/>
          </w:tcPr>
          <w:p>
            <w:pPr>
              <w:spacing w:line="300" w:lineRule="auto"/>
              <w:jc w:val="center"/>
            </w:pPr>
            <w:r>
              <w:rPr>
                <w:rFonts w:ascii="Times New Roman" w:cs="Times New Roman" w:eastAsia="Times New Roman" w:hAnsi="Times New Roman"/>
                <w:sz w:val="20"/>
                <w:szCs w:val="20"/>
              </w:rPr>
              <w:t xml:space="preserve">2029年1月</w:t>
            </w:r>
          </w:p>
        </w:tc>
        <w:tc>
          <w:tcPr>
            <w:tcW w:type="dxa" w:w="800"/>
          </w:tcPr>
          <w:p>
            <w:pPr>
              <w:spacing w:line="300" w:lineRule="auto"/>
              <w:jc w:val="center"/>
            </w:pPr>
            <w:r>
              <w:rPr>
                <w:rFonts w:ascii="Times New Roman" w:cs="Times New Roman" w:eastAsia="Times New Roman" w:hAnsi="Times New Roman"/>
                <w:sz w:val="20"/>
                <w:szCs w:val="20"/>
              </w:rPr>
              <w:t xml:space="preserve">6</w:t>
            </w:r>
          </w:p>
        </w:tc>
        <w:tc>
          <w:tcPr>
            <w:tcW w:type="dxa" w:w="3806"/>
          </w:tcPr>
          <w:p>
            <w:pPr>
              <w:spacing w:line="300" w:lineRule="auto"/>
              <w:jc w:val="center"/>
            </w:pPr>
            <w:r>
              <w:rPr>
                <w:rFonts w:ascii="Times New Roman" w:cs="Times New Roman" w:eastAsia="Times New Roman" w:hAnsi="Times New Roman"/>
                <w:sz w:val="20"/>
                <w:szCs w:val="20"/>
              </w:rPr>
              <w:t xml:space="preserve">完成平台部署调试，开展不少于6个月的一体化闭环试运行</w:t>
            </w:r>
          </w:p>
        </w:tc>
      </w:tr>
      <w:tr>
        <w:tc>
          <w:tcPr>
            <w:tcW w:type="dxa" w:w="400"/>
          </w:tcPr>
          <w:p>
            <w:pPr>
              <w:spacing w:line="300" w:lineRule="auto"/>
              <w:jc w:val="left"/>
            </w:pPr>
            <w:r>
              <w:rPr>
                <w:rFonts w:ascii="Times New Roman" w:cs="Times New Roman" w:eastAsia="Times New Roman" w:hAnsi="Times New Roman"/>
                <w:sz w:val="20"/>
                <w:szCs w:val="20"/>
              </w:rPr>
              <w:t xml:space="preserve">9</w:t>
            </w:r>
          </w:p>
        </w:tc>
        <w:tc>
          <w:tcPr>
            <w:tcW w:type="dxa" w:w="2200"/>
          </w:tcPr>
          <w:p>
            <w:pPr>
              <w:spacing w:line="300" w:lineRule="auto"/>
              <w:jc w:val="center"/>
            </w:pPr>
            <w:r>
              <w:rPr>
                <w:rFonts w:ascii="Times New Roman" w:cs="Times New Roman" w:eastAsia="Times New Roman" w:hAnsi="Times New Roman"/>
                <w:sz w:val="20"/>
                <w:szCs w:val="20"/>
              </w:rPr>
              <w:t xml:space="preserve">项目验收与成果推广</w:t>
            </w:r>
          </w:p>
        </w:tc>
        <w:tc>
          <w:tcPr>
            <w:tcW w:type="dxa" w:w="1100"/>
          </w:tcPr>
          <w:p>
            <w:pPr>
              <w:spacing w:line="300" w:lineRule="auto"/>
              <w:jc w:val="center"/>
            </w:pPr>
            <w:r>
              <w:rPr>
                <w:rFonts w:ascii="Times New Roman" w:cs="Times New Roman" w:eastAsia="Times New Roman" w:hAnsi="Times New Roman"/>
                <w:sz w:val="20"/>
                <w:szCs w:val="20"/>
              </w:rPr>
              <w:t xml:space="preserve">2029年7月</w:t>
            </w:r>
          </w:p>
        </w:tc>
        <w:tc>
          <w:tcPr>
            <w:tcW w:type="dxa" w:w="800"/>
          </w:tcPr>
          <w:p>
            <w:pPr>
              <w:spacing w:line="300" w:lineRule="auto"/>
              <w:jc w:val="center"/>
            </w:pPr>
            <w:r>
              <w:rPr>
                <w:rFonts w:ascii="Times New Roman" w:cs="Times New Roman" w:eastAsia="Times New Roman" w:hAnsi="Times New Roman"/>
                <w:sz w:val="20"/>
                <w:szCs w:val="20"/>
              </w:rPr>
              <w:t xml:space="preserve">3</w:t>
            </w:r>
          </w:p>
        </w:tc>
        <w:tc>
          <w:tcPr>
            <w:tcW w:type="dxa" w:w="3806"/>
          </w:tcPr>
          <w:p>
            <w:pPr>
              <w:spacing w:line="300" w:lineRule="auto"/>
              <w:jc w:val="center"/>
            </w:pPr>
            <w:r>
              <w:rPr>
                <w:rFonts w:ascii="Times New Roman" w:cs="Times New Roman" w:eastAsia="Times New Roman" w:hAnsi="Times New Roman"/>
                <w:sz w:val="20"/>
                <w:szCs w:val="20"/>
              </w:rPr>
              <w:t xml:space="preserve">准备验收材料，组织专家验收，形成可复制推广方案</w:t>
            </w:r>
          </w:p>
        </w:tc>
      </w:tr>
    </w:tbl>
    <w:p>
      <w:pPr>
        <w:pStyle w:val="Heading1"/>
        <w:pageBreakBefore/>
        <w:spacing w:after="60" w:before="120" w:line="360" w:lineRule="auto"/>
        <w:jc w:val="left"/>
      </w:pPr>
      <w:r>
        <w:rPr>
          <w:rFonts w:ascii="Times New Roman" w:cs="Times New Roman" w:eastAsia="Times New Roman" w:hAnsi="Times New Roman"/>
          <w:b/>
          <w:bCs/>
          <w:sz w:val="30"/>
          <w:szCs w:val="30"/>
        </w:rPr>
        <w:t xml:space="preserve">六、待协调事项</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000"/>
        <w:gridCol w:w="4106"/>
      </w:tblGrid>
      <w:tr>
        <w:trPr>
          <w:tblHeader/>
        </w:trPr>
        <w:tc>
          <w:tcPr>
            <w:tcW w:type="dxa" w:w="400"/>
            <w:shd w:fill="D9E2F3" w:val="clear"/>
          </w:tcPr>
          <w:p>
            <w:pPr>
              <w:spacing w:line="300" w:lineRule="auto"/>
              <w:jc w:val="center"/>
            </w:pPr>
            <w:r>
              <w:rPr>
                <w:rFonts w:ascii="Times New Roman" w:cs="Times New Roman" w:eastAsia="Times New Roman" w:hAnsi="Times New Roman"/>
                <w:b/>
                <w:bCs/>
                <w:sz w:val="20"/>
                <w:szCs w:val="20"/>
              </w:rPr>
              <w:t xml:space="preserve">序号</w:t>
            </w:r>
          </w:p>
        </w:tc>
        <w:tc>
          <w:tcPr>
            <w:tcW w:type="dxa" w:w="1800"/>
            <w:shd w:fill="D9E2F3" w:val="clear"/>
          </w:tcPr>
          <w:p>
            <w:pPr>
              <w:spacing w:line="300" w:lineRule="auto"/>
              <w:jc w:val="center"/>
            </w:pPr>
            <w:r>
              <w:rPr>
                <w:rFonts w:ascii="Times New Roman" w:cs="Times New Roman" w:eastAsia="Times New Roman" w:hAnsi="Times New Roman"/>
                <w:b/>
                <w:bCs/>
                <w:sz w:val="20"/>
                <w:szCs w:val="20"/>
              </w:rPr>
              <w:t xml:space="preserve">待协调事项</w:t>
            </w:r>
          </w:p>
        </w:tc>
        <w:tc>
          <w:tcPr>
            <w:tcW w:type="dxa" w:w="2000"/>
            <w:shd w:fill="D9E2F3" w:val="clear"/>
          </w:tcPr>
          <w:p>
            <w:pPr>
              <w:spacing w:line="300" w:lineRule="auto"/>
              <w:jc w:val="center"/>
            </w:pPr>
            <w:r>
              <w:rPr>
                <w:rFonts w:ascii="Times New Roman" w:cs="Times New Roman" w:eastAsia="Times New Roman" w:hAnsi="Times New Roman"/>
                <w:b/>
                <w:bCs/>
                <w:sz w:val="20"/>
                <w:szCs w:val="20"/>
              </w:rPr>
              <w:t xml:space="preserve">协调对象</w:t>
            </w:r>
          </w:p>
        </w:tc>
        <w:tc>
          <w:tcPr>
            <w:tcW w:type="dxa" w:w="4106"/>
            <w:shd w:fill="D9E2F3" w:val="clear"/>
          </w:tcPr>
          <w:p>
            <w:pPr>
              <w:spacing w:line="300" w:lineRule="auto"/>
              <w:jc w:val="center"/>
            </w:pPr>
            <w:r>
              <w:rPr>
                <w:rFonts w:ascii="Times New Roman" w:cs="Times New Roman" w:eastAsia="Times New Roman" w:hAnsi="Times New Roman"/>
                <w:b/>
                <w:bCs/>
                <w:sz w:val="20"/>
                <w:szCs w:val="20"/>
              </w:rPr>
              <w:t xml:space="preserve">建议解决方案</w:t>
            </w:r>
          </w:p>
        </w:tc>
      </w:tr>
      <w:tr>
        <w:tc>
          <w:tcPr>
            <w:tcW w:type="dxa" w:w="400"/>
          </w:tcPr>
          <w:p>
            <w:pPr>
              <w:spacing w:line="300" w:lineRule="auto"/>
              <w:jc w:val="left"/>
            </w:pPr>
            <w:r>
              <w:rPr>
                <w:rFonts w:ascii="Times New Roman" w:cs="Times New Roman" w:eastAsia="Times New Roman" w:hAnsi="Times New Roman"/>
                <w:sz w:val="20"/>
                <w:szCs w:val="20"/>
              </w:rPr>
              <w:t xml:space="preserve">1</w:t>
            </w:r>
          </w:p>
        </w:tc>
        <w:tc>
          <w:tcPr>
            <w:tcW w:type="dxa" w:w="1800"/>
          </w:tcPr>
          <w:p>
            <w:pPr>
              <w:spacing w:line="300" w:lineRule="auto"/>
              <w:jc w:val="center"/>
            </w:pPr>
            <w:r>
              <w:rPr>
                <w:rFonts w:ascii="Times New Roman" w:cs="Times New Roman" w:eastAsia="Times New Roman" w:hAnsi="Times New Roman"/>
                <w:sz w:val="20"/>
                <w:szCs w:val="20"/>
              </w:rPr>
              <w:t xml:space="preserve">示范工程接入资源协调
（充电桩、工商业负荷、储能等）</w:t>
            </w:r>
          </w:p>
        </w:tc>
        <w:tc>
          <w:tcPr>
            <w:tcW w:type="dxa" w:w="2000"/>
          </w:tcPr>
          <w:p>
            <w:pPr>
              <w:spacing w:line="300" w:lineRule="auto"/>
              <w:jc w:val="center"/>
            </w:pPr>
            <w:r>
              <w:rPr>
                <w:rFonts w:ascii="Times New Roman" w:cs="Times New Roman" w:eastAsia="Times New Roman" w:hAnsi="Times New Roman"/>
                <w:sz w:val="20"/>
                <w:szCs w:val="20"/>
              </w:rPr>
              <w:t xml:space="preserve">XXXX市发改委、充电运营商、工商业用户</w:t>
            </w:r>
          </w:p>
        </w:tc>
        <w:tc>
          <w:tcPr>
            <w:tcW w:type="dxa" w:w="4106"/>
          </w:tcPr>
          <w:p>
            <w:pPr>
              <w:spacing w:line="300" w:lineRule="auto"/>
              <w:jc w:val="center"/>
            </w:pPr>
            <w:r>
              <w:rPr>
                <w:rFonts w:ascii="Times New Roman" w:cs="Times New Roman" w:eastAsia="Times New Roman" w:hAnsi="Times New Roman"/>
                <w:sz w:val="20"/>
                <w:szCs w:val="20"/>
              </w:rPr>
              <w:t xml:space="preserve">联合政府主管部门召开资源接入协调会，明确接入补贴政策和收益分享机制</w:t>
            </w:r>
          </w:p>
        </w:tc>
      </w:tr>
      <w:tr>
        <w:tc>
          <w:tcPr>
            <w:tcW w:type="dxa" w:w="400"/>
          </w:tcPr>
          <w:p>
            <w:pPr>
              <w:spacing w:line="300" w:lineRule="auto"/>
              <w:jc w:val="left"/>
            </w:pPr>
            <w:r>
              <w:rPr>
                <w:rFonts w:ascii="Times New Roman" w:cs="Times New Roman" w:eastAsia="Times New Roman" w:hAnsi="Times New Roman"/>
                <w:sz w:val="20"/>
                <w:szCs w:val="20"/>
              </w:rPr>
              <w:t xml:space="preserve">2</w:t>
            </w:r>
          </w:p>
        </w:tc>
        <w:tc>
          <w:tcPr>
            <w:tcW w:type="dxa" w:w="1800"/>
          </w:tcPr>
          <w:p>
            <w:pPr>
              <w:spacing w:line="300" w:lineRule="auto"/>
              <w:jc w:val="center"/>
            </w:pPr>
            <w:r>
              <w:rPr>
                <w:rFonts w:ascii="Times New Roman" w:cs="Times New Roman" w:eastAsia="Times New Roman" w:hAnsi="Times New Roman"/>
                <w:sz w:val="20"/>
                <w:szCs w:val="20"/>
              </w:rPr>
              <w:t xml:space="preserve">电力市场交易资质与结算机制</w:t>
            </w:r>
          </w:p>
        </w:tc>
        <w:tc>
          <w:tcPr>
            <w:tcW w:type="dxa" w:w="2000"/>
          </w:tcPr>
          <w:p>
            <w:pPr>
              <w:spacing w:line="300" w:lineRule="auto"/>
              <w:jc w:val="center"/>
            </w:pPr>
            <w:r>
              <w:rPr>
                <w:rFonts w:ascii="Times New Roman" w:cs="Times New Roman" w:eastAsia="Times New Roman" w:hAnsi="Times New Roman"/>
                <w:sz w:val="20"/>
                <w:szCs w:val="20"/>
              </w:rPr>
              <w:t xml:space="preserve">电力交易中心、能源监管办</w:t>
            </w:r>
          </w:p>
        </w:tc>
        <w:tc>
          <w:tcPr>
            <w:tcW w:type="dxa" w:w="4106"/>
          </w:tcPr>
          <w:p>
            <w:pPr>
              <w:spacing w:line="300" w:lineRule="auto"/>
              <w:jc w:val="center"/>
            </w:pPr>
            <w:r>
              <w:rPr>
                <w:rFonts w:ascii="Times New Roman" w:cs="Times New Roman" w:eastAsia="Times New Roman" w:hAnsi="Times New Roman"/>
                <w:sz w:val="20"/>
                <w:szCs w:val="20"/>
              </w:rPr>
              <w:t xml:space="preserve">提前对接交易规则，完成虚拟电厂市场注册和结算协议签署</w:t>
            </w:r>
          </w:p>
        </w:tc>
      </w:tr>
      <w:tr>
        <w:tc>
          <w:tcPr>
            <w:tcW w:type="dxa" w:w="400"/>
          </w:tcPr>
          <w:p>
            <w:pPr>
              <w:spacing w:line="300" w:lineRule="auto"/>
              <w:jc w:val="left"/>
            </w:pPr>
            <w:r>
              <w:rPr>
                <w:rFonts w:ascii="Times New Roman" w:cs="Times New Roman" w:eastAsia="Times New Roman" w:hAnsi="Times New Roman"/>
                <w:sz w:val="20"/>
                <w:szCs w:val="20"/>
              </w:rPr>
              <w:t xml:space="preserve">3</w:t>
            </w:r>
          </w:p>
        </w:tc>
        <w:tc>
          <w:tcPr>
            <w:tcW w:type="dxa" w:w="1800"/>
          </w:tcPr>
          <w:p>
            <w:pPr>
              <w:spacing w:line="300" w:lineRule="auto"/>
              <w:jc w:val="center"/>
            </w:pPr>
            <w:r>
              <w:rPr>
                <w:rFonts w:ascii="Times New Roman" w:cs="Times New Roman" w:eastAsia="Times New Roman" w:hAnsi="Times New Roman"/>
                <w:sz w:val="20"/>
                <w:szCs w:val="20"/>
              </w:rPr>
              <w:t xml:space="preserve">高校/科研院所合作协议签署</w:t>
            </w:r>
          </w:p>
        </w:tc>
        <w:tc>
          <w:tcPr>
            <w:tcW w:type="dxa" w:w="2000"/>
          </w:tcPr>
          <w:p>
            <w:pPr>
              <w:spacing w:line="300" w:lineRule="auto"/>
              <w:jc w:val="center"/>
            </w:pPr>
            <w:r>
              <w:rPr>
                <w:rFonts w:ascii="Times New Roman" w:cs="Times New Roman" w:eastAsia="Times New Roman" w:hAnsi="Times New Roman"/>
                <w:sz w:val="20"/>
                <w:szCs w:val="20"/>
              </w:rPr>
              <w:t xml:space="preserve">XX大学、XX研究院</w:t>
            </w:r>
          </w:p>
        </w:tc>
        <w:tc>
          <w:tcPr>
            <w:tcW w:type="dxa" w:w="4106"/>
          </w:tcPr>
          <w:p>
            <w:pPr>
              <w:spacing w:line="300" w:lineRule="auto"/>
              <w:jc w:val="center"/>
            </w:pPr>
            <w:r>
              <w:rPr>
                <w:rFonts w:ascii="Times New Roman" w:cs="Times New Roman" w:eastAsia="Times New Roman" w:hAnsi="Times New Roman"/>
                <w:sz w:val="20"/>
                <w:szCs w:val="20"/>
              </w:rPr>
              <w:t xml:space="preserve">加快合作协议审批流程，明确知识产权归属和成果共享机制</w:t>
            </w:r>
          </w:p>
        </w:tc>
      </w:tr>
      <w:tr>
        <w:tc>
          <w:tcPr>
            <w:tcW w:type="dxa" w:w="400"/>
          </w:tcPr>
          <w:p>
            <w:pPr>
              <w:spacing w:line="300" w:lineRule="auto"/>
              <w:jc w:val="left"/>
            </w:pPr>
            <w:r>
              <w:rPr>
                <w:rFonts w:ascii="Times New Roman" w:cs="Times New Roman" w:eastAsia="Times New Roman" w:hAnsi="Times New Roman"/>
                <w:sz w:val="20"/>
                <w:szCs w:val="20"/>
              </w:rPr>
              <w:t xml:space="preserve">4</w:t>
            </w:r>
          </w:p>
        </w:tc>
        <w:tc>
          <w:tcPr>
            <w:tcW w:type="dxa" w:w="1800"/>
          </w:tcPr>
          <w:p>
            <w:pPr>
              <w:spacing w:line="300" w:lineRule="auto"/>
              <w:jc w:val="center"/>
            </w:pPr>
            <w:r>
              <w:rPr>
                <w:rFonts w:ascii="Times New Roman" w:cs="Times New Roman" w:eastAsia="Times New Roman" w:hAnsi="Times New Roman"/>
                <w:sz w:val="20"/>
                <w:szCs w:val="20"/>
              </w:rPr>
              <w:t xml:space="preserve">政府补助资金拨付进度</w:t>
            </w:r>
          </w:p>
        </w:tc>
        <w:tc>
          <w:tcPr>
            <w:tcW w:type="dxa" w:w="2000"/>
          </w:tcPr>
          <w:p>
            <w:pPr>
              <w:spacing w:line="300" w:lineRule="auto"/>
              <w:jc w:val="center"/>
            </w:pPr>
            <w:r>
              <w:rPr>
                <w:rFonts w:ascii="Times New Roman" w:cs="Times New Roman" w:eastAsia="Times New Roman" w:hAnsi="Times New Roman"/>
                <w:sz w:val="20"/>
                <w:szCs w:val="20"/>
              </w:rPr>
              <w:t xml:space="preserve">国家能源局、地方能源主管部门</w:t>
            </w:r>
          </w:p>
        </w:tc>
        <w:tc>
          <w:tcPr>
            <w:tcW w:type="dxa" w:w="4106"/>
          </w:tcPr>
          <w:p>
            <w:pPr>
              <w:spacing w:line="300" w:lineRule="auto"/>
              <w:jc w:val="center"/>
            </w:pPr>
            <w:r>
              <w:rPr>
                <w:rFonts w:ascii="Times New Roman" w:cs="Times New Roman" w:eastAsia="Times New Roman" w:hAnsi="Times New Roman"/>
                <w:sz w:val="20"/>
                <w:szCs w:val="20"/>
              </w:rPr>
              <w:t xml:space="preserve">按里程碑节点申请资金拨付，建立资金使用台账</w:t>
            </w:r>
          </w:p>
        </w:tc>
      </w:tr>
      <w:tr>
        <w:tc>
          <w:tcPr>
            <w:tcW w:type="dxa" w:w="400"/>
          </w:tcPr>
          <w:p>
            <w:pPr>
              <w:spacing w:line="300" w:lineRule="auto"/>
              <w:jc w:val="left"/>
            </w:pPr>
            <w:r>
              <w:rPr>
                <w:rFonts w:ascii="Times New Roman" w:cs="Times New Roman" w:eastAsia="Times New Roman" w:hAnsi="Times New Roman"/>
                <w:sz w:val="20"/>
                <w:szCs w:val="20"/>
              </w:rPr>
              <w:t xml:space="preserve">5</w:t>
            </w:r>
          </w:p>
        </w:tc>
        <w:tc>
          <w:tcPr>
            <w:tcW w:type="dxa" w:w="1800"/>
          </w:tcPr>
          <w:p>
            <w:pPr>
              <w:spacing w:line="300" w:lineRule="auto"/>
              <w:jc w:val="center"/>
            </w:pPr>
            <w:r>
              <w:rPr>
                <w:rFonts w:ascii="Times New Roman" w:cs="Times New Roman" w:eastAsia="Times New Roman" w:hAnsi="Times New Roman"/>
                <w:sz w:val="20"/>
                <w:szCs w:val="20"/>
              </w:rPr>
              <w:t xml:space="preserve">示范工程用地与电力接入审批</w:t>
            </w:r>
          </w:p>
        </w:tc>
        <w:tc>
          <w:tcPr>
            <w:tcW w:type="dxa" w:w="2000"/>
          </w:tcPr>
          <w:p>
            <w:pPr>
              <w:spacing w:line="300" w:lineRule="auto"/>
              <w:jc w:val="center"/>
            </w:pPr>
            <w:r>
              <w:rPr>
                <w:rFonts w:ascii="Times New Roman" w:cs="Times New Roman" w:eastAsia="Times New Roman" w:hAnsi="Times New Roman"/>
                <w:sz w:val="20"/>
                <w:szCs w:val="20"/>
              </w:rPr>
              <w:t xml:space="preserve">自然资源局、电网公司</w:t>
            </w:r>
          </w:p>
        </w:tc>
        <w:tc>
          <w:tcPr>
            <w:tcW w:type="dxa" w:w="4106"/>
          </w:tcPr>
          <w:p>
            <w:pPr>
              <w:spacing w:line="300" w:lineRule="auto"/>
              <w:jc w:val="center"/>
            </w:pPr>
            <w:r>
              <w:rPr>
                <w:rFonts w:ascii="Times New Roman" w:cs="Times New Roman" w:eastAsia="Times New Roman" w:hAnsi="Times New Roman"/>
                <w:sz w:val="20"/>
                <w:szCs w:val="20"/>
              </w:rPr>
              <w:t xml:space="preserve">提前开展用地预审和电力接入系统设计，压减审批周期</w:t>
            </w:r>
          </w:p>
        </w:tc>
      </w:tr>
    </w:tbl>
    <w:p>
      <w:pPr>
        <w:spacing w:before="240"/>
      </w:pPr>
    </w:p>
    <w:p>
      <w:pPr>
        <w:spacing w:line="360" w:lineRule="auto"/>
        <w:ind w:firstLine="480"/>
        <w:jc w:val="both"/>
      </w:pPr>
      <w:r>
        <w:rPr>
          <w:rFonts w:ascii="Times New Roman" w:cs="Times New Roman" w:eastAsia="Times New Roman" w:hAnsi="Times New Roman"/>
          <w:sz w:val="24"/>
          <w:szCs w:val="24"/>
        </w:rPr>
        <w:t xml:space="preserve">申报单位：南网综合能源股份有限公司</w:t>
      </w:r>
    </w:p>
    <w:p>
      <w:pPr>
        <w:spacing w:line="360" w:lineRule="auto"/>
        <w:ind w:firstLine="480"/>
        <w:jc w:val="both"/>
      </w:pPr>
      <w:r>
        <w:rPr>
          <w:rFonts w:ascii="Times New Roman" w:cs="Times New Roman" w:eastAsia="Times New Roman" w:hAnsi="Times New Roman"/>
          <w:sz w:val="24"/>
          <w:szCs w:val="24"/>
        </w:rPr>
        <w:t xml:space="preserve">申报日期：2026年6月</w:t>
      </w:r>
    </w:p>
    <w:sectPr>
      <w:footerReference w:type="default" r:id="rId7"/>
      <w:pgSz w:w="11906" w:h="16838" w:orient="portrait"/>
      <w:pgMar w:top="1440" w:right="1800" w:bottom="1440" w:left="1800" w:header="708"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line="360" w:lineRule="auto"/>
      <w:jc w:val="left"/>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60" w:before="60" w:line="360" w:lineRule="auto"/>
      <w:jc w:val="left"/>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60" w:before="60" w:line="360" w:lineRule="auto"/>
      <w:jc w:val="left"/>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2026-06-06T07:10:18.508Z</dcterms:created>
  <dcterms:modified xsi:type="dcterms:W3CDTF">2026-06-06T07:10:18.509Z</dcterms:modified>
</cp:coreProperties>
</file>

<file path=docProps/custom.xml><?xml version="1.0" encoding="utf-8"?>
<Properties xmlns="http://schemas.openxmlformats.org/officeDocument/2006/custom-properties" xmlns:vt="http://schemas.openxmlformats.org/officeDocument/2006/docPropsVTypes"/>
</file>