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b/>
          <w:sz w:val="32"/>
        </w:rPr>
        <w:t>国家能源局"人工智能+"能源高价值场景试点建设方案</w:t>
      </w:r>
    </w:p>
    <w:p>
      <w:pPr>
        <w:pStyle w:val="Heading2"/>
      </w:pPr>
      <w:r>
        <w:rPr>
          <w:rFonts w:ascii="黑体" w:hAnsi="黑体" w:eastAsia="黑体"/>
          <w:b/>
          <w:sz w:val="28"/>
        </w:rPr>
        <w:t>项目名称：虚拟电厂多时空尺度智能协同运营</w:t>
      </w:r>
    </w:p>
    <w:p>
      <w:pPr>
        <w:pStyle w:val="Heading2"/>
      </w:pPr>
      <w:r>
        <w:rPr>
          <w:rFonts w:ascii="黑体" w:hAnsi="黑体" w:eastAsia="黑体"/>
          <w:b/>
          <w:sz w:val="28"/>
        </w:rPr>
        <w:t>一、项目背景与意义</w:t>
      </w:r>
    </w:p>
    <w:p>
      <w:pPr>
        <w:pStyle w:val="Heading3"/>
      </w:pPr>
      <w:r>
        <w:rPr>
          <w:rFonts w:ascii="黑体" w:hAnsi="黑体" w:eastAsia="黑体"/>
          <w:b/>
          <w:sz w:val="24"/>
        </w:rPr>
        <w:t>（一）行业背景与政策环境</w:t>
      </w:r>
    </w:p>
    <w:p>
      <w:r>
        <w:rPr>
          <w:rFonts w:ascii="仿宋" w:hAnsi="仿宋" w:eastAsia="仿宋"/>
          <w:b/>
          <w:sz w:val="21"/>
        </w:rPr>
        <w:t>1. 场景说明</w:t>
      </w:r>
    </w:p>
    <w:p>
      <w:r>
        <w:rPr>
          <w:rFonts w:ascii="仿宋" w:hAnsi="仿宋" w:eastAsia="仿宋"/>
          <w:b w:val="0"/>
          <w:sz w:val="21"/>
        </w:rPr>
        <w:t>虚拟电厂（VPP）通过先进信息和控制技术，将分散在配电网末端的充电桩、空调、储能、分布式光伏、工业柔性负荷等碎片化灵活性资源聚合成一个可调度、可交易的统一主体，对增强电力保供、促进新能源消纳具有重要作用。</w:t>
      </w:r>
    </w:p>
    <w:p>
      <w:r>
        <w:rPr>
          <w:rFonts w:ascii="仿宋" w:hAnsi="仿宋" w:eastAsia="仿宋"/>
          <w:b w:val="0"/>
          <w:sz w:val="21"/>
        </w:rPr>
        <w:t>国内虚拟电厂已进入规模化发展通道。截至2025年底，全国虚拟电厂总规模超过3500万千瓦，南方电网全网聚合容量近1800万千瓦。深圳建成全国首个网地一体虚拟电厂平台，接入运营商超90家，可调能力达130万千瓦，占全市电网最高负荷比率超5.4%，为全国最高；2025年12月29日，广东首批5家发电类虚拟电厂以"报量报价"方式正式参与电力现货市场交易，总容量约3300万千瓦，标志着虚拟电厂从"被动管理对象"向"主动市场参与者"转型。广东全省2025年电力市场交易规模达6541.8亿千瓦时，直接交易电量4586.3亿千瓦时（同比增长16.2%），市场经营主体突破14万家，覆盖火电、核电、新能源、新型储能、虚拟电厂等多元主体，资源底座雄厚。</w:t>
      </w:r>
    </w:p>
    <w:p>
      <w:r>
        <w:rPr>
          <w:rFonts w:ascii="仿宋" w:hAnsi="仿宋" w:eastAsia="仿宋"/>
          <w:b/>
          <w:sz w:val="21"/>
        </w:rPr>
        <w:t>2. 政策环境</w:t>
      </w:r>
    </w:p>
    <w:p>
      <w:r>
        <w:rPr>
          <w:rFonts w:ascii="仿宋" w:hAnsi="仿宋" w:eastAsia="仿宋"/>
          <w:b w:val="0"/>
          <w:sz w:val="21"/>
        </w:rPr>
        <w:t>国家层面：2025年3月，国家发改委、能源局印发《关于加快推进虚拟电厂发展的指导意见》（发改能源〔2025〕357号），明确提出到2027年全国虚拟电厂调节能力达2000万千瓦以上、2030年达5000万千瓦以上的发展目标，并推动虚拟电厂作为资源聚合类新型经营主体整体参与电力中长期、现货及辅助服务市场。2025年9月，国家发改委、能源局联合印发《关于推进"人工智能+"能源高质量发展的实施意见》（国能发科技〔2025〕73号），落实《国务院关于深入实施"人工智能+"行动的意见》（国发〔2025〕11号），明确提出在虚拟电厂、源网荷储协同等领域打造"人工智能+"高价值应用场景，为项目申报提供了直接政策依据。此外，《关于深化新能源上网电价市场化改革的通知》（发改价格〔2025〕136号）明确以2025年6月1日为节点推动新能源全面进入市场，现货电价波动性进一步增强，虚拟电厂市场化运营激励持续加大。</w:t>
      </w:r>
    </w:p>
    <w:p>
      <w:r>
        <w:rPr>
          <w:rFonts w:ascii="仿宋" w:hAnsi="仿宋" w:eastAsia="仿宋"/>
          <w:b w:val="0"/>
          <w:sz w:val="21"/>
        </w:rPr>
        <w:t>地方层面：广东省在全国率先建立虚拟电厂参与电力市场交易机制，2025年12月已实现首批虚拟电厂以"报量报价"方式参与现货市场交易，覆盖深圳、佛山、中山等地；广西印发《加快推进广西虚拟电厂发展方案》，2025年收资虚拟电厂14个、聚合容量209万千瓦；云南构建"需求响应+辅助服务+电力现货"多渠道盈利机制，截至2025年11月接入13家虚拟电厂、聚合用户超1.06万户；贵州编制《有序推进虚拟电厂发展的实施方案》，明确2027年调节能力达100万千瓦。南方五省区已形成"政策推动+市场驱动+试点示范"的协同推进格局。</w:t>
      </w:r>
    </w:p>
    <w:p>
      <w:r>
        <w:rPr>
          <w:rFonts w:ascii="仿宋" w:hAnsi="仿宋" w:eastAsia="仿宋"/>
          <w:b/>
          <w:sz w:val="21"/>
        </w:rPr>
        <w:t>3. 人工智能应用现状与挑战</w:t>
      </w:r>
    </w:p>
    <w:p>
      <w:r>
        <w:rPr>
          <w:rFonts w:ascii="仿宋" w:hAnsi="仿宋" w:eastAsia="仿宋"/>
          <w:b w:val="0"/>
          <w:sz w:val="21"/>
        </w:rPr>
        <w:t>当前虚拟电厂平台的智能化水平仍处于"浅层化"阶段。已建平台在负荷监测、电量统计等基础功能上实现了信息化，但在智能分析与自主决策层面存在明显短板：冀北虚拟电厂日前申报偏差率长期在15%以上；深圳虚拟电厂多资源协同调控仍依赖调度员人工经验；各平台与"分钟级响应、小时级优化"的新型电力系统要求之间存在显著差距。</w:t>
      </w:r>
    </w:p>
    <w:p>
      <w:r>
        <w:rPr>
          <w:rFonts w:ascii="仿宋" w:hAnsi="仿宋" w:eastAsia="仿宋"/>
          <w:b w:val="0"/>
          <w:sz w:val="21"/>
        </w:rPr>
        <w:t>核心挑战集中在以下方面：</w:t>
      </w:r>
    </w:p>
    <w:p>
      <w:r>
        <w:rPr>
          <w:rFonts w:ascii="仿宋" w:hAnsi="仿宋" w:eastAsia="仿宋"/>
          <w:b w:val="0"/>
          <w:sz w:val="21"/>
        </w:rPr>
        <w:t>一是</w:t>
      </w:r>
      <w:r>
        <w:rPr>
          <w:rFonts w:ascii="仿宋" w:hAnsi="仿宋" w:eastAsia="仿宋"/>
          <w:b/>
          <w:sz w:val="21"/>
        </w:rPr>
        <w:t>数据治理底层薄弱</w:t>
      </w:r>
      <w:r>
        <w:rPr>
          <w:rFonts w:ascii="仿宋" w:hAnsi="仿宋" w:eastAsia="仿宋"/>
          <w:b w:val="0"/>
          <w:sz w:val="21"/>
        </w:rPr>
        <w:t>。虚拟电厂需融合设备台账、合同文本、生产工艺、市场规则等多源异构信息，其中大量数据以非结构化形式存在（PDF合同、文字规程、调度指令录音等），传统数据处理方式难以有效提取和融合，数据接入和清洗工作量占平台建设总工作量的40%以上。</w:t>
      </w:r>
    </w:p>
    <w:p>
      <w:r>
        <w:rPr>
          <w:rFonts w:ascii="仿宋" w:hAnsi="仿宋" w:eastAsia="仿宋"/>
          <w:b w:val="0"/>
          <w:sz w:val="21"/>
        </w:rPr>
        <w:t>二是</w:t>
      </w:r>
      <w:r>
        <w:rPr>
          <w:rFonts w:ascii="仿宋" w:hAnsi="仿宋" w:eastAsia="仿宋"/>
          <w:b/>
          <w:sz w:val="21"/>
        </w:rPr>
        <w:t>负荷预测在复杂场景下可靠性不足</w:t>
      </w:r>
      <w:r>
        <w:rPr>
          <w:rFonts w:ascii="仿宋" w:hAnsi="仿宋" w:eastAsia="仿宋"/>
          <w:b w:val="0"/>
          <w:sz w:val="21"/>
        </w:rPr>
        <w:t>。常规日预测精度可达6%—8%，但台风、寒潮、春节等极端场景下误差飙升至20%—25%，直接导致高额偏差考核，侵蚀运营收益。</w:t>
      </w:r>
    </w:p>
    <w:p>
      <w:r>
        <w:rPr>
          <w:rFonts w:ascii="仿宋" w:hAnsi="仿宋" w:eastAsia="仿宋"/>
          <w:b w:val="0"/>
          <w:sz w:val="21"/>
        </w:rPr>
        <w:t>三是</w:t>
      </w:r>
      <w:r>
        <w:rPr>
          <w:rFonts w:ascii="仿宋" w:hAnsi="仿宋" w:eastAsia="仿宋"/>
          <w:b/>
          <w:sz w:val="21"/>
        </w:rPr>
        <w:t>调节潜力评估可信度偏低</w:t>
      </w:r>
      <w:r>
        <w:rPr>
          <w:rFonts w:ascii="仿宋" w:hAnsi="仿宋" w:eastAsia="仿宋"/>
          <w:b w:val="0"/>
          <w:sz w:val="21"/>
        </w:rPr>
        <w:t>。虚拟电厂申报的调频容量必须真实可用，否则面临考核。实际运行数据显示，聚合资源申报可调容量与实际最大可调容量之比平均仅为73%，虚报约27%，存在较大考核风险。</w:t>
      </w:r>
    </w:p>
    <w:p>
      <w:r>
        <w:rPr>
          <w:rFonts w:ascii="仿宋" w:hAnsi="仿宋" w:eastAsia="仿宋"/>
          <w:b w:val="0"/>
          <w:sz w:val="21"/>
        </w:rPr>
        <w:t>四是</w:t>
      </w:r>
      <w:r>
        <w:rPr>
          <w:rFonts w:ascii="仿宋" w:hAnsi="仿宋" w:eastAsia="仿宋"/>
          <w:b/>
          <w:sz w:val="21"/>
        </w:rPr>
        <w:t>协同调控实时性无法满足电网要求</w:t>
      </w:r>
      <w:r>
        <w:rPr>
          <w:rFonts w:ascii="仿宋" w:hAnsi="仿宋" w:eastAsia="仿宋"/>
          <w:b w:val="0"/>
          <w:sz w:val="21"/>
        </w:rPr>
        <w:t>。深圳虚拟电厂迎峰度夏期间，从接收调峰指令到生成具体调控方案需3—5分钟；当资源节点超1万个时，传统优化算法单次求解超10分钟，无法满足秒级调频需求。</w:t>
      </w:r>
    </w:p>
    <w:p>
      <w:r>
        <w:rPr>
          <w:rFonts w:ascii="仿宋" w:hAnsi="仿宋" w:eastAsia="仿宋"/>
          <w:b w:val="0"/>
          <w:sz w:val="21"/>
        </w:rPr>
        <w:t>五是</w:t>
      </w:r>
      <w:r>
        <w:rPr>
          <w:rFonts w:ascii="仿宋" w:hAnsi="仿宋" w:eastAsia="仿宋"/>
          <w:b/>
          <w:sz w:val="21"/>
        </w:rPr>
        <w:t>市场交易在电价剧烈波动时风险管控能力不足</w:t>
      </w:r>
      <w:r>
        <w:rPr>
          <w:rFonts w:ascii="仿宋" w:hAnsi="仿宋" w:eastAsia="仿宋"/>
          <w:b w:val="0"/>
          <w:sz w:val="21"/>
        </w:rPr>
        <w:t>。2025年广东电力现货市场峰谷价差最高达1.33元/千瓦时，珠三角五市位居全国首位。随着新能源上网电价全面市场化（发改价格〔2025〕136号），负电价现象从偶发走向常态化，国家能源局2025年4月专门解读"负电价不等于负电费"机制。冀北等典型虚拟电厂全年约15%的交易日收益率为负，现有交易策略缺乏对极端电价场景的预判和自适应调整能力。</w:t>
      </w:r>
    </w:p>
    <w:p>
      <w:r>
        <w:rPr>
          <w:rFonts w:ascii="仿宋" w:hAnsi="仿宋" w:eastAsia="仿宋"/>
          <w:b w:val="0"/>
          <w:sz w:val="21"/>
        </w:rPr>
        <w:t>六是</w:t>
      </w:r>
      <w:r>
        <w:rPr>
          <w:rFonts w:ascii="仿宋" w:hAnsi="仿宋" w:eastAsia="仿宋"/>
          <w:b/>
          <w:sz w:val="21"/>
        </w:rPr>
        <w:t>"生产—调控—交易"三大环节信息断点导致运营效率损失</w:t>
      </w:r>
      <w:r>
        <w:rPr>
          <w:rFonts w:ascii="仿宋" w:hAnsi="仿宋" w:eastAsia="仿宋"/>
          <w:b w:val="0"/>
          <w:sz w:val="21"/>
        </w:rPr>
        <w:t>。现有平台三大模块由不同团队在不同时期分别开发，通过定期批量同步交换信息而非实时联动，整体运营效率损失15%—25%。</w:t>
      </w:r>
    </w:p>
    <w:p>
      <w:r>
        <w:rPr>
          <w:rFonts w:ascii="仿宋" w:hAnsi="仿宋" w:eastAsia="仿宋"/>
          <w:b/>
          <w:sz w:val="21"/>
        </w:rPr>
        <w:t>4. 人工智能技术应用前景</w:t>
      </w:r>
    </w:p>
    <w:p>
      <w:r>
        <w:rPr>
          <w:rFonts w:ascii="仿宋" w:hAnsi="仿宋" w:eastAsia="仿宋"/>
          <w:b w:val="0"/>
          <w:sz w:val="21"/>
        </w:rPr>
        <w:t>针对以上挑战，人工智能技术提供了系统性破局路径：大语言模型可实现合同、规程等非结构化数据的语义理解与结构化提取，为虚拟电厂建立统一的"数据底座"；时序大模型可显著提升极端场景下的负荷预测精度与泛化能力；物理信息神经网络融合物理机理与数据驱动，可提升调节潜力评估的可信度；多智能体深度强化学习可大幅缩减海量资源协同优化求解时间；大语言模型与深度强化学习混合架构可增强现货电价预判与交易决策支持能力；智能Agent工作流可打通"生产—调控—交易"全链路，实现一体化运营闭环。</w:t>
      </w:r>
    </w:p>
    <w:p>
      <w:pPr>
        <w:pStyle w:val="Heading3"/>
      </w:pPr>
      <w:r>
        <w:rPr>
          <w:rFonts w:ascii="黑体" w:hAnsi="黑体" w:eastAsia="黑体"/>
          <w:b/>
          <w:sz w:val="24"/>
        </w:rPr>
        <w:t>（二）问题分析与需求痛点</w:t>
      </w:r>
    </w:p>
    <w:p>
      <w:r>
        <w:rPr>
          <w:rFonts w:ascii="仿宋" w:hAnsi="仿宋" w:eastAsia="仿宋"/>
          <w:b w:val="0"/>
          <w:sz w:val="21"/>
        </w:rPr>
        <w:t>上述六大挑战并非孤立存在，而是相互交织、互为因果，构成了制约虚拟电厂规模化发展的系统性瓶颈。以下结合国内虚拟电厂实际运行场景进行分析。</w:t>
      </w:r>
    </w:p>
    <w:p>
      <w:r>
        <w:rPr>
          <w:rFonts w:ascii="仿宋" w:hAnsi="仿宋" w:eastAsia="仿宋"/>
          <w:b/>
          <w:sz w:val="21"/>
        </w:rPr>
        <w:t>数据治理层面</w:t>
      </w:r>
      <w:r>
        <w:rPr>
          <w:rFonts w:ascii="仿宋" w:hAnsi="仿宋" w:eastAsia="仿宋"/>
          <w:b w:val="0"/>
          <w:sz w:val="21"/>
        </w:rPr>
        <w:t>：一个中等规模城市级虚拟电厂需管理涵盖分布式光伏、充电桩、空调负荷、工业柔性负荷、储能在内的多类资源，信息分散在调度系统、营销系统、采集系统、交易系统及各类线下合同中，数据格式异构、语义不统一。深圳虚拟电厂实践中，仅充电桩资源就涉及20余家运营商，每家接口协议、数据字段、命名规范各不相同。数据治理是虚拟电厂智能化的"地基"工程，如果底层数据无法实现高质量融合与统一表达，后续所有智能应用都将建立在不可靠的基础之上。</w:t>
      </w:r>
    </w:p>
    <w:p>
      <w:r>
        <w:rPr>
          <w:rFonts w:ascii="仿宋" w:hAnsi="仿宋" w:eastAsia="仿宋"/>
          <w:b/>
          <w:sz w:val="21"/>
        </w:rPr>
        <w:t>预测可靠性层面</w:t>
      </w:r>
      <w:r>
        <w:rPr>
          <w:rFonts w:ascii="仿宋" w:hAnsi="仿宋" w:eastAsia="仿宋"/>
          <w:b w:val="0"/>
          <w:sz w:val="21"/>
        </w:rPr>
        <w:t>：随着新能源渗透率持续提升和极端天气事件频发，预测误差带来的偏差考核风险只会越来越大。常规场景下基于XGBoost或LSTM的日前预测精度可达6%—8%，但台风"苏拉"过境期间误差飙升至25%以上，春节期间因用电模式剧变偏差也超20%。预测精度的提升是虚拟电厂参与电力市场交易的"生命线"——对于一个年交易电量10亿千瓦时的虚拟电厂，1个百分点的精度提升可减少偏差考核损失数百万元。</w:t>
      </w:r>
    </w:p>
    <w:p>
      <w:r>
        <w:rPr>
          <w:rFonts w:ascii="仿宋" w:hAnsi="仿宋" w:eastAsia="仿宋"/>
          <w:b/>
          <w:sz w:val="21"/>
        </w:rPr>
        <w:t>调节能力评估层面</w:t>
      </w:r>
      <w:r>
        <w:rPr>
          <w:rFonts w:ascii="仿宋" w:hAnsi="仿宋" w:eastAsia="仿宋"/>
          <w:b w:val="0"/>
          <w:sz w:val="21"/>
        </w:rPr>
        <w:t>：虚拟电厂参与调频、调峰等辅助服务市场时，向调度机构申报的可调容量必须真实可信。现有评估方法要么依赖物理机理建模（精确但难以规模化），要么依赖数据驱动（可扩展但缺乏物理约束保障），两种路径融合不深，导致对充电桩响应概率、空调负荷反弹效应、工业负荷工艺约束等复杂场景的评估存在系统性偏差。调节潜力评估可信度不足，已成为制约虚拟电厂参与高价值辅助服务市场的关键瓶颈。</w:t>
      </w:r>
    </w:p>
    <w:p>
      <w:r>
        <w:rPr>
          <w:rFonts w:ascii="仿宋" w:hAnsi="仿宋" w:eastAsia="仿宋"/>
          <w:b/>
          <w:sz w:val="21"/>
        </w:rPr>
        <w:t>协同调控实时性层面</w:t>
      </w:r>
      <w:r>
        <w:rPr>
          <w:rFonts w:ascii="仿宋" w:hAnsi="仿宋" w:eastAsia="仿宋"/>
          <w:b w:val="0"/>
          <w:sz w:val="21"/>
        </w:rPr>
        <w:t>：虚拟电厂协同调控本质上是高维、非线性、混合整数优化问题，随着资源节点数量增加，问题复杂度呈指数级增长。深圳虚拟电厂迎峰度夏期间，调峰指令响应延迟达3—5分钟，处于临界状态；江苏虚拟电厂测试显示，资源节点超1万个时传统算法求解超10分钟。在新型电力系统运行环境下，电网对调节资源的响应时间要求正从"小时级"向"分钟级"乃至"秒级"提速，调控实时性已成为虚拟电厂核心能力评判的关键指标。</w:t>
      </w:r>
    </w:p>
    <w:p>
      <w:r>
        <w:rPr>
          <w:rFonts w:ascii="仿宋" w:hAnsi="仿宋" w:eastAsia="仿宋"/>
          <w:b/>
          <w:sz w:val="21"/>
        </w:rPr>
        <w:t>市场交易风险管控层面</w:t>
      </w:r>
      <w:r>
        <w:rPr>
          <w:rFonts w:ascii="仿宋" w:hAnsi="仿宋" w:eastAsia="仿宋"/>
          <w:b w:val="0"/>
          <w:sz w:val="21"/>
        </w:rPr>
        <w:t>：2025年广东电力现货市场全年交易规模达6541.8亿千瓦时，经营主体超14万家，价格波动显著加剧——峰谷价差最高达1.33元/千瓦时。随着新能源上网电价全面市场化，负电价现象已从偶发走向常态化（国家能源局2025年4月专门解读）。冀北虚拟电厂全年约15%的交易日收益率为负。随着市场化改革深化，现货电价波动性只会进一步增强。虚拟电厂如果缺乏有效的极端场景预判与自适应决策能力，将面临"参与越多、亏损越多"的局面，市场参与的可持续性受到严重威胁。</w:t>
      </w:r>
    </w:p>
    <w:p>
      <w:r>
        <w:rPr>
          <w:rFonts w:ascii="仿宋" w:hAnsi="仿宋" w:eastAsia="仿宋"/>
          <w:b/>
          <w:sz w:val="21"/>
        </w:rPr>
        <w:t>业务闭环运营层面</w:t>
      </w:r>
      <w:r>
        <w:rPr>
          <w:rFonts w:ascii="仿宋" w:hAnsi="仿宋" w:eastAsia="仿宋"/>
          <w:b w:val="0"/>
          <w:sz w:val="21"/>
        </w:rPr>
        <w:t>：国内主要虚拟电厂平台的"生产运行""协同调控""市场交易"三大模块通常通过定期批量数据同步交换信息，而非实时联动。当市场交易模块做出"次日午间申报调峰"的决策后，协同调控模块可能因实时预测偏差无法完成指令执行；当生产运行模块监测到储能设备异常降功率时，市场交易模块可能仍在基于错误信息进行交易申报。这种"联而不通"的运营模式导致整体运营效率损失15%—25%，虚拟电厂长期处于"有资源、有市场、但盈利难"的尴尬境地。</w:t>
      </w:r>
    </w:p>
    <w:p>
      <w:pPr>
        <w:pStyle w:val="Heading3"/>
      </w:pPr>
      <w:r>
        <w:rPr>
          <w:rFonts w:ascii="黑体" w:hAnsi="黑体" w:eastAsia="黑体"/>
          <w:b/>
          <w:sz w:val="24"/>
        </w:rPr>
        <w:t>（三）本项目拟解决的关键问题</w:t>
      </w:r>
    </w:p>
    <w:p>
      <w:r>
        <w:rPr>
          <w:rFonts w:ascii="仿宋" w:hAnsi="仿宋" w:eastAsia="仿宋"/>
          <w:b w:val="0"/>
          <w:sz w:val="21"/>
        </w:rPr>
        <w:t>综上所述，本项目瞄准虚拟电厂规模化发展中的六大系统性难题，拟系统性地解决以下关键问题：</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关键问题</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拟采用的技术路线</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1</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多源异构数据特征提取与融合问题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大语言模型语义理解+电力领域知识图谱</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极端场景下负荷/出力预测精度问题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时序大模型+多模态融合+层次化预测架构</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3</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资源调节潜力评估可信度问题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物理信息神经网络（PINN）+图神经网络（GNN）</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4</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海量资源协同调控效率问题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多智能体深度强化学习（MADRL）+数字孪生</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5</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电力市场交易风险管控问题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混合智能决策引擎+风险自适应控制</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6</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"产调销"一体化运营闭环问题</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智能Agent+自动化工作流</w:t>
            </w:r>
          </w:p>
        </w:tc>
      </w:tr>
    </w:tbl>
    <w:p>
      <w:r>
        <w:rPr>
          <w:rFonts w:ascii="仿宋" w:hAnsi="仿宋" w:eastAsia="仿宋"/>
          <w:b w:val="0"/>
          <w:sz w:val="21"/>
        </w:rPr>
        <w:t>本项目的实施，将在技术层面突破虚拟电厂智能运营的核心瓶颈，在产业层面推动虚拟电厂从"示范试点"向"规模化商用"跨越，在政策层面为"人工智能+"能源高价值场景试点建设提供可复制、可推广的标杆方案。</w:t>
      </w:r>
    </w:p>
    <w:p>
      <w:pPr>
        <w:pStyle w:val="Heading2"/>
      </w:pPr>
      <w:r>
        <w:rPr>
          <w:rFonts w:ascii="黑体" w:hAnsi="黑体" w:eastAsia="黑体"/>
          <w:b/>
          <w:sz w:val="28"/>
        </w:rPr>
        <w:t>二、主要研究内容</w:t>
      </w:r>
    </w:p>
    <w:p>
      <w:r>
        <w:rPr>
          <w:rFonts w:ascii="仿宋" w:hAnsi="仿宋" w:eastAsia="仿宋"/>
          <w:b w:val="0"/>
          <w:sz w:val="21"/>
        </w:rPr>
        <w:t>基于上述问题分析，本项目划分为</w:t>
      </w:r>
      <w:r>
        <w:rPr>
          <w:rFonts w:ascii="仿宋" w:hAnsi="仿宋" w:eastAsia="仿宋"/>
          <w:b/>
          <w:sz w:val="21"/>
        </w:rPr>
        <w:t>5个课题、12项子任务</w:t>
      </w:r>
      <w:r>
        <w:rPr>
          <w:rFonts w:ascii="仿宋" w:hAnsi="仿宋" w:eastAsia="仿宋"/>
          <w:b w:val="0"/>
          <w:sz w:val="21"/>
        </w:rPr>
        <w:t>，由南网综合能源公司牵头，联合高校、科研院所、产业链上下游企业共同实施。5个课题按照"数据治理与潜力评估→负荷/出力预测→协同调控→市场交易→一体化平台落地"的逻辑链条展开，层层递进、有机衔接。</w:t>
      </w:r>
    </w:p>
    <w:p>
      <w:r>
        <w:rPr>
          <w:rFonts w:ascii="仿宋" w:hAnsi="仿宋" w:eastAsia="仿宋"/>
          <w:b/>
          <w:sz w:val="21"/>
        </w:rPr>
        <w:t>课题逻辑关系说明</w:t>
      </w:r>
      <w:r>
        <w:rPr>
          <w:rFonts w:ascii="仿宋" w:hAnsi="仿宋" w:eastAsia="仿宋"/>
          <w:b w:val="0"/>
          <w:sz w:val="21"/>
        </w:rPr>
        <w:t>：</w:t>
      </w:r>
    </w:p>
    <w:p>
      <w:pPr>
        <w:pStyle w:val="ListBullet"/>
      </w:pPr>
      <w:r>
        <w:rPr>
          <w:rFonts w:ascii="仿宋" w:hAnsi="仿宋" w:eastAsia="仿宋"/>
          <w:b/>
          <w:sz w:val="21"/>
        </w:rPr>
        <w:t>课题一（基础层）</w:t>
      </w:r>
      <w:r>
        <w:rPr>
          <w:rFonts w:ascii="仿宋" w:hAnsi="仿宋" w:eastAsia="仿宋"/>
          <w:b w:val="0"/>
          <w:sz w:val="21"/>
        </w:rPr>
        <w:t>：解决"资源是什么、能调多少"的问题，建立高质量资源数据底座和可信的调节能力评估体系</w:t>
      </w:r>
    </w:p>
    <w:p>
      <w:pPr>
        <w:pStyle w:val="ListBullet"/>
      </w:pPr>
      <w:r>
        <w:rPr>
          <w:rFonts w:ascii="仿宋" w:hAnsi="仿宋" w:eastAsia="仿宋"/>
          <w:b/>
          <w:sz w:val="21"/>
        </w:rPr>
        <w:t>课题二（感知层）</w:t>
      </w:r>
      <w:r>
        <w:rPr>
          <w:rFonts w:ascii="仿宋" w:hAnsi="仿宋" w:eastAsia="仿宋"/>
          <w:b w:val="0"/>
          <w:sz w:val="21"/>
        </w:rPr>
        <w:t>：解决"负荷/出力怎么预测"的问题，为协同调控和市场交易提供高精度、多时间尺度的预测输入</w:t>
      </w:r>
    </w:p>
    <w:p>
      <w:pPr>
        <w:pStyle w:val="ListBullet"/>
      </w:pPr>
      <w:r>
        <w:rPr>
          <w:rFonts w:ascii="仿宋" w:hAnsi="仿宋" w:eastAsia="仿宋"/>
          <w:b/>
          <w:sz w:val="21"/>
        </w:rPr>
        <w:t>课题三（决策层）</w:t>
      </w:r>
      <w:r>
        <w:rPr>
          <w:rFonts w:ascii="仿宋" w:hAnsi="仿宋" w:eastAsia="仿宋"/>
          <w:b w:val="0"/>
          <w:sz w:val="21"/>
        </w:rPr>
        <w:t>：解决"多资源怎么协同调控"的问题，实现"电网—虚拟电厂—聚合资源"之间多时空尺度的智能协同</w:t>
      </w:r>
    </w:p>
    <w:p>
      <w:pPr>
        <w:pStyle w:val="ListBullet"/>
      </w:pPr>
      <w:r>
        <w:rPr>
          <w:rFonts w:ascii="仿宋" w:hAnsi="仿宋" w:eastAsia="仿宋"/>
          <w:b/>
          <w:sz w:val="21"/>
        </w:rPr>
        <w:t>课题四（市场层）</w:t>
      </w:r>
      <w:r>
        <w:rPr>
          <w:rFonts w:ascii="仿宋" w:hAnsi="仿宋" w:eastAsia="仿宋"/>
          <w:b w:val="0"/>
          <w:sz w:val="21"/>
        </w:rPr>
        <w:t>：解决"怎么参与市场赚取收益并管控风险"的问题，将协同调控能力转化为经济效益</w:t>
      </w:r>
    </w:p>
    <w:p>
      <w:pPr>
        <w:pStyle w:val="ListBullet"/>
      </w:pPr>
      <w:r>
        <w:rPr>
          <w:rFonts w:ascii="仿宋" w:hAnsi="仿宋" w:eastAsia="仿宋"/>
          <w:b/>
          <w:sz w:val="21"/>
        </w:rPr>
        <w:t>课题五（落地层）</w:t>
      </w:r>
      <w:r>
        <w:rPr>
          <w:rFonts w:ascii="仿宋" w:hAnsi="仿宋" w:eastAsia="仿宋"/>
          <w:b w:val="0"/>
          <w:sz w:val="21"/>
        </w:rPr>
        <w:t>：解决"技术怎么变成产品和运营能力"的问题，研发平台并在典型城市虚拟电厂场景中完成闭环验证</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课题名称</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子任务</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牵头方</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参与方</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课题一：多源异构数据治理与资源调节潜力评估技术（基础层）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任务1.1 基于大语言模型的非结构化数据语义提取与多源异构数据融合方法</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任务1.2 基于物理信息神经网络（PINN）与图神经网络（GNN）的资源调节潜力可信评估方法</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3</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任务1.3 多品类灵活性资源（分布式光伏、储能、充电桩、可调工业负荷、空调负荷）统一建模与聚合边界识别</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XX研究院</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4</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课题二：基于AI的多时空尺度负荷/出力预测技术（感知层）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任务2.1 基于时序大模型的多源数据融合与极端场景负荷/出力预测</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XX科技公司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5</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任务2.2 多时间尺度（超短期/短期/中期）层次化预测架构与预测不确定性量化方法</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6</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课题三：基于多智能体深度强化学习的协同调控技术（决策层）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任务3.1 基于多智能体深度强化学习（MADRL）的海量分布式资源协同调控算法研发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7</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任务3.2 多时间尺度分层协同机制（秒级调频—分钟级调峰—日前优化）</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XX研究院</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任务3.3 安全—经济—低碳多目标协同优化与数字孪生验证</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XX大学</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9</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课题四：基于AI的电力市场交易策略自适应生成技术（市场层）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任务4.1 基于混合智能决策引擎的多市场交易策略自适应生成</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XX研究院</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任务4.2 极端电价场景（尖峰/负电价）风险识别与多市场（电能量、调频、调峰）协同参与机制</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XX研究院</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11</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课题五：虚拟电厂"产调销"一体化智能运营平台研发与示范应用（落地层）</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任务5.1 基于智能Agent的"产调销"一体化运营平台架构设计与核心模块开发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XX科技公司</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同上</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任务5.2 XXXX市虚拟电厂示范工程建设与多时空尺度智能协同运营闭环验证</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电网公司、充电运营商、工商业用户</w:t>
            </w:r>
          </w:p>
        </w:tc>
      </w:tr>
    </w:tbl>
    <w:p>
      <w:r>
        <w:rPr>
          <w:rFonts w:ascii="仿宋" w:hAnsi="仿宋" w:eastAsia="仿宋"/>
          <w:b/>
          <w:sz w:val="21"/>
        </w:rPr>
        <w:t>各课题与典型业务场景的贴合关系</w:t>
      </w:r>
      <w:r>
        <w:rPr>
          <w:rFonts w:ascii="仿宋" w:hAnsi="仿宋" w:eastAsia="仿宋"/>
          <w:b w:val="0"/>
          <w:sz w:val="21"/>
        </w:rPr>
        <w:t>：</w:t>
      </w:r>
    </w:p>
    <w:p>
      <w:pPr>
        <w:pStyle w:val="ListBullet"/>
      </w:pPr>
      <w:r>
        <w:rPr>
          <w:rFonts w:ascii="仿宋" w:hAnsi="仿宋" w:eastAsia="仿宋"/>
          <w:b/>
          <w:sz w:val="21"/>
        </w:rPr>
        <w:t>课题一</w:t>
      </w:r>
      <w:r>
        <w:rPr>
          <w:rFonts w:ascii="仿宋" w:hAnsi="仿宋" w:eastAsia="仿宋"/>
          <w:b w:val="0"/>
          <w:sz w:val="21"/>
        </w:rPr>
        <w:t xml:space="preserve"> 紧贴充电桩运营商协议解析、工业用户生产计划识别、分布式光伏逆变器参数提取等实际数据治理场景，在深圳、广东等已建虚拟电厂平台上进行非结构化数据语义提取验证</w:t>
      </w:r>
    </w:p>
    <w:p>
      <w:pPr>
        <w:pStyle w:val="ListBullet"/>
      </w:pPr>
      <w:r>
        <w:rPr>
          <w:rFonts w:ascii="仿宋" w:hAnsi="仿宋" w:eastAsia="仿宋"/>
          <w:b/>
          <w:sz w:val="21"/>
        </w:rPr>
        <w:t>课题二</w:t>
      </w:r>
      <w:r>
        <w:rPr>
          <w:rFonts w:ascii="仿宋" w:hAnsi="仿宋" w:eastAsia="仿宋"/>
          <w:b w:val="0"/>
          <w:sz w:val="21"/>
        </w:rPr>
        <w:t xml:space="preserve"> 针对台风极端天气、春节假日效应、高比例新能源出力波动三类典型场景，在冀北、广东现货市场历史数据上验证预测精度提升效果</w:t>
      </w:r>
    </w:p>
    <w:p>
      <w:pPr>
        <w:pStyle w:val="ListBullet"/>
      </w:pPr>
      <w:r>
        <w:rPr>
          <w:rFonts w:ascii="仿宋" w:hAnsi="仿宋" w:eastAsia="仿宋"/>
          <w:b/>
          <w:sz w:val="21"/>
        </w:rPr>
        <w:t>课题三</w:t>
      </w:r>
      <w:r>
        <w:rPr>
          <w:rFonts w:ascii="仿宋" w:hAnsi="仿宋" w:eastAsia="仿宋"/>
          <w:b w:val="0"/>
          <w:sz w:val="21"/>
        </w:rPr>
        <w:t xml:space="preserve"> 在深圳虚拟电厂迎峰度夏实际调控场景中验证秒级调频响应能力，在江苏虚拟电厂测试中验证万级资源节点协同优化求解效率</w:t>
      </w:r>
    </w:p>
    <w:p>
      <w:pPr>
        <w:pStyle w:val="ListBullet"/>
      </w:pPr>
      <w:r>
        <w:rPr>
          <w:rFonts w:ascii="仿宋" w:hAnsi="仿宋" w:eastAsia="仿宋"/>
          <w:b/>
          <w:sz w:val="21"/>
        </w:rPr>
        <w:t>课题四</w:t>
      </w:r>
      <w:r>
        <w:rPr>
          <w:rFonts w:ascii="仿宋" w:hAnsi="仿宋" w:eastAsia="仿宋"/>
          <w:b w:val="0"/>
          <w:sz w:val="21"/>
        </w:rPr>
        <w:t xml:space="preserve"> 在广东电力现货市场（2025年交易规模6541.8亿千瓦时、峰谷价差全国居首、负电价常态化）的历史与实时数据上验证交易策略风险管控能力</w:t>
      </w:r>
    </w:p>
    <w:p>
      <w:pPr>
        <w:pStyle w:val="ListBullet"/>
      </w:pPr>
      <w:r>
        <w:rPr>
          <w:rFonts w:ascii="仿宋" w:hAnsi="仿宋" w:eastAsia="仿宋"/>
          <w:b/>
          <w:sz w:val="21"/>
        </w:rPr>
        <w:t>课题五</w:t>
      </w:r>
      <w:r>
        <w:rPr>
          <w:rFonts w:ascii="仿宋" w:hAnsi="仿宋" w:eastAsia="仿宋"/>
          <w:b w:val="0"/>
          <w:sz w:val="21"/>
        </w:rPr>
        <w:t xml:space="preserve"> 在XXXX市城市级虚拟电厂场景中完成"生产运行—协同调控—市场交易"全链路一体化运营闭环验证</w:t>
      </w:r>
    </w:p>
    <w:p>
      <w:pPr>
        <w:pStyle w:val="Heading2"/>
      </w:pPr>
      <w:r>
        <w:rPr>
          <w:rFonts w:ascii="黑体" w:hAnsi="黑体" w:eastAsia="黑体"/>
          <w:b/>
          <w:sz w:val="28"/>
        </w:rPr>
        <w:t>三、创新点</w:t>
      </w:r>
    </w:p>
    <w:p>
      <w:r>
        <w:rPr>
          <w:rFonts w:ascii="仿宋" w:hAnsi="仿宋" w:eastAsia="仿宋"/>
          <w:b w:val="0"/>
          <w:sz w:val="21"/>
        </w:rPr>
        <w:t>本项目在</w:t>
      </w:r>
      <w:r>
        <w:rPr>
          <w:rFonts w:ascii="仿宋" w:hAnsi="仿宋" w:eastAsia="仿宋"/>
          <w:b/>
          <w:sz w:val="21"/>
        </w:rPr>
        <w:t>理念、模式、技术、场景</w:t>
      </w:r>
      <w:r>
        <w:rPr>
          <w:rFonts w:ascii="仿宋" w:hAnsi="仿宋" w:eastAsia="仿宋"/>
          <w:b w:val="0"/>
          <w:sz w:val="21"/>
        </w:rPr>
        <w:t>四个维度实现系统性创新。</w:t>
      </w:r>
    </w:p>
    <w:p>
      <w:pPr>
        <w:pStyle w:val="Heading3"/>
      </w:pPr>
      <w:r>
        <w:rPr>
          <w:rFonts w:ascii="黑体" w:hAnsi="黑体" w:eastAsia="黑体"/>
          <w:b/>
          <w:sz w:val="24"/>
        </w:rPr>
        <w:t>创新点1（理念创新）：提出"数据驱动、产调销一体"的虚拟电厂智能运营理念</w:t>
      </w:r>
    </w:p>
    <w:p>
      <w:r>
        <w:rPr>
          <w:rFonts w:ascii="仿宋" w:hAnsi="仿宋" w:eastAsia="仿宋"/>
          <w:b w:val="0"/>
          <w:sz w:val="21"/>
        </w:rPr>
        <w:t>突破传统虚拟电厂"重聚合、轻智能、割裂运营"的局限，系统性提出"数据驱动、产调销一体"理念：将数据治理作为智能化"第一公里"，改变"看数据靠人、理数据靠表"的落后模式；以统一决策引擎打通"生产运行—协同调控—市场交易"全链路，实现状态感知→策略生成→调度执行→收益结算的自动化闭环，打破当前"三段割裂、信息断层"的运营困局。</w:t>
      </w:r>
    </w:p>
    <w:p>
      <w:pPr>
        <w:pStyle w:val="Heading3"/>
      </w:pPr>
      <w:r>
        <w:rPr>
          <w:rFonts w:ascii="黑体" w:hAnsi="黑体" w:eastAsia="黑体"/>
          <w:b/>
          <w:sz w:val="24"/>
        </w:rPr>
        <w:t>创新点2（模式创新）：构建"算法赋能+多方协同+价值共享"的商业运营新模式</w:t>
      </w:r>
    </w:p>
    <w:p>
      <w:r>
        <w:rPr>
          <w:rFonts w:ascii="仿宋" w:hAnsi="仿宋" w:eastAsia="仿宋"/>
          <w:b w:val="0"/>
          <w:sz w:val="21"/>
        </w:rPr>
        <w:t>打破传统"设备厂商卖设备、软件厂商卖平台、运营商赚差价"的割裂模式，构建新型商业生态：建立"电网公司+虚拟电厂运营商+资源拥有者+技术服务商"四方协同机制；设计基于贡献度量化的收益分配机制，实现灵活性资源价值的精准量化与公平分配。通过智能算法提升市场收益（策略收益提升20%以上），通过多元协同机制扩大资源规模，实现商业可持续。</w:t>
      </w:r>
    </w:p>
    <w:p>
      <w:pPr>
        <w:pStyle w:val="Heading3"/>
      </w:pPr>
      <w:r>
        <w:rPr>
          <w:rFonts w:ascii="黑体" w:hAnsi="黑体" w:eastAsia="黑体"/>
          <w:b/>
          <w:sz w:val="24"/>
        </w:rPr>
        <w:t>创新点3（技术创新）：构建虚拟电厂全链路智能技术体系</w:t>
      </w:r>
    </w:p>
    <w:p>
      <w:r>
        <w:rPr>
          <w:rFonts w:ascii="仿宋" w:hAnsi="仿宋" w:eastAsia="仿宋"/>
          <w:b/>
          <w:sz w:val="21"/>
        </w:rPr>
        <w:t>一是多源数据语义融合技术。</w:t>
      </w:r>
      <w:r>
        <w:rPr>
          <w:rFonts w:ascii="仿宋" w:hAnsi="仿宋" w:eastAsia="仿宋"/>
          <w:b w:val="0"/>
          <w:sz w:val="21"/>
        </w:rPr>
        <w:t xml:space="preserve"> 构建面向虚拟电厂业务场景的专用语义理解模型，实现对合同文本、调度规程、设备说明等非结构化数据的自动化提取和结构化表达，数据接入效率提升3倍以上。</w:t>
      </w:r>
    </w:p>
    <w:p>
      <w:r>
        <w:rPr>
          <w:rFonts w:ascii="仿宋" w:hAnsi="仿宋" w:eastAsia="仿宋"/>
          <w:b/>
          <w:sz w:val="21"/>
        </w:rPr>
        <w:t>二是多时空尺度层次化预测技术。</w:t>
      </w:r>
      <w:r>
        <w:rPr>
          <w:rFonts w:ascii="仿宋" w:hAnsi="仿宋" w:eastAsia="仿宋"/>
          <w:b w:val="0"/>
          <w:sz w:val="21"/>
        </w:rPr>
        <w:t xml:space="preserve"> 构建超短期（秒级—分钟级）、短期（小时级）、中期（日级—周级）三层统一预测架构，引入多模态数据融合和不确定性量化，极端场景下预测精度较传统方法提升15%以上，超短期预测时延&lt;1秒。</w:t>
      </w:r>
    </w:p>
    <w:p>
      <w:r>
        <w:rPr>
          <w:rFonts w:ascii="仿宋" w:hAnsi="仿宋" w:eastAsia="仿宋"/>
          <w:b/>
          <w:sz w:val="21"/>
        </w:rPr>
        <w:t>三是海量资源协同优化技术。</w:t>
      </w:r>
      <w:r>
        <w:rPr>
          <w:rFonts w:ascii="仿宋" w:hAnsi="仿宋" w:eastAsia="仿宋"/>
          <w:b w:val="0"/>
          <w:sz w:val="21"/>
        </w:rPr>
        <w:t xml:space="preserve"> 构建集中式训练—分布式执行的并行决策框架，将物理机理约束嵌入策略生成过程，支持万级资源节点实时协同决策，决策时延&lt;200ms，调度方案可执行率&gt;95%。</w:t>
      </w:r>
    </w:p>
    <w:p>
      <w:r>
        <w:rPr>
          <w:rFonts w:ascii="仿宋" w:hAnsi="仿宋" w:eastAsia="仿宋"/>
          <w:b/>
          <w:sz w:val="21"/>
        </w:rPr>
        <w:t>四是多市场交易策略自适应生成技术。</w:t>
      </w:r>
      <w:r>
        <w:rPr>
          <w:rFonts w:ascii="仿宋" w:hAnsi="仿宋" w:eastAsia="仿宋"/>
          <w:b w:val="0"/>
          <w:sz w:val="21"/>
        </w:rPr>
        <w:t xml:space="preserve"> 构建市场规则理解、极端场景推理、策略优化一体化决策引擎，实现电能量、调频、调峰三类市场的联合优化与风险对冲，交易策略综合收益较规则化策略提升20%以上。</w:t>
      </w:r>
    </w:p>
    <w:p>
      <w:r>
        <w:rPr>
          <w:rFonts w:ascii="仿宋" w:hAnsi="仿宋" w:eastAsia="仿宋"/>
          <w:b/>
          <w:sz w:val="21"/>
        </w:rPr>
        <w:t>五是一体化运营平台架构技术。</w:t>
      </w:r>
      <w:r>
        <w:rPr>
          <w:rFonts w:ascii="仿宋" w:hAnsi="仿宋" w:eastAsia="仿宋"/>
          <w:b w:val="0"/>
          <w:sz w:val="21"/>
        </w:rPr>
        <w:t xml:space="preserve"> 以统一决策引擎为"大脑"、标准化数据总线为"神经"、各业务模块为"执行器官"，实现全链路智能闭环，运营效率较传统模式提升20%以上。</w:t>
      </w:r>
    </w:p>
    <w:p>
      <w:pPr>
        <w:pStyle w:val="Heading3"/>
      </w:pPr>
      <w:r>
        <w:rPr>
          <w:rFonts w:ascii="黑体" w:hAnsi="黑体" w:eastAsia="黑体"/>
          <w:b/>
          <w:sz w:val="24"/>
        </w:rPr>
        <w:t>创新点4（场景应用创新）：打造城市级虚拟电厂智能协同运营标杆</w:t>
      </w:r>
    </w:p>
    <w:p>
      <w:r>
        <w:rPr>
          <w:rFonts w:ascii="仿宋" w:hAnsi="仿宋" w:eastAsia="仿宋"/>
          <w:b w:val="0"/>
          <w:sz w:val="21"/>
        </w:rPr>
        <w:t>依托XXXX市配电网转型升级需求，打造全国首个完整覆盖"数据治理→负荷预测→协同调控→市场交易→一体化运营"全链路智能赋能的城市级虚拟电厂标杆场景：接入规模不低于550万千瓦（分布式光伏300万+、充电桩100万+、储能50万+、工业负荷100万+）；聚焦"老城区供电可靠性提升+新能源高效消纳+市场收益最大化"三大价值。示范工程年交易收益超X亿元，年减少碳排放XX万吨，形成可复制推广的全套解决方案。</w:t>
      </w:r>
    </w:p>
    <w:p>
      <w:pPr>
        <w:pStyle w:val="Heading2"/>
      </w:pPr>
      <w:r>
        <w:rPr>
          <w:rFonts w:ascii="黑体" w:hAnsi="黑体" w:eastAsia="黑体"/>
          <w:b/>
          <w:sz w:val="28"/>
        </w:rPr>
        <w:t>四、资金情况</w:t>
      </w:r>
    </w:p>
    <w:p>
      <w:r>
        <w:rPr>
          <w:rFonts w:ascii="仿宋" w:hAnsi="仿宋" w:eastAsia="仿宋"/>
          <w:b w:val="0"/>
          <w:sz w:val="21"/>
        </w:rPr>
        <w:t>本项目总投资估算为</w:t>
      </w:r>
      <w:r>
        <w:rPr>
          <w:rFonts w:ascii="仿宋" w:hAnsi="仿宋" w:eastAsia="仿宋"/>
          <w:b/>
          <w:sz w:val="21"/>
        </w:rPr>
        <w:t>3000万元</w:t>
      </w:r>
      <w:r>
        <w:rPr>
          <w:rFonts w:ascii="仿宋" w:hAnsi="仿宋" w:eastAsia="仿宋"/>
          <w:b w:val="0"/>
          <w:sz w:val="21"/>
        </w:rPr>
        <w:t>，资金来源包括企业自筹、政府补助和合作单位投入三部分。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资金来源</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出资方</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出资额（万元）</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占总额比例</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投资项目类型</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企业自筹</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南网综合能源公司</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1800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60%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核心技术研发、平台建设、示范工程</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政府补助</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国家能源局（试点补助）</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900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示范工程建设、技术验证、成果推广</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合作单位投入</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高校/科研院所（折算）</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算法模型研发、人才投入、实验平台</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**合计**</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**3000**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w:t>
            </w:r>
          </w:p>
        </w:tc>
      </w:tr>
    </w:tbl>
    <w:p>
      <w:r>
        <w:rPr>
          <w:rFonts w:ascii="仿宋" w:hAnsi="仿宋" w:eastAsia="仿宋"/>
          <w:b/>
          <w:sz w:val="21"/>
        </w:rPr>
        <w:t>各技术方分配经费大致情况</w:t>
      </w:r>
      <w:r>
        <w:rPr>
          <w:rFonts w:ascii="仿宋" w:hAnsi="仿宋" w:eastAsia="仿宋"/>
          <w:b w:val="0"/>
          <w:sz w:val="21"/>
        </w:rPr>
        <w:t>（企业自筹1800万元+合作单位投入300万元）：</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承担单位</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分配经费（万元）</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占总经费比例</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主要用途</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南网综合能源公司（牵头单位）</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1200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40%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平台研发、示范工程建设、项目管理、市场对接</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XX大学（算法研发）</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600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20%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非结构化数据治理、协同调控算法、负荷预测、人才培养</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XX研究院（交易策略）</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450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15%</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交易策略引擎研发、多市场协同机制研究、政策标准研究</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XX科技公司（平台开发）</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450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15%</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一体化智能运营平台软件开发、系统集成与测试</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其他参与单位</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300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示范工程配套、数据支持、试验验证</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**合计**</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**3000**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**100%**</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w:t>
            </w:r>
          </w:p>
        </w:tc>
      </w:tr>
    </w:tbl>
    <w:p>
      <w:r>
        <w:rPr>
          <w:rFonts w:ascii="仿宋" w:hAnsi="仿宋" w:eastAsia="仿宋"/>
          <w:b/>
          <w:sz w:val="21"/>
        </w:rPr>
        <w:t>资金使用计划按年度分解</w:t>
      </w:r>
      <w:r>
        <w:rPr>
          <w:rFonts w:ascii="仿宋" w:hAnsi="仿宋" w:eastAsia="仿宋"/>
          <w:b w:val="0"/>
          <w:sz w:val="21"/>
        </w:rP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年度</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资金计划（万元）</w:t>
            </w:r>
          </w:p>
        </w:tc>
        <w:tc>
          <w:tcPr>
            <w:tcW w:type="dxa" w:w="2880"/>
            <w:shd w:val="clear" w:color="auto" w:fill="D5E8F0"/>
            <w:top w:val="single" w:sz="4" w:color="CCCCCC"/>
            <w:left w:val="single" w:sz="4" w:color="CCCCCC"/>
            <w:bottom w:val="single" w:sz="4" w:color="CCCCCC"/>
            <w:right w:val="single" w:sz="4" w:color="CCCCCC"/>
          </w:tcPr>
          <w:p>
            <w:r>
              <w:rPr>
                <w:rFonts w:ascii="黑体" w:hAnsi="黑体" w:eastAsia="黑体"/>
                <w:b/>
                <w:sz w:val="20"/>
              </w:rPr>
              <w:t>主要支出方向</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2026年（第1年）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900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需求调研、数据语义提取模型研发、数据治理方案设计、资源统一建模、平台架构设计</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2027年（第2年）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1200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负荷预测模型研发、协同调控算法研发、交易策略引擎研发、平台核心模块开发</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2028年（第3年）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700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平台集成联调、示范工程建设、系统调试</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2029年（第4年）</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200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试运行与优化、项目验收、成果推广</w:t>
            </w:r>
          </w:p>
        </w:tc>
      </w:tr>
      <w:tr>
        <w:tc>
          <w:tcPr>
            <w:tcW w:type="dxa" w:w="2880"/>
            <w:top w:val="single" w:sz="4" w:color="CCCCCC"/>
            <w:left w:val="single" w:sz="4" w:color="CCCCCC"/>
            <w:bottom w:val="single" w:sz="4" w:color="CCCCCC"/>
            <w:right w:val="single" w:sz="4" w:color="CCCCCC"/>
          </w:tcPr>
          <w:p>
            <w:r>
              <w:rPr>
                <w:rFonts w:ascii="仿宋" w:hAnsi="仿宋" w:eastAsia="仿宋"/>
                <w:b w:val="0"/>
                <w:sz w:val="20"/>
              </w:rPr>
              <w:t>**合计**</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**3000**</w:t>
            </w:r>
          </w:p>
        </w:tc>
        <w:tc>
          <w:tcPr>
            <w:tcW w:type="dxa" w:w="2880"/>
            <w:top w:val="single" w:sz="4" w:color="CCCCCC"/>
            <w:left w:val="single" w:sz="4" w:color="CCCCCC"/>
            <w:bottom w:val="single" w:sz="4" w:color="CCCCCC"/>
            <w:right w:val="single" w:sz="4" w:color="CCCCCC"/>
          </w:tcPr>
          <w:p>
            <w:r>
              <w:rPr>
                <w:rFonts w:ascii="仿宋" w:hAnsi="仿宋" w:eastAsia="仿宋"/>
                <w:b w:val="0"/>
                <w:sz w:val="20"/>
              </w:rPr>
              <w:t>—</w:t>
            </w:r>
          </w:p>
        </w:tc>
      </w:tr>
    </w:tbl>
    <w:p>
      <w:pPr>
        <w:pStyle w:val="Heading2"/>
      </w:pPr>
      <w:r>
        <w:rPr>
          <w:rFonts w:ascii="黑体" w:hAnsi="黑体" w:eastAsia="黑体"/>
          <w:b/>
          <w:sz w:val="28"/>
        </w:rPr>
        <w:t>五、项目整体计划</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任务名称</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计划开始时间</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预计工期（月）</w:t>
            </w:r>
          </w:p>
        </w:tc>
        <w:tc>
          <w:tcPr>
            <w:tcW w:type="dxa" w:w="1728"/>
            <w:shd w:val="clear" w:color="auto" w:fill="D5E8F0"/>
            <w:top w:val="single" w:sz="4" w:color="CCCCCC"/>
            <w:left w:val="single" w:sz="4" w:color="CCCCCC"/>
            <w:bottom w:val="single" w:sz="4" w:color="CCCCCC"/>
            <w:right w:val="single" w:sz="4" w:color="CCCCCC"/>
          </w:tcPr>
          <w:p>
            <w:r>
              <w:rPr>
                <w:rFonts w:ascii="黑体" w:hAnsi="黑体" w:eastAsia="黑体"/>
                <w:b/>
                <w:sz w:val="20"/>
              </w:rPr>
              <w:t>任务描述</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1</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项目启动与需求调研</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2026年7月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成立项目组，对深圳/广东虚拟电厂实际运营现状开展深度调研，明确技术需求和示范场景</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2</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多源异构数据治理与资源统一建模</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2026年9月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研发非结构化数据语义提取模型，构建虚拟电厂资源统一数据模型，完成调节潜力评估算法开发</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3</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基于AI的多时空尺度负荷/出力预测模型研发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2027年1月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构建层次化预测框架，引入多模态数据融合和不确定性量化，完成模型训练与验证</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4</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多智能体深度强化学习协同调控算法研发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2027年5月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研发协同调控算法，构建数字孪生仿真环境完成大规模验证</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5</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混合智能决策引擎与交易策略研发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2027年9月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构建混合决策引擎，完成历史数据回测和风险控制验证</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6</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一体化智能运营平台核心模块开发</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2028年1月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10</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完成平台架构设计、智能决策引擎集成、全链路闭环功能开发</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7</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XXXX市虚拟电厂示范工程建设</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2028年7月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建设虚拟电厂运营中心，接入不少于100万千瓦灵活性资源</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8</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平台部署与试运行</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2029年1月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6</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完成平台部署、调试，开展不少于6个月的"产调销"一体化闭环试运行</w:t>
            </w:r>
          </w:p>
        </w:tc>
      </w:tr>
      <w:tr>
        <w:tc>
          <w:tcPr>
            <w:tcW w:type="dxa" w:w="1728"/>
            <w:top w:val="single" w:sz="4" w:color="CCCCCC"/>
            <w:left w:val="single" w:sz="4" w:color="CCCCCC"/>
            <w:bottom w:val="single" w:sz="4" w:color="CCCCCC"/>
            <w:right w:val="single" w:sz="4" w:color="CCCCCC"/>
          </w:tcPr>
          <w:p>
            <w:r>
              <w:rPr>
                <w:rFonts w:ascii="仿宋" w:hAnsi="仿宋" w:eastAsia="仿宋"/>
                <w:b w:val="0"/>
                <w:sz w:val="20"/>
              </w:rPr>
              <w:t>9</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项目验收与成果推广</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2029年7月</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3</w:t>
            </w:r>
          </w:p>
        </w:tc>
        <w:tc>
          <w:tcPr>
            <w:tcW w:type="dxa" w:w="1728"/>
            <w:top w:val="single" w:sz="4" w:color="CCCCCC"/>
            <w:left w:val="single" w:sz="4" w:color="CCCCCC"/>
            <w:bottom w:val="single" w:sz="4" w:color="CCCCCC"/>
            <w:right w:val="single" w:sz="4" w:color="CCCCCC"/>
          </w:tcPr>
          <w:p>
            <w:r>
              <w:rPr>
                <w:rFonts w:ascii="仿宋" w:hAnsi="仿宋" w:eastAsia="仿宋"/>
                <w:b w:val="0"/>
                <w:sz w:val="20"/>
              </w:rPr>
              <w:t>准备验收材料，组织专家验收，形成可复制推广的"AI+虚拟电厂"全套方案</w:t>
            </w:r>
          </w:p>
        </w:tc>
      </w:tr>
    </w:tbl>
    <w:p>
      <w:pPr>
        <w:pStyle w:val="Heading2"/>
      </w:pPr>
      <w:r>
        <w:rPr>
          <w:rFonts w:ascii="黑体" w:hAnsi="黑体" w:eastAsia="黑体"/>
          <w:b/>
          <w:sz w:val="28"/>
        </w:rPr>
        <w:t>六、待协调事项</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序号</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待协调事项</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协调对象</w:t>
            </w:r>
          </w:p>
        </w:tc>
        <w:tc>
          <w:tcPr>
            <w:tcW w:type="dxa" w:w="2160"/>
            <w:shd w:val="clear" w:color="auto" w:fill="D5E8F0"/>
            <w:top w:val="single" w:sz="4" w:color="CCCCCC"/>
            <w:left w:val="single" w:sz="4" w:color="CCCCCC"/>
            <w:bottom w:val="single" w:sz="4" w:color="CCCCCC"/>
            <w:right w:val="single" w:sz="4" w:color="CCCCCC"/>
          </w:tcPr>
          <w:p>
            <w:r>
              <w:rPr>
                <w:rFonts w:ascii="黑体" w:hAnsi="黑体" w:eastAsia="黑体"/>
                <w:b/>
                <w:sz w:val="20"/>
              </w:rPr>
              <w:t>建议解决方案</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1</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示范工程接入资源协调（充电桩、工商业负荷、储能等）</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XXXX市发改委、充电运营商、工商业用户</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联合政府主管部门召开资源接入协调会，明确接入补贴政策和收益分享机制</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2</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电力市场交易资质与结算机制</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电力交易中心、能源监管办</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提前对接交易规则，完成虚拟电厂市场注册和结算协议签署</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3</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高校/科研院所合作协议签署</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XX大学、XX研究院</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加快合作协议审批流程，明确知识产权归属和成果共享机制</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4</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政府补助资金拨付进度</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国家能源局、地方能源主管部门</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按里程碑节点申请资金拨付，建立资金使用台账</w:t>
            </w:r>
          </w:p>
        </w:tc>
      </w:tr>
      <w:tr>
        <w:tc>
          <w:tcPr>
            <w:tcW w:type="dxa" w:w="2160"/>
            <w:top w:val="single" w:sz="4" w:color="CCCCCC"/>
            <w:left w:val="single" w:sz="4" w:color="CCCCCC"/>
            <w:bottom w:val="single" w:sz="4" w:color="CCCCCC"/>
            <w:right w:val="single" w:sz="4" w:color="CCCCCC"/>
          </w:tcPr>
          <w:p>
            <w:r>
              <w:rPr>
                <w:rFonts w:ascii="仿宋" w:hAnsi="仿宋" w:eastAsia="仿宋"/>
                <w:b w:val="0"/>
                <w:sz w:val="20"/>
              </w:rPr>
              <w:t>5</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示范工程用地与电力接入审批</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自然资源局、电网公司</w:t>
            </w:r>
          </w:p>
        </w:tc>
        <w:tc>
          <w:tcPr>
            <w:tcW w:type="dxa" w:w="2160"/>
            <w:top w:val="single" w:sz="4" w:color="CCCCCC"/>
            <w:left w:val="single" w:sz="4" w:color="CCCCCC"/>
            <w:bottom w:val="single" w:sz="4" w:color="CCCCCC"/>
            <w:right w:val="single" w:sz="4" w:color="CCCCCC"/>
          </w:tcPr>
          <w:p>
            <w:r>
              <w:rPr>
                <w:rFonts w:ascii="仿宋" w:hAnsi="仿宋" w:eastAsia="仿宋"/>
                <w:b w:val="0"/>
                <w:sz w:val="20"/>
              </w:rPr>
              <w:t>提前开展用地预审和电力接入系统设计，压减审批周期</w:t>
            </w:r>
          </w:p>
        </w:tc>
      </w:tr>
    </w:tbl>
    <w:p>
      <w:r>
        <w:rPr>
          <w:rFonts w:ascii="仿宋" w:hAnsi="仿宋" w:eastAsia="仿宋"/>
          <w:b/>
          <w:sz w:val="21"/>
        </w:rPr>
        <w:t>申报单位</w:t>
      </w:r>
      <w:r>
        <w:rPr>
          <w:rFonts w:ascii="仿宋" w:hAnsi="仿宋" w:eastAsia="仿宋"/>
          <w:b w:val="0"/>
          <w:sz w:val="21"/>
        </w:rPr>
        <w:t>：南网综合能源股份有限公司</w:t>
      </w:r>
    </w:p>
    <w:p>
      <w:r>
        <w:rPr>
          <w:rFonts w:ascii="仿宋" w:hAnsi="仿宋" w:eastAsia="仿宋"/>
          <w:b/>
          <w:sz w:val="21"/>
        </w:rPr>
        <w:t>申报日期</w:t>
      </w:r>
      <w:r>
        <w:rPr>
          <w:rFonts w:ascii="仿宋" w:hAnsi="仿宋" w:eastAsia="仿宋"/>
          <w:b w:val="0"/>
          <w:sz w:val="21"/>
        </w:rPr>
        <w:t>：2026年6月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