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国家能源局"人工智能+"能源高价值场景试点建设方案</w:t>
      </w:r>
    </w:p>
    <w:p>
      <w:pPr>
        <w:pStyle w:val="Heading2"/>
      </w:pPr>
      <w:r>
        <w:rPr>
          <w:rFonts w:ascii="黑体" w:hAnsi="黑体" w:eastAsia="黑体"/>
          <w:b/>
          <w:sz w:val="28"/>
        </w:rPr>
        <w:t>项目名称：虚拟电厂多时空尺度智能协同运营</w:t>
      </w:r>
    </w:p>
    <w:p>
      <w:pPr>
        <w:pStyle w:val="Heading2"/>
      </w:pPr>
      <w:r>
        <w:rPr>
          <w:rFonts w:ascii="黑体" w:hAnsi="黑体" w:eastAsia="黑体"/>
          <w:b/>
          <w:sz w:val="28"/>
        </w:rPr>
        <w:t>一、项目背景与意义</w:t>
      </w:r>
    </w:p>
    <w:p>
      <w:pPr>
        <w:pStyle w:val="Heading3"/>
      </w:pPr>
      <w:r>
        <w:rPr>
          <w:rFonts w:ascii="黑体" w:hAnsi="黑体" w:eastAsia="黑体"/>
          <w:b/>
          <w:sz w:val="24"/>
        </w:rPr>
        <w:t>（一）行业背景与政策环境</w:t>
      </w:r>
    </w:p>
    <w:p>
      <w:r>
        <w:rPr>
          <w:rFonts w:ascii="仿宋" w:hAnsi="仿宋" w:eastAsia="仿宋"/>
          <w:b/>
          <w:sz w:val="21"/>
        </w:rPr>
        <w:t>1. 场景说明</w:t>
      </w:r>
    </w:p>
    <w:p>
      <w:r>
        <w:rPr>
          <w:rFonts w:ascii="仿宋" w:hAnsi="仿宋" w:eastAsia="仿宋"/>
          <w:b w:val="0"/>
          <w:sz w:val="21"/>
        </w:rPr>
        <w:t>虚拟电厂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b w:val="0"/>
          <w:sz w:val="21"/>
        </w:rPr>
        <w:t>2025年12月29日，广东首批5家发电类虚拟电厂以"报量报价"方式正式参与电力现货市场交易——这标志着虚拟电厂正式从"被动管理对象"转型为"主动市场参与者"。但背后隐藏的智能化短板，正在成为制约其规模化商用的系统性瓶颈。</w:t>
      </w:r>
    </w:p>
    <w:p>
      <w:r>
        <w:rPr>
          <w:rFonts w:ascii="仿宋" w:hAnsi="仿宋" w:eastAsia="仿宋"/>
          <w:b w:val="0"/>
          <w:sz w:val="21"/>
        </w:rPr>
        <w:t>国内虚拟电厂已进入规模化发展通道。截至2025年底，全国虚拟电厂总规模超过3500万千瓦，南方电网全网聚合容量近1800万千瓦。深圳建成全国首个网地一体虚拟电厂平台，接入运营商超60家，可调能力达130万千瓦，占全市电网最高负荷比率超5.4%，为全国最高；上海商业区虚拟电厂聚合楼宇空调、充电桩、分布式光伏等资源，可调容量突破80万千瓦；山西作为能源基地，依托高耗能工业负荷与厂内自备储能，建成国内首个工业负荷型虚拟电厂示范，聚合调节能力超200万千瓦。广东全省2025年电力市场交易规模达6541.8亿千瓦时，直接交易电量4586.3亿千瓦时（同比增长16.2%），市场经营主体突破14万家，资源底座雄厚。</w:t>
      </w:r>
    </w:p>
    <w:p>
      <w:r>
        <w:rPr>
          <w:rFonts w:ascii="仿宋" w:hAnsi="仿宋" w:eastAsia="仿宋"/>
          <w:b/>
          <w:sz w:val="21"/>
        </w:rPr>
        <w:t>2. 政策环境</w:t>
      </w:r>
    </w:p>
    <w:p>
      <w:r>
        <w:rPr>
          <w:rFonts w:ascii="仿宋" w:hAnsi="仿宋" w:eastAsia="仿宋"/>
          <w:b w:val="0"/>
          <w:sz w:val="21"/>
        </w:rPr>
        <w:t>国家层面：2025年3月，国家发改委、能源局印发《关于加快推进虚拟电厂发展的指导意见》（发改能源〔2025〕357号），明确提出到2027年全国虚拟电厂调节能力达2000万千瓦以上、2030年达5000万千瓦以上的发展目标，并推动虚拟电厂作为资源聚合类新型经营主体整体参与电力中长期、现货及辅助服务市场。2025年9月，国家发改委、能源局联合印发《关于推进"人工智能+"能源高质量发展的实施意见》（国能发科技〔2025〕73号），落实《国务院关于深入实施"人工智能+"行动的意见》（国发〔2025〕11号），明确提出在虚拟电厂、源网荷储协同等领域打造"人工智能+"高价值应用场景，为项目申报提供了直接政策依据。此外，《关于深化新能源上网电价市场化改革的通知》（发改价格〔2025〕136号）明确以2025年6月1日为节点推动新能源全面进入市场，现货电价波动性进一步增强，虚拟电厂市场化运营激励持续加大。</w:t>
      </w:r>
    </w:p>
    <w:p>
      <w:r>
        <w:rPr>
          <w:rFonts w:ascii="仿宋" w:hAnsi="仿宋" w:eastAsia="仿宋"/>
          <w:b w:val="0"/>
          <w:sz w:val="21"/>
        </w:rPr>
        <w:t>地方层面：广东省在全国率先建立虚拟电厂参与电力市场交易机制，2025年12月已实现首批虚拟电厂以"报量报价"方式参与现货市场交易，覆盖深圳、佛山、中山等地；广西印发《加快推进广西虚拟电厂发展方案》，2025年收资虚拟电厂14个、聚合容量209万千瓦；云南构建"需求响应+辅助服务+电力现货"多渠道盈利机制，截至2025年11月接入13家虚拟电厂、聚合用户超1.06万户；贵州省编制《有序推进虚拟电厂发展的实施方案》，明确2027年调节能力达100万千瓦。上海市依托商业负荷密集优势，将虚拟电厂列为城市新型电力系统建设重点任务；山西省依托深厚工业基础，重点推进工业可中断负荷与自备储能的虚拟电厂化改造。南方五省区与华东、华北区域已形成"政策推动+市场驱动+试点示范"的协同推进格局。</w:t>
      </w:r>
    </w:p>
    <w:p>
      <w:r>
        <w:rPr>
          <w:rFonts w:ascii="仿宋" w:hAnsi="仿宋" w:eastAsia="仿宋"/>
          <w:b/>
          <w:sz w:val="21"/>
        </w:rPr>
        <w:t>3. 人工智能应用现状与挑战</w:t>
      </w:r>
    </w:p>
    <w:p>
      <w:r>
        <w:rPr>
          <w:rFonts w:ascii="仿宋" w:hAnsi="仿宋" w:eastAsia="仿宋"/>
          <w:b w:val="0"/>
          <w:sz w:val="21"/>
        </w:rPr>
        <w:t>当前虚拟电厂平台的智能化水平仍处于"浅层化"阶段。已建平台在负荷监测、电量统计等基础功能上实现了信息化，但在智能分析与自主决策层面存在明显短板：日前负荷预测偏差率偏高，极端天气下偏差更为显著；深圳、上海等地虚拟电厂多资源协同调控仍依赖调度员人工经验；各平台与"分钟级响应、小时级优化"的新型电力系统要求之间存在显著差距。</w:t>
      </w:r>
    </w:p>
    <w:p>
      <w:r>
        <w:rPr>
          <w:rFonts w:ascii="仿宋" w:hAnsi="仿宋" w:eastAsia="仿宋"/>
          <w:b w:val="0"/>
          <w:sz w:val="21"/>
        </w:rPr>
        <w:t>核心挑战集中在以下方面：</w:t>
      </w:r>
    </w:p>
    <w:p>
      <w:r>
        <w:rPr>
          <w:rFonts w:ascii="仿宋" w:hAnsi="仿宋" w:eastAsia="仿宋"/>
          <w:b w:val="0"/>
          <w:sz w:val="21"/>
        </w:rPr>
        <w:t>一是</w:t>
      </w:r>
      <w:r>
        <w:rPr>
          <w:rFonts w:ascii="仿宋" w:hAnsi="仿宋" w:eastAsia="仿宋"/>
          <w:b/>
          <w:sz w:val="21"/>
        </w:rPr>
        <w:t>多类型异构资源精细化建模困难</w:t>
      </w:r>
      <w:r>
        <w:rPr>
          <w:rFonts w:ascii="仿宋" w:hAnsi="仿宋" w:eastAsia="仿宋"/>
          <w:b w:val="0"/>
          <w:sz w:val="21"/>
        </w:rPr>
        <w:t>。工商业空调、工业可中断负荷、户用光伏、储能、充电桩、分布式风电等各类资源响应特性差异巨大，传统统一建模方法无法兼顾精度与扩展性，导致资源聚合时调节潜力评估偏差较大，影响向调度机构申报的可调容量可信度。</w:t>
      </w:r>
    </w:p>
    <w:p>
      <w:r>
        <w:rPr>
          <w:rFonts w:ascii="仿宋" w:hAnsi="仿宋" w:eastAsia="仿宋"/>
          <w:b w:val="0"/>
          <w:sz w:val="21"/>
        </w:rPr>
        <w:t>二是</w:t>
      </w:r>
      <w:r>
        <w:rPr>
          <w:rFonts w:ascii="仿宋" w:hAnsi="仿宋" w:eastAsia="仿宋"/>
          <w:b/>
          <w:sz w:val="21"/>
        </w:rPr>
        <w:t>海量分布式资源协同优化求解效率低下</w:t>
      </w:r>
      <w:r>
        <w:rPr>
          <w:rFonts w:ascii="仿宋" w:hAnsi="仿宋" w:eastAsia="仿宋"/>
          <w:b w:val="0"/>
          <w:sz w:val="21"/>
        </w:rPr>
        <w:t>。虚拟电厂协同调控本质上是高维、非线性、混合整数优化问题，随着资源节点数量增加，问题复杂度呈指数级增长。深圳虚拟电厂迎峰度夏期间，调峰指令响应延迟较高，处于临界状态；行业测试显示，资源节点超1万个时传统算法求解时间大幅提升，无法满足秒级调频需求。</w:t>
      </w:r>
    </w:p>
    <w:p>
      <w:r>
        <w:rPr>
          <w:rFonts w:ascii="仿宋" w:hAnsi="仿宋" w:eastAsia="仿宋"/>
          <w:b w:val="0"/>
          <w:sz w:val="21"/>
        </w:rPr>
        <w:t>三是</w:t>
      </w:r>
      <w:r>
        <w:rPr>
          <w:rFonts w:ascii="仿宋" w:hAnsi="仿宋" w:eastAsia="仿宋"/>
          <w:b/>
          <w:sz w:val="21"/>
        </w:rPr>
        <w:t>多市场联合交易决策能力不足</w:t>
      </w:r>
      <w:r>
        <w:rPr>
          <w:rFonts w:ascii="仿宋" w:hAnsi="仿宋" w:eastAsia="仿宋"/>
          <w:b w:val="0"/>
          <w:sz w:val="21"/>
        </w:rPr>
        <w:t>。虚拟电厂可参与电能量市场、调频辅助服务市场、调峰辅助服务市场三类市场，但现有交易策略多针对单一市场设计，缺乏多市场联合优化与风险对冲能力。2025年广东电力现货市场峰谷价差最高达1.33元/千瓦时，随着新能源上网电价全面市场化，负电价现象从偶发走向常态化，虚拟电厂如缺乏有效的极端场景预判能力，将面临较大市场亏损风险。</w:t>
      </w:r>
    </w:p>
    <w:p>
      <w:r>
        <w:rPr>
          <w:rFonts w:ascii="仿宋" w:hAnsi="仿宋" w:eastAsia="仿宋"/>
          <w:b/>
          <w:sz w:val="21"/>
        </w:rPr>
        <w:t>4. 技术应用前景</w:t>
      </w:r>
    </w:p>
    <w:p>
      <w:r>
        <w:rPr>
          <w:rFonts w:ascii="仿宋" w:hAnsi="仿宋" w:eastAsia="仿宋"/>
          <w:b w:val="0"/>
          <w:sz w:val="21"/>
        </w:rPr>
        <w:t>针对上述挑战，智能化技术提供了系统性解决路径：专业语义分析技术可实现合同文本、调度规程等非结构化数据的自动化提取和结构化表达，为虚拟电厂建立统一的资源数据底座；多时间尺度层次化预测技术可显著提升极端天气、节假日等复杂场景下的负荷与出力预测精度；基于物理机理与数据驱动相融合的建模方法，可提升资源调节潜力评估的可信度与规模化应用能力；多智能体协同优化与云端—边缘—终端三级实时调控架构，可大幅缩减海量资源协同决策的求解时间，满足新型电力系统对调节资源响应速度的严格要求；智能决策引擎可增强对现货市场电价波动的预判能力与风险管控水平，提升虚拟电厂市场化运营的综合收益。</w:t>
      </w:r>
    </w:p>
    <w:p>
      <w:pPr>
        <w:pStyle w:val="Heading3"/>
      </w:pPr>
      <w:r>
        <w:rPr>
          <w:rFonts w:ascii="黑体" w:hAnsi="黑体" w:eastAsia="黑体"/>
          <w:b/>
          <w:sz w:val="24"/>
        </w:rPr>
        <w:t>（二）问题分析与需求痛点</w:t>
      </w:r>
    </w:p>
    <w:p>
      <w:r>
        <w:rPr>
          <w:rFonts w:ascii="仿宋" w:hAnsi="仿宋" w:eastAsia="仿宋"/>
          <w:b w:val="0"/>
          <w:sz w:val="21"/>
        </w:rPr>
        <w:t>上述三大挑战并非孤立存在，而是相互交织、互为因果，构成了制约虚拟电厂规模化发展的系统性瓶颈。以下结合国内虚拟电厂实际运行场景进行分析。</w:t>
      </w:r>
    </w:p>
    <w:p>
      <w:r>
        <w:rPr>
          <w:rFonts w:ascii="仿宋" w:hAnsi="仿宋" w:eastAsia="仿宋"/>
          <w:b/>
          <w:sz w:val="21"/>
        </w:rPr>
        <w:t>多类型资源精细化建模层面</w:t>
      </w:r>
      <w:r>
        <w:rPr>
          <w:rFonts w:ascii="仿宋" w:hAnsi="仿宋" w:eastAsia="仿宋"/>
          <w:b w:val="0"/>
          <w:sz w:val="21"/>
        </w:rPr>
        <w:t>：一个中等规模城市级虚拟电厂需管理涵盖分布式光伏、充电桩、空调负荷、工业柔性负荷、储能在内的多类资源，各类资源的响应特性、约束条件、可调时空范围差异巨大。以上海商业负荷型虚拟电厂为例，仅中央空调系统就因建筑围护结构差异、商户经营时间不同、温度设定偏好各异，导致同一品牌同一型号的设备响应特性也存在显著离散性，传统基于典型参数建模的方法在实际调控指令下发后，实际响应率往往明显低于理论评估值，影响虚拟电厂向调度机构申报的可调容量可信度，面临考核风险。</w:t>
      </w:r>
    </w:p>
    <w:p>
      <w:r>
        <w:rPr>
          <w:rFonts w:ascii="仿宋" w:hAnsi="仿宋" w:eastAsia="仿宋"/>
          <w:b/>
          <w:sz w:val="21"/>
        </w:rPr>
        <w:t>协同调控实时性层面</w:t>
      </w:r>
      <w:r>
        <w:rPr>
          <w:rFonts w:ascii="仿宋" w:hAnsi="仿宋" w:eastAsia="仿宋"/>
          <w:b w:val="0"/>
          <w:sz w:val="21"/>
        </w:rPr>
        <w:t>：虚拟电厂协同调控本质上是高维、非线性、混合整数优化问题，随着资源节点数量增加，问题复杂度呈指数级增长。深圳虚拟电厂迎峰度夏期间，调峰指令响应延迟较高，处于临界状态。以山西工业负荷型虚拟电厂为例，其聚合的高耗能工业企业生产工序复杂、能源柜用关系紧密，在参与调频辅助服务时需在秒级时间尺度内完成多台生产设备的协同调节决策，传统集中式优化算法求解时间远超电网调度允许的响应时间窗口，导致虚拟电厂被迫退出调频市场或接受偏差考核。</w:t>
      </w:r>
    </w:p>
    <w:p>
      <w:r>
        <w:rPr>
          <w:rFonts w:ascii="仿宋" w:hAnsi="仿宋" w:eastAsia="仿宋"/>
          <w:b/>
          <w:sz w:val="21"/>
        </w:rPr>
        <w:t>市场交易风险管控层面</w:t>
      </w:r>
      <w:r>
        <w:rPr>
          <w:rFonts w:ascii="仿宋" w:hAnsi="仿宋" w:eastAsia="仿宋"/>
          <w:b w:val="0"/>
          <w:sz w:val="21"/>
        </w:rPr>
        <w:t>：2025年广东电力现货市场全年交易规模达6541.8亿千瓦时，经营主体超14万家，价格波动显著加剧——峰谷价差最高达1.33元/千瓦时。随着新能源上网电价全面市场化，负电价现象已从偶发走向常态化（国家能源局2025年4月专门解读）。虚拟电厂可参与电能量、调频、调峰三类市场，但现有交易策略多针对单一市场独立设计，缺乏联合优化与风险对冲机制。部分虚拟电厂在极端电价场景下出现亏损，市场参与的可持续性受到严重威胁。</w:t>
      </w:r>
    </w:p>
    <w:p>
      <w:r>
        <w:rPr>
          <w:rFonts w:ascii="仿宋" w:hAnsi="仿宋" w:eastAsia="仿宋"/>
          <w:b/>
          <w:sz w:val="21"/>
        </w:rPr>
        <w:t>业务闭环运营层面</w:t>
      </w:r>
      <w:r>
        <w:rPr>
          <w:rFonts w:ascii="仿宋" w:hAnsi="仿宋" w:eastAsia="仿宋"/>
          <w:b w:val="0"/>
          <w:sz w:val="21"/>
        </w:rPr>
        <w:t>：国内主要虚拟电厂平台的"生产运行""协同调控""市场交易"三大模块通常通过定期批量数据同步交换信息，而非实时联动。当市场交易模块做出"次日午间申报调峰"的决策后，协同调控模块可能因实时预测偏差无法完成指令执行；当生产运行模块监测到储能设备异常降功率时，市场交易模块可能仍在基于错误信息进行交易申报。这种"联而不通"的运营模式导致整体运营效率显著下降，虚拟电厂长期处于"有资源、有市场、但盈利难"的尴尬境地。</w:t>
      </w:r>
    </w:p>
    <w:p>
      <w:pPr>
        <w:pStyle w:val="Heading3"/>
      </w:pPr>
      <w:r>
        <w:rPr>
          <w:rFonts w:ascii="黑体" w:hAnsi="黑体" w:eastAsia="黑体"/>
          <w:b/>
          <w:sz w:val="24"/>
        </w:rPr>
        <w:t>（三）本项目拟解决的关键问题</w:t>
      </w:r>
    </w:p>
    <w:p>
      <w:r>
        <w:rPr>
          <w:rFonts w:ascii="仿宋" w:hAnsi="仿宋" w:eastAsia="仿宋"/>
          <w:b w:val="0"/>
          <w:sz w:val="21"/>
        </w:rPr>
        <w:t>综上所述，本项目瞄准虚拟电厂规模化发展中的三大系统性难题，拟系统性地解决以下关键问题：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关键问题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拟采用的技术路线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1</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多类型异构资源精细化建模与分层分区动态聚合问题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机器学习与混合优化算法相结合的单体响应特性建模；分层分区动态聚类与潜力量化技术</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海量分布式资源多智能体市场化交易决策问题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分层博弈决策框架；日前与实时多市场联合收益最优决策技术</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3</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全域多时空尺度实时协同运行控制问题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云端—边缘—终端三级实时调控架构；模型预测控制与深度强化学习相结合的全域协同控制技术</w:t>
            </w:r>
          </w:p>
        </w:tc>
      </w:tr>
    </w:tbl>
    <w:p>
      <w:r>
        <w:rPr>
          <w:rFonts w:ascii="仿宋" w:hAnsi="仿宋" w:eastAsia="仿宋"/>
          <w:b w:val="0"/>
          <w:sz w:val="21"/>
        </w:rPr>
        <w:t>本项目的实施，将在技术层面突破虚拟电厂智能运营的核心瓶颈，在产业层面推动虚拟电厂从"示范试点"向"规模化商用"跨越，在政策层面为"人工智能+"能源高价值场景试点建设提供可复制、可推广的标杆方案。</w:t>
      </w:r>
    </w:p>
    <w:p>
      <w:r>
        <w:rPr>
          <w:rFonts w:ascii="仿宋" w:hAnsi="仿宋" w:eastAsia="仿宋"/>
          <w:b/>
          <w:sz w:val="21"/>
        </w:rPr>
        <w:t>关键问题与核心攻关方向映射关系</w:t>
      </w:r>
      <w:r>
        <w:rPr>
          <w:rFonts w:ascii="仿宋" w:hAnsi="仿宋" w:eastAsia="仿宋"/>
          <w:b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关键问题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对应攻关方向</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逻辑说明</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问题1：资源建模与动态聚合</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方向一（基础层）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资源精细化建模是智能化"第一公里"，先解决"资源是什么、能调多少、怎么聚"</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问题2：多智能体交易决策</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方向二（市场层）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交易决策是将调节能力转化为经济收益的"出口"，解决"怎么参与市场、怎么赚更多"</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问题3：实时协同运行控制</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方向三（控制层）</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实时协同控制是将交易决策转化为实际调节动作的"中枢"，解决"怎么调得准、调得快"</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示范落地</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上海+山西两大示范</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商业负荷型与工业负荷型两大典型场景，验证全技术链条的实用化水平</w:t>
            </w:r>
          </w:p>
        </w:tc>
      </w:tr>
    </w:tbl>
    <w:p>
      <w:pPr>
        <w:pStyle w:val="Heading2"/>
      </w:pPr>
      <w:r>
        <w:rPr>
          <w:rFonts w:ascii="黑体" w:hAnsi="黑体" w:eastAsia="黑体"/>
          <w:b/>
          <w:sz w:val="28"/>
        </w:rPr>
        <w:t>二、主要研究内容</w:t>
      </w:r>
    </w:p>
    <w:p>
      <w:r>
        <w:rPr>
          <w:rFonts w:ascii="仿宋" w:hAnsi="仿宋" w:eastAsia="仿宋"/>
          <w:b w:val="0"/>
          <w:sz w:val="21"/>
        </w:rPr>
        <w:t>基于上述问题分析，本项目划分为</w:t>
      </w:r>
      <w:r>
        <w:rPr>
          <w:rFonts w:ascii="仿宋" w:hAnsi="仿宋" w:eastAsia="仿宋"/>
          <w:b/>
          <w:sz w:val="21"/>
        </w:rPr>
        <w:t>三大核心攻关技术方向、两大落地示范工程</w:t>
      </w:r>
      <w:r>
        <w:rPr>
          <w:rFonts w:ascii="仿宋" w:hAnsi="仿宋" w:eastAsia="仿宋"/>
          <w:b w:val="0"/>
          <w:sz w:val="21"/>
        </w:rPr>
        <w:t>，由南网综合能源公司牵头，联合高校、科研院所、产业链上下游企业共同实施。三大方向按照"资源建模与聚合→市场化交易决策→实时协同运行控制"的逻辑链条展开，层层递进、有机衔接；两大示范工程分别面向商业负荷密集型城市与工业负荷密集型区域，形成互为补充、可复制推广的标杆应用场景。</w:t>
      </w:r>
    </w:p>
    <w:p>
      <w:r>
        <w:rPr>
          <w:rFonts w:ascii="仿宋" w:hAnsi="仿宋" w:eastAsia="仿宋"/>
          <w:b/>
          <w:sz w:val="21"/>
        </w:rPr>
        <w:t>方向逻辑关系说明</w:t>
      </w:r>
      <w:r>
        <w:rPr>
          <w:rFonts w:ascii="仿宋" w:hAnsi="仿宋" w:eastAsia="仿宋"/>
          <w:b w:val="0"/>
          <w:sz w:val="21"/>
        </w:rPr>
        <w:t>：</w:t>
      </w:r>
    </w:p>
    <w:p>
      <w:pPr>
        <w:pStyle w:val="ListBullet"/>
      </w:pPr>
      <w:r>
        <w:rPr>
          <w:rFonts w:ascii="仿宋" w:hAnsi="仿宋" w:eastAsia="仿宋"/>
          <w:b/>
          <w:sz w:val="21"/>
        </w:rPr>
        <w:t>方向一（基础层）</w:t>
      </w:r>
      <w:r>
        <w:rPr>
          <w:rFonts w:ascii="仿宋" w:hAnsi="仿宋" w:eastAsia="仿宋"/>
          <w:b w:val="0"/>
          <w:sz w:val="21"/>
        </w:rPr>
        <w:t>：解决"资源是什么、响应特性怎么样、怎么聚"的问题，建立高质量资源数据底座和可信的调节能力评估与动态聚合体系</w:t>
      </w:r>
    </w:p>
    <w:p>
      <w:pPr>
        <w:pStyle w:val="ListBullet"/>
      </w:pPr>
      <w:r>
        <w:rPr>
          <w:rFonts w:ascii="仿宋" w:hAnsi="仿宋" w:eastAsia="仿宋"/>
          <w:b/>
          <w:sz w:val="21"/>
        </w:rPr>
        <w:t>方向二（市场层）</w:t>
      </w:r>
      <w:r>
        <w:rPr>
          <w:rFonts w:ascii="仿宋" w:hAnsi="仿宋" w:eastAsia="仿宋"/>
          <w:b w:val="0"/>
          <w:sz w:val="21"/>
        </w:rPr>
        <w:t>：解决"怎么参与市场、多市场怎么协同、风险怎么管控"的问题，将调节能力转化为经济效益</w:t>
      </w:r>
    </w:p>
    <w:p>
      <w:pPr>
        <w:pStyle w:val="ListBullet"/>
      </w:pPr>
      <w:r>
        <w:rPr>
          <w:rFonts w:ascii="仿宋" w:hAnsi="仿宋" w:eastAsia="仿宋"/>
          <w:b/>
          <w:sz w:val="21"/>
        </w:rPr>
        <w:t>方向三（控制层）</w:t>
      </w:r>
      <w:r>
        <w:rPr>
          <w:rFonts w:ascii="仿宋" w:hAnsi="仿宋" w:eastAsia="仿宋"/>
          <w:b w:val="0"/>
          <w:sz w:val="21"/>
        </w:rPr>
        <w:t>：解决"怎么在全域多时间尺度上实时协同调控"的问题，实现云端—边缘—终端三级架构下的秒级/分钟级/日前多尺度协同控制</w:t>
      </w:r>
    </w:p>
    <w:p>
      <w:pPr>
        <w:pStyle w:val="ListBullet"/>
      </w:pPr>
      <w:r>
        <w:rPr>
          <w:rFonts w:ascii="仿宋" w:hAnsi="仿宋" w:eastAsia="仿宋"/>
          <w:b/>
          <w:sz w:val="21"/>
        </w:rPr>
        <w:t>示范工程（落地层）</w:t>
      </w:r>
      <w:r>
        <w:rPr>
          <w:rFonts w:ascii="仿宋" w:hAnsi="仿宋" w:eastAsia="仿宋"/>
          <w:b w:val="0"/>
          <w:sz w:val="21"/>
        </w:rPr>
        <w:t>：解决"技术怎么变成产品和运营能力"的问题，在上海与山西两大典型场景中完成全技术链条的闭环验证</w:t>
      </w:r>
    </w:p>
    <w:p>
      <w:pPr>
        <w:pStyle w:val="Heading3"/>
      </w:pPr>
      <w:r>
        <w:rPr>
          <w:rFonts w:ascii="黑体" w:hAnsi="黑体" w:eastAsia="黑体"/>
          <w:b/>
          <w:sz w:val="24"/>
        </w:rPr>
        <w:t>方向一：分布式资源精细化建模与分层分区动态聚合技术（基础层）</w:t>
      </w:r>
    </w:p>
    <w:p>
      <w:r>
        <w:rPr>
          <w:rFonts w:ascii="仿宋" w:hAnsi="仿宋" w:eastAsia="仿宋"/>
          <w:b w:val="0"/>
          <w:sz w:val="21"/>
        </w:rPr>
        <w:t>针对工商业空调、工业可中断负荷、户用光伏、储能、充电桩、分布式风电多类型异构资源，基于机器学习与混合优化算法（粒子群优化、强化学习等）开展单体响应特性精准建模；研发分层分区动态聚类算法，实现跨区域海量零散资源自动分群与潜力量化，解决资源地域分散、参数杂乱无法规模化聚合的难题。细分两个子技术方向：建筑空调集群协同调控技术、电动汽车集群时空优化调控技术。</w:t>
      </w:r>
    </w:p>
    <w:p>
      <w:r>
        <w:rPr>
          <w:rFonts w:ascii="仿宋" w:hAnsi="仿宋" w:eastAsia="仿宋"/>
          <w:b/>
          <w:sz w:val="21"/>
        </w:rPr>
        <w:t>主要研究内容</w:t>
      </w:r>
      <w:r>
        <w:rPr>
          <w:rFonts w:ascii="仿宋" w:hAnsi="仿宋" w:eastAsia="仿宋"/>
          <w:b w:val="0"/>
          <w:sz w:val="21"/>
        </w:rPr>
        <w:t>：</w:t>
      </w:r>
    </w:p>
    <w:p>
      <w:r>
        <w:rPr>
          <w:rFonts w:ascii="仿宋" w:hAnsi="仿宋" w:eastAsia="仿宋"/>
          <w:b w:val="0"/>
          <w:sz w:val="21"/>
        </w:rPr>
        <w:t>1. 多类型分布式资源响应特性实验与数据采集，建立覆盖主要资源品类的响应特性数据库</w:t>
      </w:r>
    </w:p>
    <w:p>
      <w:r>
        <w:rPr>
          <w:rFonts w:ascii="仿宋" w:hAnsi="仿宋" w:eastAsia="仿宋"/>
          <w:b w:val="0"/>
          <w:sz w:val="21"/>
        </w:rPr>
        <w:t>2. 基于机器学习与混合优化算法的单体资源响应特性精准建模方法</w:t>
      </w:r>
    </w:p>
    <w:p>
      <w:r>
        <w:rPr>
          <w:rFonts w:ascii="仿宋" w:hAnsi="仿宋" w:eastAsia="仿宋"/>
          <w:b w:val="0"/>
          <w:sz w:val="21"/>
        </w:rPr>
        <w:t>3. 分层分区动态聚类算法，实现海量资源的自动分群、潜力量化与动态聚合</w:t>
      </w:r>
    </w:p>
    <w:p>
      <w:r>
        <w:rPr>
          <w:rFonts w:ascii="仿宋" w:hAnsi="仿宋" w:eastAsia="仿宋"/>
          <w:b w:val="0"/>
          <w:sz w:val="21"/>
        </w:rPr>
        <w:t>4. 建筑空调集群协同调控技术研究（以上海商业楼宇场景为验证对象）</w:t>
      </w:r>
    </w:p>
    <w:p>
      <w:r>
        <w:rPr>
          <w:rFonts w:ascii="仿宋" w:hAnsi="仿宋" w:eastAsia="仿宋"/>
          <w:b w:val="0"/>
          <w:sz w:val="21"/>
        </w:rPr>
        <w:t>5. 电动汽车集群时空优化调控技术研究（以城市级充电桩网络为验证对象）</w:t>
      </w:r>
    </w:p>
    <w:p>
      <w:pPr>
        <w:pStyle w:val="Heading3"/>
      </w:pPr>
      <w:r>
        <w:rPr>
          <w:rFonts w:ascii="黑体" w:hAnsi="黑体" w:eastAsia="黑体"/>
          <w:b/>
          <w:sz w:val="24"/>
        </w:rPr>
        <w:t>方向二：多智能体市场化智能交易决策技术（市场层）</w:t>
      </w:r>
    </w:p>
    <w:p>
      <w:r>
        <w:rPr>
          <w:rFonts w:ascii="仿宋" w:hAnsi="仿宋" w:eastAsia="仿宋"/>
          <w:b w:val="0"/>
          <w:sz w:val="21"/>
        </w:rPr>
        <w:t>依托多智能体协同优化技术积累，搭建分层博弈决策框架：下层各分布式资源智能体自主申报可调容量与报价；中层区域虚拟电厂聚合智能体优化资源组合；上层虚拟电厂主体智能体参与电能量市场、辅助服务市场（调峰、调频）竞价出清；实现日前与实时多市场联合收益最优决策。</w:t>
      </w:r>
    </w:p>
    <w:p>
      <w:r>
        <w:rPr>
          <w:rFonts w:ascii="仿宋" w:hAnsi="仿宋" w:eastAsia="仿宋"/>
          <w:b/>
          <w:sz w:val="21"/>
        </w:rPr>
        <w:t>主要研究内容</w:t>
      </w:r>
      <w:r>
        <w:rPr>
          <w:rFonts w:ascii="仿宋" w:hAnsi="仿宋" w:eastAsia="仿宋"/>
          <w:b w:val="0"/>
          <w:sz w:val="21"/>
        </w:rPr>
        <w:t>：</w:t>
      </w:r>
    </w:p>
    <w:p>
      <w:r>
        <w:rPr>
          <w:rFonts w:ascii="仿宋" w:hAnsi="仿宋" w:eastAsia="仿宋"/>
          <w:b w:val="0"/>
          <w:sz w:val="21"/>
        </w:rPr>
        <w:t>1. 虚拟电厂参与电能量市场、调频辅助服务市场、调峰辅助服务市场的交易机制与出清规则研究</w:t>
      </w:r>
    </w:p>
    <w:p>
      <w:r>
        <w:rPr>
          <w:rFonts w:ascii="仿宋" w:hAnsi="仿宋" w:eastAsia="仿宋"/>
          <w:b w:val="0"/>
          <w:sz w:val="21"/>
        </w:rPr>
        <w:t>2. 基于分层博弈框架的多智能体交易决策算法研发</w:t>
      </w:r>
    </w:p>
    <w:p>
      <w:r>
        <w:rPr>
          <w:rFonts w:ascii="仿宋" w:hAnsi="仿宋" w:eastAsia="仿宋"/>
          <w:b w:val="0"/>
          <w:sz w:val="21"/>
        </w:rPr>
        <w:t>3. 日前市场与实时市场联合优化决策技术，实现跨市场收益最大化</w:t>
      </w:r>
    </w:p>
    <w:p>
      <w:r>
        <w:rPr>
          <w:rFonts w:ascii="仿宋" w:hAnsi="仿宋" w:eastAsia="仿宋"/>
          <w:b w:val="0"/>
          <w:sz w:val="21"/>
        </w:rPr>
        <w:t>4. 极端电价场景（尖峰电价、负电价）风险识别与自适应交易策略调整技术</w:t>
      </w:r>
    </w:p>
    <w:p>
      <w:r>
        <w:rPr>
          <w:rFonts w:ascii="仿宋" w:hAnsi="仿宋" w:eastAsia="仿宋"/>
          <w:b w:val="0"/>
          <w:sz w:val="21"/>
        </w:rPr>
        <w:t>5. 交易决策算法在历史数据回测环境与实时运行环境中的验证与优化</w:t>
      </w:r>
    </w:p>
    <w:p>
      <w:pPr>
        <w:pStyle w:val="Heading3"/>
      </w:pPr>
      <w:r>
        <w:rPr>
          <w:rFonts w:ascii="黑体" w:hAnsi="黑体" w:eastAsia="黑体"/>
          <w:b/>
          <w:sz w:val="24"/>
        </w:rPr>
        <w:t>方向三：深度强化学习全域实时协同运行控制技术（控制层）</w:t>
      </w:r>
    </w:p>
    <w:p>
      <w:r>
        <w:rPr>
          <w:rFonts w:ascii="仿宋" w:hAnsi="仿宋" w:eastAsia="仿宋"/>
          <w:b w:val="0"/>
          <w:sz w:val="21"/>
        </w:rPr>
        <w:t>以深度强化学习、模型预测控制为核心，构建云端—边缘—终端三级实时调控架构：终端侧实现设备边缘智能就地快速响应；边缘侧实现园区/片区集群协同优化；云端对接电网调度，实现分钟级自适应平抑风光随机性波动，兼顾电网安全约束与用户用能舒适度。</w:t>
      </w:r>
    </w:p>
    <w:p>
      <w:r>
        <w:rPr>
          <w:rFonts w:ascii="仿宋" w:hAnsi="仿宋" w:eastAsia="仿宋"/>
          <w:b/>
          <w:sz w:val="21"/>
        </w:rPr>
        <w:t>主要研究内容</w:t>
      </w:r>
      <w:r>
        <w:rPr>
          <w:rFonts w:ascii="仿宋" w:hAnsi="仿宋" w:eastAsia="仿宋"/>
          <w:b w:val="0"/>
          <w:sz w:val="21"/>
        </w:rPr>
        <w:t>：</w:t>
      </w:r>
    </w:p>
    <w:p>
      <w:r>
        <w:rPr>
          <w:rFonts w:ascii="仿宋" w:hAnsi="仿宋" w:eastAsia="仿宋"/>
          <w:b w:val="0"/>
          <w:sz w:val="21"/>
        </w:rPr>
        <w:t>1. 云端—边缘—终端三级实时调控架构设计与通信交互机制研究</w:t>
      </w:r>
    </w:p>
    <w:p>
      <w:r>
        <w:rPr>
          <w:rFonts w:ascii="仿宋" w:hAnsi="仿宋" w:eastAsia="仿宋"/>
          <w:b w:val="0"/>
          <w:sz w:val="21"/>
        </w:rPr>
        <w:t>2. 基于模型预测控制的边缘侧集群协同优化算法研发</w:t>
      </w:r>
    </w:p>
    <w:p>
      <w:r>
        <w:rPr>
          <w:rFonts w:ascii="仿宋" w:hAnsi="仿宋" w:eastAsia="仿宋"/>
          <w:b w:val="0"/>
          <w:sz w:val="21"/>
        </w:rPr>
        <w:t>3. 基于深度强化学习的云端全域协同运行控制算法研发</w:t>
      </w:r>
    </w:p>
    <w:p>
      <w:r>
        <w:rPr>
          <w:rFonts w:ascii="仿宋" w:hAnsi="仿宋" w:eastAsia="仿宋"/>
          <w:b w:val="0"/>
          <w:sz w:val="21"/>
        </w:rPr>
        <w:t>4. 多时间尺度协同机制研究：秒级调频、分钟级调峰、日前优化三级时间尺度无缝衔接</w:t>
      </w:r>
    </w:p>
    <w:p>
      <w:r>
        <w:rPr>
          <w:rFonts w:ascii="仿宋" w:hAnsi="仿宋" w:eastAsia="仿宋"/>
          <w:b w:val="0"/>
          <w:sz w:val="21"/>
        </w:rPr>
        <w:t>5. 算法在数字孪生仿真环境与真实电网调控环境中的验证与闭环优化</w:t>
      </w:r>
    </w:p>
    <w:p>
      <w:pPr>
        <w:pStyle w:val="Heading3"/>
      </w:pPr>
      <w:r>
        <w:rPr>
          <w:rFonts w:ascii="黑体" w:hAnsi="黑体" w:eastAsia="黑体"/>
          <w:b/>
          <w:sz w:val="24"/>
        </w:rPr>
        <w:t>示范工程一：上海商业负荷型虚拟电厂示范（商业场景）</w:t>
      </w:r>
    </w:p>
    <w:p>
      <w:r>
        <w:rPr>
          <w:rFonts w:ascii="仿宋" w:hAnsi="仿宋" w:eastAsia="仿宋"/>
          <w:b w:val="0"/>
          <w:sz w:val="21"/>
        </w:rPr>
        <w:t>聚焦商场、写字楼、商超中央空调、充电桩、分布式光伏，建设城市商业侧虚拟电厂标杆工程，参与上海电力现货市场与需求响应市场。示范区域选在上海商业负荷密集区域，聚合可调资源规模不低于80万千瓦；重点验证方向一的建筑空调集群协同调控技术、方向三的边缘—终端协同控制技术，以及在商业场景下的实用化水平。</w:t>
      </w:r>
    </w:p>
    <w:p>
      <w:pPr>
        <w:pStyle w:val="Heading3"/>
      </w:pPr>
      <w:r>
        <w:rPr>
          <w:rFonts w:ascii="黑体" w:hAnsi="黑体" w:eastAsia="黑体"/>
          <w:b/>
          <w:sz w:val="24"/>
        </w:rPr>
        <w:t>示范工程二：山西工业负荷型虚拟电厂示范（工业场景）</w:t>
      </w:r>
    </w:p>
    <w:p>
      <w:r>
        <w:rPr>
          <w:rFonts w:ascii="仿宋" w:hAnsi="仿宋" w:eastAsia="仿宋"/>
          <w:b w:val="0"/>
          <w:sz w:val="21"/>
        </w:rPr>
        <w:t>聚焦高耗能工业可中断负荷、厂内自备储能、厂区分布式光伏，建设重工业负荷聚合型虚拟电厂标杆工程，深度服务山西电网调峰与新能源消纳。示范区域选在山西典型工业园区，聚合高耗能工业可调负荷与储能资源规模不低于200万千瓦；重点验证方向一的工业负荷响应特性建模技术、方向二的工业负荷型虚拟电厂参与调频/调峰辅助服务的交易决策技术，以及在工业场景下的实用化水平。</w:t>
      </w:r>
    </w:p>
    <w:p>
      <w:r>
        <w:rPr>
          <w:rFonts w:ascii="仿宋" w:hAnsi="仿宋" w:eastAsia="仿宋"/>
          <w:b/>
          <w:sz w:val="21"/>
        </w:rPr>
        <w:t>各方向与典型业务场景的贴合关系</w:t>
      </w:r>
      <w:r>
        <w:rPr>
          <w:rFonts w:ascii="仿宋" w:hAnsi="仿宋" w:eastAsia="仿宋"/>
          <w:b w:val="0"/>
          <w:sz w:val="21"/>
        </w:rPr>
        <w:t>：</w:t>
      </w:r>
    </w:p>
    <w:p>
      <w:pPr>
        <w:pStyle w:val="ListBullet"/>
      </w:pPr>
      <w:r>
        <w:rPr>
          <w:rFonts w:ascii="仿宋" w:hAnsi="仿宋" w:eastAsia="仿宋"/>
          <w:b/>
          <w:sz w:val="21"/>
        </w:rPr>
        <w:t>方向一</w:t>
      </w:r>
      <w:r>
        <w:rPr>
          <w:rFonts w:ascii="仿宋" w:hAnsi="仿宋" w:eastAsia="仿宋"/>
          <w:b w:val="0"/>
          <w:sz w:val="21"/>
        </w:rPr>
        <w:t xml:space="preserve"> 紧贴上海商业楼宇中央空调系统参数辨识、山西工业企业生产计划与负荷特性关联分析、深圳充电桩运营商协议解析等实际场景，在上海、山西、深圳三地已建虚拟电厂平台上进行验证</w:t>
      </w:r>
    </w:p>
    <w:p>
      <w:pPr>
        <w:pStyle w:val="ListBullet"/>
      </w:pPr>
      <w:r>
        <w:rPr>
          <w:rFonts w:ascii="仿宋" w:hAnsi="仿宋" w:eastAsia="仿宋"/>
          <w:b/>
          <w:sz w:val="21"/>
        </w:rPr>
        <w:t>方向二</w:t>
      </w:r>
      <w:r>
        <w:rPr>
          <w:rFonts w:ascii="仿宋" w:hAnsi="仿宋" w:eastAsia="仿宋"/>
          <w:b w:val="0"/>
          <w:sz w:val="21"/>
        </w:rPr>
        <w:t xml:space="preserve"> 针对广东电力现货市场历史数据（2025年交易规模6541.8亿千瓦时、峰谷价差全国居首、负电价常态化）验证多市场联合交易决策算法的风险管控能力</w:t>
      </w:r>
    </w:p>
    <w:p>
      <w:pPr>
        <w:pStyle w:val="ListBullet"/>
      </w:pPr>
      <w:r>
        <w:rPr>
          <w:rFonts w:ascii="仿宋" w:hAnsi="仿宋" w:eastAsia="仿宋"/>
          <w:b/>
          <w:sz w:val="21"/>
        </w:rPr>
        <w:t>方向三</w:t>
      </w:r>
      <w:r>
        <w:rPr>
          <w:rFonts w:ascii="仿宋" w:hAnsi="仿宋" w:eastAsia="仿宋"/>
          <w:b w:val="0"/>
          <w:sz w:val="21"/>
        </w:rPr>
        <w:t xml:space="preserve"> 在上海商业负荷型虚拟电厂示范中验证边缘—终端协同控制能力（空调集群分钟级响应），在山西工业负荷型虚拟电厂示范中验证云端全域协同控制能力（工业负荷秒级调频响应）</w:t>
      </w:r>
    </w:p>
    <w:p>
      <w:pPr>
        <w:pStyle w:val="Heading2"/>
      </w:pPr>
      <w:r>
        <w:rPr>
          <w:rFonts w:ascii="黑体" w:hAnsi="黑体" w:eastAsia="黑体"/>
          <w:b/>
          <w:sz w:val="28"/>
        </w:rPr>
        <w:t>三、创新点</w:t>
      </w:r>
    </w:p>
    <w:p>
      <w:r>
        <w:rPr>
          <w:rFonts w:ascii="仿宋" w:hAnsi="仿宋" w:eastAsia="仿宋"/>
          <w:b w:val="0"/>
          <w:sz w:val="21"/>
        </w:rPr>
        <w:t>本项目在</w:t>
      </w:r>
      <w:r>
        <w:rPr>
          <w:rFonts w:ascii="仿宋" w:hAnsi="仿宋" w:eastAsia="仿宋"/>
          <w:b/>
          <w:sz w:val="21"/>
        </w:rPr>
        <w:t>理念、模式、技术、场景</w:t>
      </w:r>
      <w:r>
        <w:rPr>
          <w:rFonts w:ascii="仿宋" w:hAnsi="仿宋" w:eastAsia="仿宋"/>
          <w:b w:val="0"/>
          <w:sz w:val="21"/>
        </w:rPr>
        <w:t>四个维度实现系统性创新。</w:t>
      </w:r>
    </w:p>
    <w:p>
      <w:pPr>
        <w:pStyle w:val="Heading3"/>
      </w:pPr>
      <w:r>
        <w:rPr>
          <w:rFonts w:ascii="黑体" w:hAnsi="黑体" w:eastAsia="黑体"/>
          <w:b/>
          <w:sz w:val="24"/>
        </w:rPr>
        <w:t>创新点1（理念创新）：提出"数据驱动、产调销一体"的虚拟电厂智能运营理念</w:t>
      </w:r>
    </w:p>
    <w:p>
      <w:r>
        <w:rPr>
          <w:rFonts w:ascii="仿宋" w:hAnsi="仿宋" w:eastAsia="仿宋"/>
          <w:b w:val="0"/>
          <w:sz w:val="21"/>
        </w:rPr>
        <w:t>突破传统虚拟电厂"重聚合、轻智能、割裂运营"的局限，系统性提出"数据驱动、产调销一体"运营理念（"产调销"即生产运行—协同调控—市场交易的全流程一体化）：将资源精细化建模与动态聚合作为智能化"第一公里"，改变"看数据靠人、理数据靠表"的落后模式；以统一决策引擎打通全链路，实现状态感知→策略生成→调度执行→收益结算的自动化闭环，打破当前"三段割裂、信息断层"的运营困局。</w:t>
      </w:r>
    </w:p>
    <w:p>
      <w:pPr>
        <w:pStyle w:val="Heading3"/>
      </w:pPr>
      <w:r>
        <w:rPr>
          <w:rFonts w:ascii="黑体" w:hAnsi="黑体" w:eastAsia="黑体"/>
          <w:b/>
          <w:sz w:val="24"/>
        </w:rPr>
        <w:t>创新点2（模式创新）：构建"算法赋能+多方协同+价值共享"的商业运营新模式</w:t>
      </w:r>
    </w:p>
    <w:p>
      <w:r>
        <w:rPr>
          <w:rFonts w:ascii="仿宋" w:hAnsi="仿宋" w:eastAsia="仿宋"/>
          <w:b w:val="0"/>
          <w:sz w:val="21"/>
        </w:rPr>
        <w:t>打破传统"设备厂商卖设备、软件厂商卖平台、运营商赚差价"的割裂模式，构建新型商业生态：建立"电网公司+虚拟电厂运营商+资源拥有者+技术服务商"四方协同机制；设计基于贡献度量化的收益分配机制，实现灵活性资源价值的精准量化与公平分配。通过智能算法提升市场收益，通过多元协同机制扩大资源规模，实现商业可持续。</w:t>
      </w:r>
    </w:p>
    <w:p>
      <w:pPr>
        <w:pStyle w:val="Heading3"/>
      </w:pPr>
      <w:r>
        <w:rPr>
          <w:rFonts w:ascii="黑体" w:hAnsi="黑体" w:eastAsia="黑体"/>
          <w:b/>
          <w:sz w:val="24"/>
        </w:rPr>
        <w:t>创新点3（技术创新）：构建三大核心技术体系</w:t>
      </w:r>
    </w:p>
    <w:p>
      <w:r>
        <w:rPr>
          <w:rFonts w:ascii="仿宋" w:hAnsi="仿宋" w:eastAsia="仿宋"/>
          <w:b/>
          <w:sz w:val="21"/>
        </w:rPr>
        <w:t>一是分布式资源精细化建模与动态聚合技术体系。</w:t>
      </w:r>
      <w:r>
        <w:rPr>
          <w:rFonts w:ascii="仿宋" w:hAnsi="仿宋" w:eastAsia="仿宋"/>
          <w:b w:val="0"/>
          <w:sz w:val="21"/>
        </w:rPr>
        <w:t xml:space="preserve"> 针对多类型异构资源响应特性差异大的难题，融合机器学习与混合优化算法实现单体资源精准建模；研发分层分区动态聚类算法，实现跨区域海量零散资源的自动分群与潜力量化，解决规模化聚合的技术瓶颈，资源建模效率较传统方法提升3倍以上。</w:t>
      </w:r>
    </w:p>
    <w:p>
      <w:r>
        <w:rPr>
          <w:rFonts w:ascii="仿宋" w:hAnsi="仿宋" w:eastAsia="仿宋"/>
          <w:b/>
          <w:sz w:val="21"/>
        </w:rPr>
        <w:t>二是多智能体分层博弈市场化交易决策技术体系。</w:t>
      </w:r>
      <w:r>
        <w:rPr>
          <w:rFonts w:ascii="仿宋" w:hAnsi="仿宋" w:eastAsia="仿宋"/>
          <w:b w:val="0"/>
          <w:sz w:val="21"/>
        </w:rPr>
        <w:t xml:space="preserve"> 构建"资源智能体—区域聚合智能体—虚拟电厂主体智能体"三层博弈决策框架，实现日前与实时多市场联合收益最优决策；支持电能量、调频、调峰三类市场的协同参与与风险对冲，交易策略综合收益较规则化策略提升20%以上。</w:t>
      </w:r>
    </w:p>
    <w:p>
      <w:r>
        <w:rPr>
          <w:rFonts w:ascii="仿宋" w:hAnsi="仿宋" w:eastAsia="仿宋"/>
          <w:b/>
          <w:sz w:val="21"/>
        </w:rPr>
        <w:t>三是云端—边缘—终端三级实时协同运行控制技术体系。</w:t>
      </w:r>
      <w:r>
        <w:rPr>
          <w:rFonts w:ascii="仿宋" w:hAnsi="仿宋" w:eastAsia="仿宋"/>
          <w:b w:val="0"/>
          <w:sz w:val="21"/>
        </w:rPr>
        <w:t xml:space="preserve"> 以模型预测控制与深度强化学习为核心，构建全域多时空尺度协同控制架构；终端侧实现设备边缘智能就地快速响应（秒级），边缘侧实现园区/片区集群协同优化（分钟级），云端对接电网调度实现多时间尺度无缝衔接，决策时延低于200毫秒，调度方案可执行率高于95%。</w:t>
      </w:r>
    </w:p>
    <w:p>
      <w:pPr>
        <w:pStyle w:val="Heading3"/>
      </w:pPr>
      <w:r>
        <w:rPr>
          <w:rFonts w:ascii="黑体" w:hAnsi="黑体" w:eastAsia="黑体"/>
          <w:b/>
          <w:sz w:val="24"/>
        </w:rPr>
        <w:t>创新点4（场景应用创新）：打造商业与工业双类型虚拟电厂示范标杆</w:t>
      </w:r>
    </w:p>
    <w:p>
      <w:r>
        <w:rPr>
          <w:rFonts w:ascii="仿宋" w:hAnsi="仿宋" w:eastAsia="仿宋"/>
          <w:b w:val="0"/>
          <w:sz w:val="21"/>
        </w:rPr>
        <w:t>依托上海商业负荷密集区域与山西工业负荷密集型园区两大典型场景，打造国内首个覆盖"商业负荷型+工业负荷型"双类型的虚拟电厂智能协同运营标杆：上海示范工程聚合商业可调资源不低于80万千瓦，重点面向城市商业区供电可靠性提升与新能源高效消纳；山西示范工程聚合工业可调资源不低于200万千瓦，重点面向工业园区能源成本降低与电网调峰辅助服务。两大示范形成互为补充、可复制推广的全套解决方案，为不同类型区域的虚拟电厂建设提供标杆参考。</w:t>
      </w:r>
    </w:p>
    <w:p>
      <w:pPr>
        <w:pStyle w:val="Heading2"/>
      </w:pPr>
      <w:r>
        <w:rPr>
          <w:rFonts w:ascii="黑体" w:hAnsi="黑体" w:eastAsia="黑体"/>
          <w:b/>
          <w:sz w:val="28"/>
        </w:rPr>
        <w:t>四、项目产出目标</w:t>
      </w:r>
    </w:p>
    <w:p>
      <w:r>
        <w:rPr>
          <w:rFonts w:ascii="仿宋" w:hAnsi="仿宋" w:eastAsia="仿宋"/>
          <w:b/>
          <w:sz w:val="21"/>
        </w:rPr>
        <w:t>技术成果</w:t>
      </w:r>
      <w:r>
        <w:rPr>
          <w:rFonts w:ascii="仿宋" w:hAnsi="仿宋" w:eastAsia="仿宋"/>
          <w:b w:val="0"/>
          <w:sz w:val="21"/>
        </w:rPr>
        <w:t>：成套虚拟电厂智能调控算法库、虚拟电厂智能运营平台系统、3～5项核心发明专利、虚拟电厂资源建模与聚合技术导则/标准草案；</w:t>
      </w:r>
    </w:p>
    <w:p>
      <w:r>
        <w:rPr>
          <w:rFonts w:ascii="仿宋" w:hAnsi="仿宋" w:eastAsia="仿宋"/>
          <w:b/>
          <w:sz w:val="21"/>
        </w:rPr>
        <w:t>产业落地</w:t>
      </w:r>
      <w:r>
        <w:rPr>
          <w:rFonts w:ascii="仿宋" w:hAnsi="仿宋" w:eastAsia="仿宋"/>
          <w:b w:val="0"/>
          <w:sz w:val="21"/>
        </w:rPr>
        <w:t>：上海商业负荷型示范工程聚合可调资源不低于80万千瓦，山西工业负荷型示范工程聚合可调资源不低于200万千瓦；示范区域新能源消纳能力提升10%以上，电网调峰成本显著下降，用户用能成本有效降低；</w:t>
      </w:r>
    </w:p>
    <w:p>
      <w:r>
        <w:rPr>
          <w:rFonts w:ascii="仿宋" w:hAnsi="仿宋" w:eastAsia="仿宋"/>
          <w:b/>
          <w:sz w:val="21"/>
        </w:rPr>
        <w:t>产业化价值</w:t>
      </w:r>
      <w:r>
        <w:rPr>
          <w:rFonts w:ascii="仿宋" w:hAnsi="仿宋" w:eastAsia="仿宋"/>
          <w:b w:val="0"/>
          <w:sz w:val="21"/>
        </w:rPr>
        <w:t>：形成国产化虚拟电厂整体解决方案，面向全国商业综合体、工业园区、城市配电网批量推广，预计带动相关产业投资超10亿元。</w:t>
      </w:r>
    </w:p>
    <w:p>
      <w:pPr>
        <w:pStyle w:val="Heading2"/>
      </w:pPr>
      <w:r>
        <w:rPr>
          <w:rFonts w:ascii="黑体" w:hAnsi="黑体" w:eastAsia="黑体"/>
          <w:b/>
          <w:sz w:val="28"/>
        </w:rPr>
        <w:t>五、资金情况</w:t>
      </w:r>
    </w:p>
    <w:p>
      <w:r>
        <w:rPr>
          <w:rFonts w:ascii="仿宋" w:hAnsi="仿宋" w:eastAsia="仿宋"/>
          <w:b w:val="0"/>
          <w:sz w:val="21"/>
        </w:rPr>
        <w:t>本项目总投资估算为</w:t>
      </w:r>
      <w:r>
        <w:rPr>
          <w:rFonts w:ascii="仿宋" w:hAnsi="仿宋" w:eastAsia="仿宋"/>
          <w:b/>
          <w:sz w:val="21"/>
        </w:rPr>
        <w:t>3000万元</w:t>
      </w:r>
      <w:r>
        <w:rPr>
          <w:rFonts w:ascii="仿宋" w:hAnsi="仿宋" w:eastAsia="仿宋"/>
          <w:b w:val="0"/>
          <w:sz w:val="21"/>
        </w:rPr>
        <w:t>，资金来源包括企业自筹、政府补助和合作单位投入三部分。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资金来源</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出资额（万元）</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占总额比例</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投资项目类型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企业自筹</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1800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核心技术研发、平台建设、示范工程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政府补助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国家能源局（试点补助）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900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示范工程建设、技术验证、成果推广</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合作单位投入</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高校/科研院所（折算）</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算法模型研发、人才投入、实验平台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各技术方向分配经费大致情况</w:t>
      </w:r>
      <w:r>
        <w:rPr>
          <w:rFonts w:ascii="仿宋" w:hAnsi="仿宋" w:eastAsia="仿宋"/>
          <w:b w:val="0"/>
          <w:sz w:val="21"/>
        </w:rPr>
        <w:t>（企业自筹1800万元+合作单位投入300万元）：</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承担单位</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分配经费（万元）</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占总经费比例</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主要用途</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南网综合能源公司（牵头单位）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平台研发、示范工程建设、项目管理、市场对接</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XX大学（资源建模与聚合算法研发）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600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20%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方向一算法研发、负荷预测、人才培养</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XX研究院（交易策略与标准研究）</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方向二交易决策算法研发、多市场协同机制研究、政策标准研究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XX科技公司（平台开发与控制系统）</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方向三控制算法落地、一体化智能运营平台软件开发、系统集成与测试</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其他参与单位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示范工程配套、数据支持、试验验证</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资金使用计划按年度分解</w:t>
      </w:r>
      <w:r>
        <w:rPr>
          <w:rFonts w:ascii="仿宋" w:hAnsi="仿宋" w:eastAsia="仿宋"/>
          <w:b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年度</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资金计划（万元）</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主要支出方向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2026年（第1年）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900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需求调研、资源响应特性建模、数据治理方案设计、分层分区聚类算法研发、平台架构设计</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2027年（第2年）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多智能体交易决策算法研发、云端—边缘—终端三级控制架构研发、平台核心模块开发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2028年（第3年）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700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上海+山西两大示范工程建设、平台集成联调、系统调试</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2029年（第4年）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平台部署与试运行、项目验收、成果推广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w:t>
            </w:r>
          </w:p>
        </w:tc>
      </w:tr>
    </w:tbl>
    <w:p>
      <w:pPr>
        <w:pStyle w:val="Heading2"/>
      </w:pPr>
      <w:r>
        <w:rPr>
          <w:rFonts w:ascii="黑体" w:hAnsi="黑体" w:eastAsia="黑体"/>
          <w:b/>
          <w:sz w:val="28"/>
        </w:rPr>
        <w:t>六、项目整体计划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计划开始时间</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预计工期（月）</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任务描述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项目启动与需求调研</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成立项目组，对上海、山西、深圳、广东虚拟电厂实际运营现状开展深度调研，明确技术需求和示范场景</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分布式资源响应特性建模与分层分区动态聚合算法研发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完成多类型资源响应特性数据库建设；研发分层分区动态聚类算法；完成建筑空调集群与电动汽车集群两个子方向算法开发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多智能体市场化交易决策算法研发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搭建分层博弈决策框架；完成日前与实时多市场联合优化决策算法研发；完成极端电价场景风险识别与自适应策略调整技术验证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云端—边缘—终端三级实时协同控制算法研发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2027年5月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完成三级调控架构设计；研发基于模型预测控制的边缘侧协同优化算法；研发基于深度强化学习的云端全域协同控制算法；完成数字孪生仿真验证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虚拟电厂智能运营平台核心模块开发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完成平台架构设计、三大核心技术方向算法集成、生产运行—协同调控—市场交易全链路闭环功能开发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上海商业负荷型虚拟电厂示范工程建设</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在上海商业负荷密集区域建设虚拟电厂运营中心，聚合可调资源规模不低于80万千瓦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山西工业负荷型虚拟电厂示范工程建设</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在山西典型工业园区建设虚拟电厂运营中心，聚合工业可调负荷与储能资源规模不低于200万千瓦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平台部署与两大示范工程试运行</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完成平台部署、调试，在上海与山西两大示范场景中开展不少于6个月的"产调销"一体化闭环试运行</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项目验收与成果推广</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准备验收材料，组织专家验收，形成可复制推广的虚拟电厂智能协同运营全套方案</w:t>
            </w:r>
          </w:p>
        </w:tc>
      </w:tr>
    </w:tbl>
    <w:p>
      <w:pPr>
        <w:pStyle w:val="Heading2"/>
      </w:pPr>
      <w:r>
        <w:rPr>
          <w:rFonts w:ascii="黑体" w:hAnsi="黑体" w:eastAsia="黑体"/>
          <w:b/>
          <w:sz w:val="28"/>
        </w:rPr>
        <w:t>七、待协调事项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待协调事项</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协调对象</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建议解决方案</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1</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上海示范工程接入资源协调（商业空调、充电桩、分布式光伏等）</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上海市发改委、商务委、商业楼宇物业、充电运营商</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联合政府主管部门召开资源接入协调会，明确接入补贴政策和收益分享机制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2</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山西示范工程接入资源协调（工业可中断负荷、厂内储能等）</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山西省能源局、工业园区管委会、高耗能工业企业</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依托现有工业需求响应政策，明确工业负荷参与虚拟电厂的补贴机制与考核豁免规则</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3</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电力市场交易资质与结算机制（上海、山西、广东）</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电力交易中心、能源监管办</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提前对接各地交易规则，完成虚拟电厂市场注册和结算协议签署</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4</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高校/科研院所合作协议签署</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XX大学、XX研究院</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加快合作协议审批流程，明确知识产权归属和成果共享机制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政府补助资金拨付进度</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国家能源局、地方能源主管部门</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按里程碑节点申请资金拨付，建立资金使用台账</w:t>
            </w:r>
          </w:p>
        </w:tc>
      </w:tr>
    </w:tbl>
    <w:p>
      <w:r>
        <w:rPr>
          <w:rFonts w:ascii="仿宋" w:hAnsi="仿宋" w:eastAsia="仿宋"/>
          <w:b/>
          <w:sz w:val="21"/>
        </w:rPr>
        <w:t>申报单位</w:t>
      </w:r>
      <w:r>
        <w:rPr>
          <w:rFonts w:ascii="仿宋" w:hAnsi="仿宋" w:eastAsia="仿宋"/>
          <w:b w:val="0"/>
          <w:sz w:val="21"/>
        </w:rPr>
        <w:t>：南网综合能源股份有限公司</w:t>
      </w:r>
    </w:p>
    <w:p>
      <w:r>
        <w:rPr>
          <w:rFonts w:ascii="仿宋" w:hAnsi="仿宋" w:eastAsia="仿宋"/>
          <w:b/>
          <w:sz w:val="21"/>
        </w:rPr>
        <w:t>申报日期</w:t>
      </w:r>
      <w:r>
        <w:rPr>
          <w:rFonts w:ascii="仿宋" w:hAnsi="仿宋" w:eastAsia="仿宋"/>
          <w:b w:val="0"/>
          <w:sz w:val="21"/>
        </w:rPr>
        <w:t>：2026年6月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