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科创中心超级个体模式方案</w:t>
      </w:r>
    </w:p>
    <w:p>
      <w:pPr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目  录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60" w:before="12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一、为什么要推进超级个体模式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效率革命的必然性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利用AI辅助编写报告、研究算法生成代码，能将个体能力放大数十倍。将原本需要数月的多团队协作压缩到极短的周期内完成，大幅降低项目成本，提升公司收益。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规模化交付能力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国网、南网每年科技项目数较多，从省公司到地市公司都有大量需求。团队的规模化有瓶颈（招人，培养，管理），但超级智能个体理论上可以支持无限并行的项目交付。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解决知识碎片化与流转断点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科技项目常被拆成算法研究、报告撰写、软件开发三部分，由不同的部门的人完成，信息衰减严重，每个人理解不一样。一个能贯通所有环节的超级个体，可以从底层数学推导到顶层代码架构，再到报告中的结论图表，进行端到端的无损传递和逻辑自洽验证。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 应对政策和市场的快速变化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电力行业政策变化快、市场需求变化快，智能个体可以第一时间学习并融入项目申报和执行中，响应速度快。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1.5 全流程一致性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有一个能全流程跟踪指导的角色，保持项目策划申报到投标执行的一致性。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1.6 降本增效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减少不同专业人员沟通成本和犯错成本。</w:t>
      </w:r>
    </w:p>
    <w:p>
      <w:pPr>
        <w:pStyle w:val="Heading1"/>
        <w:pageBreakBefore/>
        <w:spacing w:after="60" w:before="12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二、问题与挑战分析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当前工作流程的痛点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当前科技项目交付面临的主要问题是全流程断裂。研究设计与开发实现之间存在明显断层，导致以下问题：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沟通成本高：需求传递需要经过多次转译，信息衰减严重，业务理解与代码实现容易出现偏差。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迭代效率低：开发部门采用传统开发模式，需求变更响应周期长，无法满足科技项目快速迭代的要求。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交付质量难控：复杂业务逻辑和个性化需求难以准确传递给开发人员，交付成果与预期存在差距。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开发部门的局限性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传统开发部门的定位和模式难以适应科技项目的特殊要求：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成本效益考量：科技项目开发需求碎片化、个性化强，传统开发模式投入产出比低，开发部门承接意愿不足。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技术栈差异：科技项目需要快速原型开发、算法验证和模型集成，传统开发流程过于冗长。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业务理解断层：开发人员对业务场景理解深度不够，难以实现真正意义上的个性化开发。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业务边界模糊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当前科创中心与开发部门的职责划分不清晰，导致：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项目归属争议：涉及模型设计、demo开发等项目，到底由哪个部门承接缺乏明确依据。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资源竞争：核心技术人员被抽调参与不同项目，影响整体效率。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客户体验：多方协调增加沟通成本，影响客户满意度。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 核心难点——三人观点深度剖析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通过团队内部讨论，我们识别出以下核心挑战：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难点一：能力要求极高——“不可能三角”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。超级智能需要同时具备：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数学功底（算法）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电力系统专业知识（计量、营销、现货、负控...）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软件开发能力（设计、开发、测试、部署）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高质量学术写作能力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这类复合型人才市场上极少。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难点二：学习成本大——时间投入长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：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前期对产品设计、UI、开发、集成工具不熟悉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需要学习工作流程和常用工具的底层认知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需要不断尝试和筛选AI工具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需要熟悉AI的提示词和操作技巧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预计需要2年以上才能真正投入实战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难点三：交付质量与口碑风险——最底层挑战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：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AI“幻觉”：算法引用失败论文、代码存在隐患、报告给出错误结论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朗新30年靠口碑赢得客户，一旦出错影响巨大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科技项目必须跑真实业务数据，AI代码看似能跑通demo，但往往：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对真实业务场景理解不到位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数据适配性差，逻辑经不起实际数据校验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结论很容易失真、不准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难点四：单人认知盲区——缺乏交叉验证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：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一个人很容易陷入“局部最优”，缺乏多人的交叉验证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电网科技项目往往需要团队研讨的碰撞，单人很容易进入思维死角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难以应对客户的沟通、汇报、答辩、细节追问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难以面对评审专家的质疑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难点五：质量保障机制缺失——既是运动员又是裁判员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：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传统软件有需求、设计、测试等层层关卡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当所有环节集于一身时，无法自证交付的系统是可靠、可信的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工程伦理上就是巨大难题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难点六：合规红线——最难跨越的鸿沟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：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南方电网作为关乎国计民生的核心基础设施，对系统稳定性和数据安全有着极高的要求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所有系统部署在安全I区-安全V区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如果智能个体无法安全地跨越系统边界获取实时数据，它就会变成一个“睁眼瞎”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AI的“黑盒”特性难以通过南网严格的网络安全与数据合规性审查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 核心矛盾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不是“能不能快速写代码”，而是“AI代码扛不扛得住实际业务、真实数据的运行校验”。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AI编程灵活性高、出原型快，不用配一堆普通开发，靠几个超级个体就能把从创意、拆解、开发到成果沉淀全部闭环掉。但这里面最大的关键问题是：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科技项目哪怕不要求落地商用、不用上线实用化，也必须基于真实业务逻辑、跑实际业务数据，得出可信结论。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I生成的代码最大短板就在这，看似能跑通demo，但往往对真实业务场景理解不到位、数据适配性差、逻辑经不起实际数据校验，真拿真实业务数据一跑，模型结果、分析结论很容易失真、不准，根本支撑不了科技项目的论证要求。</w:t>
      </w:r>
    </w:p>
    <w:p>
      <w:pPr>
        <w:pStyle w:val="Heading1"/>
        <w:pageBreakBefore/>
        <w:spacing w:after="60" w:before="12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三、解决方案设计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核心理念：超级个体模式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我们提出“超级个体”概念，即培养和引进既具备深厚业务理解能力，又掌握AI编程技能的复合型人才。这类人才能够独立完成从需求分析、方案设计到代码实现的全流程工作，实现科技项目的闭环交付。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职能扩展方案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开发能力整合：将原有的算法研究、模型设计与开发实现进行整合，形成完整的技术闭环。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交付能力提升：建立从研究到落地的全流程交付能力，实现科技项目的一揽子服务。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个性化开发：针对科技项目个性化需求多的特点，建立敏捷开发模式，支持快速迭代和定制开发。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与开发部门的职责划分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建议按照项目类型进行职责划分：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表1 项目类型与承接部门划分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8"/>
        <w:gridCol w:w="2769"/>
        <w:gridCol w:w="2769"/>
      </w:tblGrid>
      <w:tr>
        <w:trPr>
          <w:tblHeader/>
        </w:trPr>
        <w:tc>
          <w:tcPr>
            <w:tcW w:type="dxa" w:w="2768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项目类型</w:t>
            </w:r>
          </w:p>
        </w:tc>
        <w:tc>
          <w:tcPr>
            <w:tcW w:type="dxa" w:w="2769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承接部门</w:t>
            </w:r>
          </w:p>
        </w:tc>
        <w:tc>
          <w:tcPr>
            <w:tcW w:type="dxa" w:w="2769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768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科技项目（含个性化开发）</w:t>
            </w:r>
          </w:p>
        </w:tc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科创中心</w:t>
            </w:r>
          </w:p>
        </w:tc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研究+开发一体化交付</w:t>
            </w:r>
          </w:p>
        </w:tc>
      </w:tr>
      <w:tr>
        <w:tc>
          <w:tcPr>
            <w:tcW w:type="dxa" w:w="2768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成熟产品开发与维护</w:t>
            </w:r>
          </w:p>
        </w:tc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开发部门</w:t>
            </w:r>
          </w:p>
        </w:tc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标准化、规模化软件开发</w:t>
            </w:r>
          </w:p>
        </w:tc>
      </w:tr>
      <w:tr>
        <w:tc>
          <w:tcPr>
            <w:tcW w:type="dxa" w:w="2768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大型系统集成项目</w:t>
            </w:r>
          </w:p>
        </w:tc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联合团队</w:t>
            </w:r>
          </w:p>
        </w:tc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科创中心负责算法模块，开发部门负责系统架构</w:t>
            </w:r>
          </w:p>
        </w:tc>
      </w:tr>
    </w:tbl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 AI编程赋能策略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适用场景：常规界面开发、基本数据库操作、简单业务逻辑、标准化模块实现。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AI辅助开发流程：需求描述→AI生成→人工审核→优化调整→质量验证。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关键控制点：复杂业务逻辑必须人工把控，输出质量需经过严格验证。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 超级个体的角色定位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咨询岗位在项目过程中的作用：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对于需求产品设计，可以提供原型初稿做优化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或者直接承担一部分产品原型设计工作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能够全流程跟踪指导，保持项目策划申报到投标执行的一致性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对于开发工作的定位：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不要求承担全部全栈开发工作，尤其是后端模型部署、数据库、接口等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开发工作的主要目的是帮助提供开发集成同事的效率、避免开发错误、实现算法研究到代码落地的快速转化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业务系统的复杂部分仍由专业开发团队负责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对于集成工作的定位：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主要是算法模块的集成和验证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不强求跨越系统边界获取实时数据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重点是原型验证和可行性论证</w:t>
      </w:r>
    </w:p>
    <w:p>
      <w:pPr>
        <w:pStyle w:val="Heading1"/>
        <w:pageBreakBefore/>
        <w:spacing w:after="60" w:before="12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四、人员配置方案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超级个体能力画像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业务理解能力：深入理解科技项目业务逻辑，能够准确把握客户需求和项目目标。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技术研究能力：具备算法设计、模型开发等技术研究能力，能够完成前沿技术探索。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AI编程能力：熟练掌握AI编程工具，能够利用AI辅助完成代码开发、调试和优化。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全栈思维：了解从需求到交付的完整流程，能够独立完成项目闭环。</w:t>
      </w:r>
    </w:p>
    <w:p>
      <w:pPr>
        <w:pStyle w:val="Heading1"/>
        <w:pageBreakBefore/>
        <w:spacing w:after="60" w:before="12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五、软件功能模块开发：能力要求与工作内容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 开发涉及的核心能力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需求理解能力：业务场景分析与建模、用户需求深度挖掘、功能边界清晰界定、非功能性需求识别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技术设计能力：系统架构设计、数据库设计、算法与业务逻辑设计、技术选型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编码实现能力：前端开发、后端开发、数据库开发、API设计与实现、第三方服务集成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测试验证能力：单元测试、集成测试、功能测试、性能测试、边界条件与异常场景测试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部署运维能力：开发环境与生产环境配置、部署脚本编写与自动化、监控日志与告警配置、故障排查与问题定位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 开发全流程工作内容</w:t>
      </w:r>
    </w:p>
    <w:p>
      <w:pPr>
        <w:pStyle w:val="Heading3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第一阶段：需求分析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与业务方深度沟通，明确功能目标和业务价值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编写需求规格说明书，明确功能范围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绘制功能原型或流程图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组织需求评审，确认需求基线</w:t>
      </w:r>
    </w:p>
    <w:p>
      <w:pPr>
        <w:pStyle w:val="Heading3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第二阶段：技术设计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系统架构设计、数据库设计、API接口设计、详细设计方案评审与确认</w:t>
      </w:r>
    </w:p>
    <w:p>
      <w:pPr>
        <w:pStyle w:val="Heading3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第三阶段：编码开发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开发环境搭建与配置、基础框架搭建、数据库表创建、后端接口开发、前端界面开发、核心算法实现、第三方服务集成</w:t>
      </w:r>
    </w:p>
    <w:p>
      <w:pPr>
        <w:pStyle w:val="Heading3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第四阶段：测试验证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代码Review、单元测试、集成测试、性能测试、Bug修复与回归测试</w:t>
      </w:r>
    </w:p>
    <w:p>
      <w:pPr>
        <w:pStyle w:val="Heading3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第五阶段：部署交付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部署文档编写、用户手册编写、上线部署、用户培训、后续运维与迭代优化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 AI辅助开发的适用场景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表2 AI辅助开发适用场景分析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03"/>
        <w:gridCol w:w="3003"/>
      </w:tblGrid>
      <w:tr>
        <w:trPr>
          <w:tblHeader/>
        </w:trPr>
        <w:tc>
          <w:tcPr>
            <w:tcW w:type="dxa" w:w="30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能力/工作</w:t>
            </w:r>
          </w:p>
        </w:tc>
        <w:tc>
          <w:tcPr>
            <w:tcW w:type="dxa" w:w="2303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AI可辅助程度</w:t>
            </w:r>
          </w:p>
        </w:tc>
        <w:tc>
          <w:tcPr>
            <w:tcW w:type="dxa" w:w="3003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3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需求分析</w:t>
            </w:r>
          </w:p>
        </w:tc>
        <w:tc>
          <w:tcPr>
            <w:tcW w:type="dxa" w:w="230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30-50%</w:t>
            </w:r>
          </w:p>
        </w:tc>
        <w:tc>
          <w:tcPr>
            <w:tcW w:type="dxa" w:w="300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AI可辅助生成需求模板、整理思路</w:t>
            </w:r>
          </w:p>
        </w:tc>
      </w:tr>
      <w:tr>
        <w:tc>
          <w:tcPr>
            <w:tcW w:type="dxa" w:w="3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架构设计</w:t>
            </w:r>
          </w:p>
        </w:tc>
        <w:tc>
          <w:tcPr>
            <w:tcW w:type="dxa" w:w="230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20-40%</w:t>
            </w:r>
          </w:p>
        </w:tc>
        <w:tc>
          <w:tcPr>
            <w:tcW w:type="dxa" w:w="300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AI可提供参考方案，需人工决策</w:t>
            </w:r>
          </w:p>
        </w:tc>
      </w:tr>
      <w:tr>
        <w:tc>
          <w:tcPr>
            <w:tcW w:type="dxa" w:w="3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数据库设计</w:t>
            </w:r>
          </w:p>
        </w:tc>
        <w:tc>
          <w:tcPr>
            <w:tcW w:type="dxa" w:w="230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60-80%</w:t>
            </w:r>
          </w:p>
        </w:tc>
        <w:tc>
          <w:tcPr>
            <w:tcW w:type="dxa" w:w="300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AI可辅助生成DDL语句</w:t>
            </w:r>
          </w:p>
        </w:tc>
      </w:tr>
      <w:tr>
        <w:tc>
          <w:tcPr>
            <w:tcW w:type="dxa" w:w="3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前端开发</w:t>
            </w:r>
          </w:p>
        </w:tc>
        <w:tc>
          <w:tcPr>
            <w:tcW w:type="dxa" w:w="230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70-90%</w:t>
            </w:r>
          </w:p>
        </w:tc>
        <w:tc>
          <w:tcPr>
            <w:tcW w:type="dxa" w:w="300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AI生成界面代码效果较好</w:t>
            </w:r>
          </w:p>
        </w:tc>
      </w:tr>
      <w:tr>
        <w:tc>
          <w:tcPr>
            <w:tcW w:type="dxa" w:w="3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后端逻辑</w:t>
            </w:r>
          </w:p>
        </w:tc>
        <w:tc>
          <w:tcPr>
            <w:tcW w:type="dxa" w:w="230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50-70%</w:t>
            </w:r>
          </w:p>
        </w:tc>
        <w:tc>
          <w:tcPr>
            <w:tcW w:type="dxa" w:w="300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简单CRUD效果好，复杂逻辑需审核</w:t>
            </w:r>
          </w:p>
        </w:tc>
      </w:tr>
      <w:tr>
        <w:tc>
          <w:tcPr>
            <w:tcW w:type="dxa" w:w="3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API开发</w:t>
            </w:r>
          </w:p>
        </w:tc>
        <w:tc>
          <w:tcPr>
            <w:tcW w:type="dxa" w:w="230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70-90%</w:t>
            </w:r>
          </w:p>
        </w:tc>
        <w:tc>
          <w:tcPr>
            <w:tcW w:type="dxa" w:w="300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标准化接口生成效果很好</w:t>
            </w:r>
          </w:p>
        </w:tc>
      </w:tr>
      <w:tr>
        <w:tc>
          <w:tcPr>
            <w:tcW w:type="dxa" w:w="3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测试用例</w:t>
            </w:r>
          </w:p>
        </w:tc>
        <w:tc>
          <w:tcPr>
            <w:tcW w:type="dxa" w:w="230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60-80%</w:t>
            </w:r>
          </w:p>
        </w:tc>
        <w:tc>
          <w:tcPr>
            <w:tcW w:type="dxa" w:w="300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AI可辅助生成测试用例</w:t>
            </w:r>
          </w:p>
        </w:tc>
      </w:tr>
      <w:tr>
        <w:tc>
          <w:tcPr>
            <w:tcW w:type="dxa" w:w="3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文档编写</w:t>
            </w:r>
          </w:p>
        </w:tc>
        <w:tc>
          <w:tcPr>
            <w:tcW w:type="dxa" w:w="230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80-95%</w:t>
            </w:r>
          </w:p>
        </w:tc>
        <w:tc>
          <w:tcPr>
            <w:tcW w:type="dxa" w:w="300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AI辅助文档生成效果非常好</w:t>
            </w:r>
          </w:p>
        </w:tc>
      </w:tr>
      <w:tr>
        <w:tc>
          <w:tcPr>
            <w:tcW w:type="dxa" w:w="3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Bug修复</w:t>
            </w:r>
          </w:p>
        </w:tc>
        <w:tc>
          <w:tcPr>
            <w:tcW w:type="dxa" w:w="230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50-70%</w:t>
            </w:r>
          </w:p>
        </w:tc>
        <w:tc>
          <w:tcPr>
            <w:tcW w:type="dxa" w:w="300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常见问题定位和修复效果较好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核心结论：AI在代码实现、文档编写、简单逻辑处理方面能力强，但架构设计、复杂业务逻辑、质量把控仍需人工主导。</w:t>
      </w:r>
    </w:p>
    <w:p>
      <w:pPr>
        <w:pStyle w:val="Heading1"/>
        <w:pageBreakBefore/>
        <w:spacing w:after="60" w:before="12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六、利弊综合分析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 核心优势（利）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实现全流程闭环：从研究→算法→模型→开发→交付，一站式完成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显著提升效率：AI辅助编程可提升开发效率2-3倍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深化业务理解：超级个体既懂业务又懂技术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增强市场竞争力：形成差异化竞争优势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加速创新落地：研究成果快速转化为可演示产品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成本效益优化：综合成本可降低15-25%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 潜在挑战（弊）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人员招聘与留存风险：复合型人才稀缺，培养周期长（2年以上）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能力覆盖局限性：复杂系统架构仍需团队协作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与开发部门的潜在冲突：职能划分可能引发资源竞争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技术与安全风险：AI生成代码质量需要严格审核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短期成本投入：超级个体薪酬高于普通开发人员30-50%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真实业务数据校验风险：AI生成内容难以通过实际数据验证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合规审查挑战：AI的“黑盒”特性难以通过南网合规性审查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6.3 利弊权衡结论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表3 利弊权衡综合分析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1806"/>
      </w:tblGrid>
      <w:tr>
        <w:trPr>
          <w:tblHeader/>
        </w:trPr>
        <w:tc>
          <w:tcPr>
            <w:tcW w:type="dxa" w:w="15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评估维度</w:t>
            </w:r>
          </w:p>
        </w:tc>
        <w:tc>
          <w:tcPr>
            <w:tcW w:type="dxa" w:w="25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利处</w:t>
            </w:r>
          </w:p>
        </w:tc>
        <w:tc>
          <w:tcPr>
            <w:tcW w:type="dxa" w:w="25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弊处</w:t>
            </w:r>
          </w:p>
        </w:tc>
        <w:tc>
          <w:tcPr>
            <w:tcW w:type="dxa" w:w="1806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综合判断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战略价值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实现闭环、提升竞争力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短期投入大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战略性投入，长期收益显著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运营效率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效率提升2-3倍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人员培训周期长（2年以上）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效率提升是核心竞争力，但需耐心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风险可控性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风险可通过机制管控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存在多维风险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建立完善机制后风险可控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业务契合度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完全契合科技项目特点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能力边界有限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高度契合，但需合理分工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交付质量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快速出原型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真实数据校验难通过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适用于论证类项目，落地需谨慎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结论：超级个体模式是科创中心实现战略突破的关键路径，但需要正视“AI代码扛不住实际业务、真实数据运行校验”这一核心瓶颈。建议从论证类、验证类项目起步，逐步建立能力，同时保持与开发部门的协作，确保交付质量。</w:t>
      </w:r>
    </w:p>
    <w:p>
      <w:pPr>
        <w:pStyle w:val="Heading1"/>
        <w:pageBreakBefore/>
        <w:spacing w:after="60" w:before="12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七、风险管控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7.1 主要风险识别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技术风险：AI生成代码质量不稳定，复杂业务逻辑处理能力有限。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人员风险：超级个体招聘难度大，培养周期长，存在人才流失风险。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组织风险：与开发部门的职责划分可能引发内部矛盾。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安全风险：直接使用AI生成内容进行生产交付存在质量和安全风险。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合规风险：AI的“黑盒”特性难以通过南网严格的网络安全与数据合规性审查。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质量风险：AI生成内容缺乏专业测试和交叉验证，存在交付隐患。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7.2 应对策略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技术风险应对：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建立分阶段验证机制，确保每个环节输出质量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复杂场景必须人工审核把关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持续关注AI技术发展，及时更新工具和方法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人员风险应对：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设计有竞争力的薪酬和成长通道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建立知识沉淀机制，降低人员依赖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培养后备人才，形成梯队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组织风险应对：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与公司管理层和开发部门充分沟通，争取支持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明确职责边界，形成书面协议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建立协作机制，实现优势互补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合规风险应对：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选择不影响生产系统的验证类项目试点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不强求跨越系统边界的实时数据获取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建立与开发部门的协作机制，确保系统集成安全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质量风险应对：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建立项目评审机制，确保算法、代码、报告的逻辑自洽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引入交叉验证环节，避免单人认知盲区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保留充分的评审记录，应对客户和专家质疑</w:t>
      </w:r>
    </w:p>
    <w:p>
      <w:pPr>
        <w:pStyle w:val="Heading1"/>
        <w:pageBreakBefore/>
        <w:spacing w:after="60" w:before="12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八、效率与成本分析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8.1 效率提升预期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沟通效率：减少需求传递环节，沟通效率提升30-50%。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开发效率：AI辅助编程可提升开发效率2-3倍。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迭代效率：敏捷开发模式支持快速迭代，需求响应周期缩短50%以上。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交付效率：全流程闭环减少等待时间，项目整体周期缩短20-30%。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8.2 成本效益分析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人力成本：超级个体薪酬水平高于普通开发人员，但考虑到效率提升，综合成本可降低15-25%。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沟通成本：减少多方协调，沟通成本显著降低。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机会成本：快速响应市场需求，抓住更多商业机会。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长期收益：建立核心能力壁垒，形成差异化竞争优势。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培训成本：前期投入大，预计需要2年以上的培养周期才能形成战斗力。</w:t>
      </w:r>
    </w:p>
    <w:p>
      <w:pPr>
        <w:pStyle w:val="Heading1"/>
        <w:pageBreakBefore/>
        <w:spacing w:after="60" w:before="12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九、方案总结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9.1 扩展职能边界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科创中心从单一的研究职能，扩展为研究+开发一体化交付。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9.2 创新用人模式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引进和培养既懂业务又懂AI编程的复合型人才——超级个体。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9.3 明晰业务边界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科技项目由科创中心一揽子承接，成熟产品开发由开发部门负责。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9.4 分步实施推进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从试点项目起步，逐步建立能力，最终实现规模化交付。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9.5 正视核心瓶颈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不是“能不能快速写代码”，而是“AI代码扛不扛得住实际业务、真实数据的运行校验”。这是方案成败的关键。</w:t>
      </w:r>
    </w:p>
    <w:sectPr>
      <w:footerReference w:type="default" r:id="rId7"/>
      <w:pgSz w:w="11906" w:h="16838" w:orient="portrait"/>
      <w:pgMar w:top="1440" w:right="1800" w:bottom="1440" w:left="1800" w:header="708" w:footer="99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20" w:line="360" w:lineRule="auto"/>
      <w:jc w:val="left"/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60" w:line="360" w:lineRule="auto"/>
      <w:jc w:val="left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60" w:line="360" w:lineRule="auto"/>
      <w:jc w:val="left"/>
      <w:outlineLvl w:val="2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2026-05-11T10:49:29.574Z</dcterms:created>
  <dcterms:modified xsi:type="dcterms:W3CDTF">2026-05-11T10:49:29.575Z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