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before="480" w:lineRule="auto"/>
        <w:rPr>
          <w:rFonts w:ascii="Source Sans Pro" w:cs="Source Sans Pro" w:eastAsia="Source Sans Pro" w:hAnsi="Source Sans Pro"/>
        </w:rPr>
      </w:pPr>
      <w:bookmarkStart w:colFirst="0" w:colLast="0" w:name="_rkiv42mz3lat" w:id="0"/>
      <w:bookmarkEnd w:id="0"/>
      <w:r w:rsidDel="00000000" w:rsidR="00000000" w:rsidRPr="00000000">
        <w:rPr>
          <w:rFonts w:ascii="Arial" w:cs="Arial" w:eastAsia="Arial" w:hAnsi="Arial"/>
          <w:rtl w:val="0"/>
        </w:rPr>
        <w:t xml:space="preserve">Вывод по расчётному заданию</w:t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svy194ilr8sj" w:id="1"/>
      <w:bookmarkEnd w:id="1"/>
      <w:r w:rsidDel="00000000" w:rsidR="00000000" w:rsidRPr="00000000">
        <w:rPr>
          <w:rFonts w:ascii="Arial" w:cs="Arial" w:eastAsia="Arial" w:hAnsi="Arial"/>
          <w:rtl w:val="0"/>
        </w:rPr>
        <w:t xml:space="preserve">Влияние методов выделения тренда волатильность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Согласно полученным результатам</w:t>
      </w:r>
      <w:r w:rsidDel="00000000" w:rsidR="00000000" w:rsidRPr="00000000">
        <w:rPr>
          <w:rFonts w:ascii="Arial" w:cs="Arial" w:eastAsia="Arial" w:hAnsi="Arial"/>
          <w:rtl w:val="0"/>
        </w:rPr>
        <w:t xml:space="preserve"> методология выделения тренда значительно влияет на измерения бизнес циклов:</w:t>
      </w:r>
    </w:p>
    <w:p w:rsidR="00000000" w:rsidDel="00000000" w:rsidP="00000000" w:rsidRDefault="00000000" w:rsidRPr="00000000" w14:paraId="00000004">
      <w:pPr>
        <w:numPr>
          <w:ilvl w:val="0"/>
          <w:numId w:val="5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Логлинейный метод показал наибольшие оценки волатильности</w:t>
      </w:r>
    </w:p>
    <w:p w:rsidR="00000000" w:rsidDel="00000000" w:rsidP="00000000" w:rsidRDefault="00000000" w:rsidRPr="00000000" w14:paraId="00000005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Логквадратичный метод показал высокие оценки волатильности</w:t>
      </w:r>
    </w:p>
    <w:p w:rsidR="00000000" w:rsidDel="00000000" w:rsidP="00000000" w:rsidRDefault="00000000" w:rsidRPr="00000000" w14:paraId="00000006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Фильтр Ходрика-Прескотта (λ=100) показал умеренные оценки волатильности</w:t>
      </w:r>
    </w:p>
    <w:p w:rsidR="00000000" w:rsidDel="00000000" w:rsidP="00000000" w:rsidRDefault="00000000" w:rsidRPr="00000000" w14:paraId="00000007">
      <w:pPr>
        <w:numPr>
          <w:ilvl w:val="0"/>
          <w:numId w:val="5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Фильтр Ходрика-Прескотта (λ=6,25) показал наименьшие оценки волатильности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Эта закономерность согласуется с объяснением M. Uribe, заключающимся в том, что фильтр Ходрика-Прескотта выделяет большую экономическую вариацию к трендовому компоненту, тем самым снижая измеряемую циклическую волатильность.</w:t>
      </w:r>
    </w:p>
    <w:p w:rsidR="00000000" w:rsidDel="00000000" w:rsidP="00000000" w:rsidRDefault="00000000" w:rsidRPr="00000000" w14:paraId="00000009">
      <w:pPr>
        <w:pStyle w:val="Heading2"/>
        <w:rPr/>
      </w:pPr>
      <w:bookmarkStart w:colFirst="0" w:colLast="0" w:name="_6x8vtal1mmbu" w:id="2"/>
      <w:bookmarkEnd w:id="2"/>
      <w:r w:rsidDel="00000000" w:rsidR="00000000" w:rsidRPr="00000000">
        <w:rPr>
          <w:rFonts w:ascii="Arial" w:cs="Arial" w:eastAsia="Arial" w:hAnsi="Arial"/>
          <w:rtl w:val="0"/>
        </w:rPr>
        <w:t xml:space="preserve">Оценка фактов M. Uribe</w:t>
      </w:r>
    </w:p>
    <w:p w:rsidR="00000000" w:rsidDel="00000000" w:rsidP="00000000" w:rsidRDefault="00000000" w:rsidRPr="00000000" w14:paraId="0000000A">
      <w:pPr>
        <w:pStyle w:val="Heading3"/>
        <w:rPr/>
      </w:pPr>
      <w:bookmarkStart w:colFirst="0" w:colLast="0" w:name="_o2n6mga9n7x" w:id="3"/>
      <w:bookmarkEnd w:id="3"/>
      <w:r w:rsidDel="00000000" w:rsidR="00000000" w:rsidRPr="00000000">
        <w:rPr>
          <w:rFonts w:ascii="Arial" w:cs="Arial" w:eastAsia="Arial" w:hAnsi="Arial"/>
          <w:rtl w:val="0"/>
        </w:rPr>
        <w:t xml:space="preserve">Подтвержденные факты</w:t>
      </w:r>
    </w:p>
    <w:p w:rsidR="00000000" w:rsidDel="00000000" w:rsidP="00000000" w:rsidRDefault="00000000" w:rsidRPr="00000000" w14:paraId="0000000B">
      <w:pPr>
        <w:pStyle w:val="Heading4"/>
        <w:spacing w:after="240" w:before="240" w:lineRule="auto"/>
        <w:rPr/>
      </w:pPr>
      <w:bookmarkStart w:colFirst="0" w:colLast="0" w:name="_gt5p1ll3z9bb" w:id="4"/>
      <w:bookmarkEnd w:id="4"/>
      <w:r w:rsidDel="00000000" w:rsidR="00000000" w:rsidRPr="00000000">
        <w:rPr>
          <w:rFonts w:ascii="Arial" w:cs="Arial" w:eastAsia="Arial" w:hAnsi="Arial"/>
          <w:rtl w:val="0"/>
        </w:rPr>
        <w:t xml:space="preserve">Факт 1.1: Высокая глобальная волатильность</w:t>
      </w:r>
    </w:p>
    <w:p w:rsidR="00000000" w:rsidDel="00000000" w:rsidP="00000000" w:rsidRDefault="00000000" w:rsidRPr="00000000" w14:paraId="0000000C">
      <w:pPr>
        <w:spacing w:after="240" w:before="240" w:lineRule="auto"/>
        <w:ind w:left="0" w:firstLine="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Волатильность ВВП США (1,30-4,98%) в самом деле в 2 (и более раз меньше) того же показателя для других стран: </w:t>
      </w:r>
    </w:p>
    <w:p w:rsidR="00000000" w:rsidDel="00000000" w:rsidP="00000000" w:rsidRDefault="00000000" w:rsidRPr="00000000" w14:paraId="0000000D">
      <w:pPr>
        <w:numPr>
          <w:ilvl w:val="0"/>
          <w:numId w:val="3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ЦАР (4,50-8,58%, в 3,5-6,6 раз выше)</w:t>
      </w:r>
    </w:p>
    <w:p w:rsidR="00000000" w:rsidDel="00000000" w:rsidP="00000000" w:rsidRDefault="00000000" w:rsidRPr="00000000" w14:paraId="0000000E">
      <w:pPr>
        <w:numPr>
          <w:ilvl w:val="0"/>
          <w:numId w:val="3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Греция (2,30-19,45%, в 1,8-14,9 раз выше)</w:t>
      </w:r>
    </w:p>
    <w:p w:rsidR="00000000" w:rsidDel="00000000" w:rsidP="00000000" w:rsidRDefault="00000000" w:rsidRPr="00000000" w14:paraId="0000000F">
      <w:pPr>
        <w:pStyle w:val="Heading4"/>
        <w:spacing w:after="240" w:before="240" w:lineRule="auto"/>
        <w:rPr/>
      </w:pPr>
      <w:bookmarkStart w:colFirst="0" w:colLast="0" w:name="_7angxynnsec1" w:id="5"/>
      <w:bookmarkEnd w:id="5"/>
      <w:r w:rsidDel="00000000" w:rsidR="00000000" w:rsidRPr="00000000">
        <w:rPr>
          <w:rFonts w:ascii="Arial" w:cs="Arial" w:eastAsia="Arial" w:hAnsi="Arial"/>
          <w:rtl w:val="0"/>
        </w:rPr>
        <w:t xml:space="preserve">Факт 1.3: Глобальное ранжирование волатильности</w:t>
      </w:r>
    </w:p>
    <w:p w:rsidR="00000000" w:rsidDel="00000000" w:rsidP="00000000" w:rsidRDefault="00000000" w:rsidRPr="00000000" w14:paraId="00000010">
      <w:pPr>
        <w:spacing w:after="240" w:before="240" w:lineRule="auto"/>
        <w:ind w:left="0" w:firstLine="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Приведённый порядок от наиболее до наименее волатильных показателей (импорт &gt; инвестиции &gt; экспорт &gt; госрасходы &gt; потребление &gt; выпуск) выполняется далеко не полностью и не для всех стран. Так, инвестиции неизменно являются наиболее волатильным компонентом, а госраходы и потребление - одни из наименее волатильных.</w:t>
      </w:r>
    </w:p>
    <w:p w:rsidR="00000000" w:rsidDel="00000000" w:rsidP="00000000" w:rsidRDefault="00000000" w:rsidRPr="00000000" w14:paraId="00000011">
      <w:pPr>
        <w:spacing w:after="240" w:before="240" w:lineRule="auto"/>
        <w:ind w:left="0" w:firstLine="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Тем не менее, при использовании фильтра Ходрика-Прескотта потребление менее волатильно в сравнении с ВВП. Более того, для всех методов выделения тренда импорт не является наиболее волатильным, особенно для Центральноафриканской Республики и Греции.</w:t>
      </w:r>
    </w:p>
    <w:p w:rsidR="00000000" w:rsidDel="00000000" w:rsidP="00000000" w:rsidRDefault="00000000" w:rsidRPr="00000000" w14:paraId="00000012">
      <w:pPr>
        <w:spacing w:after="240" w:before="240" w:lineRule="auto"/>
        <w:ind w:left="0" w:firstLine="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Данные из таблицы (на примере фильтра Ходрика-Прескотта λ=100):</w:t>
      </w:r>
    </w:p>
    <w:p w:rsidR="00000000" w:rsidDel="00000000" w:rsidP="00000000" w:rsidRDefault="00000000" w:rsidRPr="00000000" w14:paraId="00000013">
      <w:pPr>
        <w:numPr>
          <w:ilvl w:val="0"/>
          <w:numId w:val="6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Центральноафриканская Республика: Инвестиции (3,26) &gt; Госрасходы (2,18) &gt; Экспорт (1,60) &gt; Импорт (1,51) &gt; Потребление (1,23) &gt; ВВП (1,0)</w:t>
      </w:r>
    </w:p>
    <w:p w:rsidR="00000000" w:rsidDel="00000000" w:rsidP="00000000" w:rsidRDefault="00000000" w:rsidRPr="00000000" w14:paraId="00000014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Греция: Инвестиции (3,16) &gt; Экспорт (2,41) &gt; Импорт (2,09) &gt; Госрасходы (1,18) &gt;  Потребление (0,88) &gt; ВВП (1,0)</w:t>
      </w:r>
    </w:p>
    <w:p w:rsidR="00000000" w:rsidDel="00000000" w:rsidP="00000000" w:rsidRDefault="00000000" w:rsidRPr="00000000" w14:paraId="00000015">
      <w:pPr>
        <w:numPr>
          <w:ilvl w:val="0"/>
          <w:numId w:val="6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США: Экспорт (3,92) &gt; Импорт (3,36) &gt; Инвестиции (3,23) &gt; Госрасходы (1,37) &gt; Потребление (0,92) &gt; ВВП (1,0) </w:t>
      </w:r>
    </w:p>
    <w:p w:rsidR="00000000" w:rsidDel="00000000" w:rsidP="00000000" w:rsidRDefault="00000000" w:rsidRPr="00000000" w14:paraId="00000016">
      <w:pPr>
        <w:pStyle w:val="Heading4"/>
        <w:spacing w:after="240" w:before="240" w:lineRule="auto"/>
        <w:rPr/>
      </w:pPr>
      <w:bookmarkStart w:colFirst="0" w:colLast="0" w:name="_w4xcf3lhc95n" w:id="6"/>
      <w:bookmarkEnd w:id="6"/>
      <w:r w:rsidDel="00000000" w:rsidR="00000000" w:rsidRPr="00000000">
        <w:rPr>
          <w:rFonts w:ascii="Arial" w:cs="Arial" w:eastAsia="Arial" w:hAnsi="Arial"/>
          <w:rtl w:val="0"/>
        </w:rPr>
        <w:t xml:space="preserve">Факт 1.4: Процикличность компонентов совокупного спроса</w:t>
      </w:r>
    </w:p>
    <w:p w:rsidR="00000000" w:rsidDel="00000000" w:rsidP="00000000" w:rsidRDefault="00000000" w:rsidRPr="00000000" w14:paraId="00000017">
      <w:pPr>
        <w:spacing w:after="240" w:before="240" w:lineRule="auto"/>
        <w:ind w:left="0" w:firstLine="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Этот факт выполняется для всех показателей, методов и стран за исключением экспорта США с логквадратичным трендом (отрицательная корреляция -0,15), а также инвестиций Центральноафриканской Республики при логлинейном тренде (очень слабая корреляцию &lt;0,01).</w:t>
      </w:r>
    </w:p>
    <w:p w:rsidR="00000000" w:rsidDel="00000000" w:rsidP="00000000" w:rsidRDefault="00000000" w:rsidRPr="00000000" w14:paraId="00000018">
      <w:pPr>
        <w:pStyle w:val="Heading4"/>
        <w:spacing w:after="240" w:before="240" w:lineRule="auto"/>
        <w:rPr/>
      </w:pPr>
      <w:bookmarkStart w:colFirst="0" w:colLast="0" w:name="_tzzwecohyjio" w:id="7"/>
      <w:bookmarkEnd w:id="7"/>
      <w:r w:rsidDel="00000000" w:rsidR="00000000" w:rsidRPr="00000000">
        <w:rPr>
          <w:rFonts w:ascii="Arial" w:cs="Arial" w:eastAsia="Arial" w:hAnsi="Arial"/>
          <w:rtl w:val="0"/>
        </w:rPr>
        <w:t xml:space="preserve">Факт 1.8: Избыточная волатильность бедных/развивающихся стран</w:t>
      </w:r>
    </w:p>
    <w:p w:rsidR="00000000" w:rsidDel="00000000" w:rsidP="00000000" w:rsidRDefault="00000000" w:rsidRPr="00000000" w14:paraId="00000019">
      <w:pPr>
        <w:spacing w:after="240" w:before="240" w:lineRule="auto"/>
        <w:ind w:left="0" w:firstLine="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США в самом деле менее волатильна (часто более чем в 2 раза), чем Греция и Центральноафриканская Республика согласно всем методам выделения тренда.</w:t>
      </w:r>
    </w:p>
    <w:p w:rsidR="00000000" w:rsidDel="00000000" w:rsidP="00000000" w:rsidRDefault="00000000" w:rsidRPr="00000000" w14:paraId="0000001A">
      <w:pPr>
        <w:spacing w:after="240" w:before="240" w:lineRule="auto"/>
        <w:ind w:left="0" w:firstLine="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Единственное исключение - внешнеэкономические показатели (импорт и экспорт), которые менее волатильны для Греции чем для США. Возможной причиной этому могут быть ограниченная промышленная база, членство в Евросоюзе (отсутствие волатильности из-за колебания обменного курса), а также экономический кризис Греции.</w:t>
      </w:r>
    </w:p>
    <w:p w:rsidR="00000000" w:rsidDel="00000000" w:rsidP="00000000" w:rsidRDefault="00000000" w:rsidRPr="00000000" w14:paraId="0000001B">
      <w:pPr>
        <w:pStyle w:val="Heading4"/>
        <w:spacing w:after="240" w:before="240" w:lineRule="auto"/>
        <w:rPr/>
      </w:pPr>
      <w:bookmarkStart w:colFirst="0" w:colLast="0" w:name="_q77jwshv9p4b" w:id="8"/>
      <w:bookmarkEnd w:id="8"/>
      <w:r w:rsidDel="00000000" w:rsidR="00000000" w:rsidRPr="00000000">
        <w:rPr>
          <w:rFonts w:ascii="Arial" w:cs="Arial" w:eastAsia="Arial" w:hAnsi="Arial"/>
          <w:rtl w:val="0"/>
        </w:rPr>
        <w:t xml:space="preserve">Факт 1.10: Контрцикличность торгового баланса возрастает с доходом</w:t>
      </w:r>
    </w:p>
    <w:p w:rsidR="00000000" w:rsidDel="00000000" w:rsidP="00000000" w:rsidRDefault="00000000" w:rsidRPr="00000000" w14:paraId="0000001C">
      <w:pPr>
        <w:spacing w:after="240" w:before="240" w:lineRule="auto"/>
        <w:ind w:left="0" w:firstLine="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Торговый баланс действительно более контрцикличен в странах с высоким доходом. Так, согласно разным методам ранжирование идёт от ЦАР (-0,12 до +0,17) к Греции (-0,41 до -0,16) и к США (-0,58 до -0,47).</w:t>
      </w:r>
    </w:p>
    <w:p w:rsidR="00000000" w:rsidDel="00000000" w:rsidP="00000000" w:rsidRDefault="00000000" w:rsidRPr="00000000" w14:paraId="0000001D">
      <w:pPr>
        <w:pStyle w:val="Heading3"/>
        <w:rPr/>
      </w:pPr>
      <w:bookmarkStart w:colFirst="0" w:colLast="0" w:name="_kt9ongi3bzlu" w:id="9"/>
      <w:bookmarkEnd w:id="9"/>
      <w:r w:rsidDel="00000000" w:rsidR="00000000" w:rsidRPr="00000000">
        <w:rPr>
          <w:rFonts w:ascii="Arial" w:cs="Arial" w:eastAsia="Arial" w:hAnsi="Arial"/>
          <w:rtl w:val="0"/>
        </w:rPr>
        <w:t xml:space="preserve">Факты со смешанными доказательствами</w:t>
      </w:r>
    </w:p>
    <w:p w:rsidR="00000000" w:rsidDel="00000000" w:rsidP="00000000" w:rsidRDefault="00000000" w:rsidRPr="00000000" w14:paraId="0000001E">
      <w:pPr>
        <w:pStyle w:val="Heading4"/>
        <w:spacing w:after="240" w:before="240" w:lineRule="auto"/>
        <w:rPr/>
      </w:pPr>
      <w:bookmarkStart w:colFirst="0" w:colLast="0" w:name="_826mrr601y44" w:id="10"/>
      <w:bookmarkEnd w:id="10"/>
      <w:r w:rsidDel="00000000" w:rsidR="00000000" w:rsidRPr="00000000">
        <w:rPr>
          <w:rFonts w:ascii="Arial" w:cs="Arial" w:eastAsia="Arial" w:hAnsi="Arial"/>
          <w:rtl w:val="0"/>
        </w:rPr>
        <w:t xml:space="preserve">Факт 1.5: Контрцикличность торгового баланса</w:t>
      </w:r>
    </w:p>
    <w:p w:rsidR="00000000" w:rsidDel="00000000" w:rsidP="00000000" w:rsidRDefault="00000000" w:rsidRPr="00000000" w14:paraId="0000001F">
      <w:pPr>
        <w:spacing w:after="240" w:before="240" w:lineRule="auto"/>
        <w:ind w:left="0" w:firstLine="0"/>
        <w:rPr>
          <w:color w:val="434343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Утверждение сильно для США (корреляция от -0,58 до -0,47) и Греции (-от 0,41 до -0,16), но слабо для ЦАР (от -0,12 до +0,17).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4"/>
        <w:spacing w:after="240" w:before="240" w:lineRule="auto"/>
        <w:rPr/>
      </w:pPr>
      <w:bookmarkStart w:colFirst="0" w:colLast="0" w:name="_ma0xbeu1w9he" w:id="11"/>
      <w:bookmarkEnd w:id="11"/>
      <w:r w:rsidDel="00000000" w:rsidR="00000000" w:rsidRPr="00000000">
        <w:rPr>
          <w:rFonts w:ascii="Arial" w:cs="Arial" w:eastAsia="Arial" w:hAnsi="Arial"/>
          <w:rtl w:val="0"/>
        </w:rPr>
        <w:t xml:space="preserve">Факт 1.9: Менее сглаженное потребления в бедных странах</w:t>
      </w:r>
    </w:p>
    <w:p w:rsidR="00000000" w:rsidDel="00000000" w:rsidP="00000000" w:rsidRDefault="00000000" w:rsidRPr="00000000" w14:paraId="00000021">
      <w:pPr>
        <w:spacing w:after="240" w:before="240" w:lineRule="auto"/>
        <w:ind w:left="0" w:firstLine="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В то время как ЦАР соответствует закономерности (волатильность потребления в 1,23-1,50 больше волатильности ВВП), Греция (0,67-0,88) показывает более сильное сглаживание, чем США (0,87-1,07).</w:t>
      </w:r>
    </w:p>
    <w:p w:rsidR="00000000" w:rsidDel="00000000" w:rsidP="00000000" w:rsidRDefault="00000000" w:rsidRPr="00000000" w14:paraId="00000022">
      <w:pPr>
        <w:pStyle w:val="Heading3"/>
        <w:rPr/>
      </w:pPr>
      <w:bookmarkStart w:colFirst="0" w:colLast="0" w:name="_13u9g4ux2b59" w:id="12"/>
      <w:bookmarkEnd w:id="12"/>
      <w:r w:rsidDel="00000000" w:rsidR="00000000" w:rsidRPr="00000000">
        <w:rPr>
          <w:rFonts w:ascii="Arial" w:cs="Arial" w:eastAsia="Arial" w:hAnsi="Arial"/>
          <w:rtl w:val="0"/>
        </w:rPr>
        <w:t xml:space="preserve">Неподтвержденные факты</w:t>
      </w:r>
    </w:p>
    <w:p w:rsidR="00000000" w:rsidDel="00000000" w:rsidP="00000000" w:rsidRDefault="00000000" w:rsidRPr="00000000" w14:paraId="00000023">
      <w:pPr>
        <w:pStyle w:val="Heading4"/>
        <w:spacing w:after="240" w:before="240" w:lineRule="auto"/>
        <w:rPr/>
      </w:pPr>
      <w:bookmarkStart w:colFirst="0" w:colLast="0" w:name="_i0iq88dlac9j" w:id="13"/>
      <w:bookmarkEnd w:id="13"/>
      <w:r w:rsidDel="00000000" w:rsidR="00000000" w:rsidRPr="00000000">
        <w:rPr>
          <w:rFonts w:ascii="Arial" w:cs="Arial" w:eastAsia="Arial" w:hAnsi="Arial"/>
          <w:rtl w:val="0"/>
        </w:rPr>
        <w:t xml:space="preserve">Факт 1.2: Высокая волатильность госрасходов</w:t>
      </w:r>
    </w:p>
    <w:p w:rsidR="00000000" w:rsidDel="00000000" w:rsidP="00000000" w:rsidRDefault="00000000" w:rsidRPr="00000000" w14:paraId="00000024">
      <w:pPr>
        <w:spacing w:after="240" w:before="240" w:lineRule="auto"/>
        <w:ind w:left="0" w:firstLine="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Только для ЦАР все методы показывают, что госрасходы в два раза более волатильны чем ВВП (1,98-2,31). Для Греции (1,12-1,25) и США (0,87-1,93) эти заключения не верны.</w:t>
      </w:r>
    </w:p>
    <w:p w:rsidR="00000000" w:rsidDel="00000000" w:rsidP="00000000" w:rsidRDefault="00000000" w:rsidRPr="00000000" w14:paraId="00000025">
      <w:pPr>
        <w:pStyle w:val="Heading4"/>
        <w:spacing w:after="240" w:before="240" w:lineRule="auto"/>
        <w:rPr/>
      </w:pPr>
      <w:bookmarkStart w:colFirst="0" w:colLast="0" w:name="_72ia9s8pqr7v" w:id="14"/>
      <w:bookmarkEnd w:id="14"/>
      <w:r w:rsidDel="00000000" w:rsidR="00000000" w:rsidRPr="00000000">
        <w:rPr>
          <w:rFonts w:ascii="Arial" w:cs="Arial" w:eastAsia="Arial" w:hAnsi="Arial"/>
          <w:rtl w:val="0"/>
        </w:rPr>
        <w:t xml:space="preserve">Факт 1.6: Ацикличность доли госрасходов</w:t>
      </w:r>
    </w:p>
    <w:p w:rsidR="00000000" w:rsidDel="00000000" w:rsidP="00000000" w:rsidRDefault="00000000" w:rsidRPr="00000000" w14:paraId="00000026">
      <w:pPr>
        <w:spacing w:after="240" w:before="240" w:lineRule="auto"/>
        <w:ind w:left="0" w:firstLine="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Все методы кроме логлинейного показывают значительное контрциклическое поведение доли госраходов для всех стран:</w:t>
      </w:r>
    </w:p>
    <w:p w:rsidR="00000000" w:rsidDel="00000000" w:rsidP="00000000" w:rsidRDefault="00000000" w:rsidRPr="00000000" w14:paraId="00000027">
      <w:pPr>
        <w:numPr>
          <w:ilvl w:val="0"/>
          <w:numId w:val="4"/>
        </w:numPr>
        <w:spacing w:after="0" w:afterAutospacing="0" w:before="240" w:lineRule="auto"/>
        <w:ind w:left="720" w:hanging="360"/>
        <w:rPr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ЦАР: от -0,54 до -0,43</w:t>
      </w:r>
    </w:p>
    <w:p w:rsidR="00000000" w:rsidDel="00000000" w:rsidP="00000000" w:rsidRDefault="00000000" w:rsidRPr="00000000" w14:paraId="00000028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Греция: от -0,57 до +0,34</w:t>
      </w:r>
    </w:p>
    <w:p w:rsidR="00000000" w:rsidDel="00000000" w:rsidP="00000000" w:rsidRDefault="00000000" w:rsidRPr="00000000" w14:paraId="00000029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США: от -0,80 до +0,05</w:t>
      </w:r>
    </w:p>
    <w:p w:rsidR="00000000" w:rsidDel="00000000" w:rsidP="00000000" w:rsidRDefault="00000000" w:rsidRPr="00000000" w14:paraId="0000002A">
      <w:pPr>
        <w:pStyle w:val="Heading4"/>
        <w:spacing w:after="240" w:before="240" w:lineRule="auto"/>
        <w:rPr/>
      </w:pPr>
      <w:bookmarkStart w:colFirst="0" w:colLast="0" w:name="_85x7hqg6162g" w:id="15"/>
      <w:bookmarkEnd w:id="15"/>
      <w:r w:rsidDel="00000000" w:rsidR="00000000" w:rsidRPr="00000000">
        <w:rPr>
          <w:rFonts w:ascii="Arial" w:cs="Arial" w:eastAsia="Arial" w:hAnsi="Arial"/>
          <w:rtl w:val="0"/>
        </w:rPr>
        <w:t xml:space="preserve">Факт 1.11: Контрцикличность госрасходов возрастает с доходом</w:t>
      </w:r>
    </w:p>
    <w:p w:rsidR="00000000" w:rsidDel="00000000" w:rsidP="00000000" w:rsidRDefault="00000000" w:rsidRPr="00000000" w14:paraId="0000002B">
      <w:pPr>
        <w:spacing w:after="240" w:before="240" w:lineRule="auto"/>
        <w:ind w:left="0" w:firstLine="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Полученные результаты не позволяют подтвердить эту закономерность: все методы за исключением фильтр Ходрика-Прескотта с  λ = 6.25 для ЦАР показывают более сильную контрцикличность, чем для других стран.</w:t>
      </w:r>
    </w:p>
    <w:p w:rsidR="00000000" w:rsidDel="00000000" w:rsidP="00000000" w:rsidRDefault="00000000" w:rsidRPr="00000000" w14:paraId="0000002C">
      <w:pPr>
        <w:pStyle w:val="Heading2"/>
        <w:keepNext w:val="0"/>
        <w:keepLines w:val="0"/>
        <w:rPr/>
      </w:pPr>
      <w:bookmarkStart w:colFirst="0" w:colLast="0" w:name="_kitgna6yekkr" w:id="16"/>
      <w:bookmarkEnd w:id="16"/>
      <w:r w:rsidDel="00000000" w:rsidR="00000000" w:rsidRPr="00000000">
        <w:rPr>
          <w:rFonts w:ascii="Arial" w:cs="Arial" w:eastAsia="Arial" w:hAnsi="Arial"/>
          <w:rtl w:val="0"/>
        </w:rPr>
        <w:t xml:space="preserve">Особенности стран</w:t>
      </w:r>
    </w:p>
    <w:p w:rsidR="00000000" w:rsidDel="00000000" w:rsidP="00000000" w:rsidRDefault="00000000" w:rsidRPr="00000000" w14:paraId="0000002D">
      <w:pPr>
        <w:pStyle w:val="Heading3"/>
        <w:spacing w:after="240" w:before="240" w:lineRule="auto"/>
        <w:rPr/>
      </w:pPr>
      <w:bookmarkStart w:colFirst="0" w:colLast="0" w:name="_cdac1bxlgg08" w:id="17"/>
      <w:bookmarkEnd w:id="17"/>
      <w:r w:rsidDel="00000000" w:rsidR="00000000" w:rsidRPr="00000000">
        <w:rPr>
          <w:rFonts w:ascii="Arial" w:cs="Arial" w:eastAsia="Arial" w:hAnsi="Arial"/>
          <w:rtl w:val="0"/>
        </w:rPr>
        <w:t xml:space="preserve">Центральноафриканская Республика (бедная страна)</w:t>
      </w:r>
    </w:p>
    <w:p w:rsidR="00000000" w:rsidDel="00000000" w:rsidP="00000000" w:rsidRDefault="00000000" w:rsidRPr="00000000" w14:paraId="0000002E">
      <w:pPr>
        <w:numPr>
          <w:ilvl w:val="0"/>
          <w:numId w:val="8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Стабильно высокая волатильность по всем методам (4,50-8,58%)</w:t>
      </w:r>
    </w:p>
    <w:p w:rsidR="00000000" w:rsidDel="00000000" w:rsidP="00000000" w:rsidRDefault="00000000" w:rsidRPr="00000000" w14:paraId="0000002F">
      <w:pPr>
        <w:numPr>
          <w:ilvl w:val="0"/>
          <w:numId w:val="8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Слабо сглаженное потребление (σc/σy: 1,23-1,50)</w:t>
      </w:r>
    </w:p>
    <w:p w:rsidR="00000000" w:rsidDel="00000000" w:rsidP="00000000" w:rsidRDefault="00000000" w:rsidRPr="00000000" w14:paraId="00000030">
      <w:pPr>
        <w:spacing w:after="240" w:before="240" w:lineRule="auto"/>
        <w:ind w:left="0" w:firstLine="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Повышенная волатильность можно объяснить "нестабильными экономическими институтами" согласно M. Uribe. В самом деле, на территории ЦАР до сих пор идёт гражданская война.</w:t>
      </w:r>
    </w:p>
    <w:p w:rsidR="00000000" w:rsidDel="00000000" w:rsidP="00000000" w:rsidRDefault="00000000" w:rsidRPr="00000000" w14:paraId="00000031">
      <w:pPr>
        <w:pStyle w:val="Heading3"/>
        <w:spacing w:after="240" w:before="240" w:lineRule="auto"/>
        <w:rPr/>
      </w:pPr>
      <w:bookmarkStart w:colFirst="0" w:colLast="0" w:name="_ru2acplvcux1" w:id="18"/>
      <w:bookmarkEnd w:id="18"/>
      <w:r w:rsidDel="00000000" w:rsidR="00000000" w:rsidRPr="00000000">
        <w:rPr>
          <w:rFonts w:ascii="Arial" w:cs="Arial" w:eastAsia="Arial" w:hAnsi="Arial"/>
          <w:rtl w:val="0"/>
        </w:rPr>
        <w:t xml:space="preserve">Греция (развивающаяся страна)</w:t>
      </w:r>
    </w:p>
    <w:p w:rsidR="00000000" w:rsidDel="00000000" w:rsidP="00000000" w:rsidRDefault="00000000" w:rsidRPr="00000000" w14:paraId="00000032">
      <w:pPr>
        <w:numPr>
          <w:ilvl w:val="0"/>
          <w:numId w:val="7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Высокая </w:t>
      </w:r>
      <w:r w:rsidDel="00000000" w:rsidR="00000000" w:rsidRPr="00000000">
        <w:rPr>
          <w:rFonts w:ascii="Arial" w:cs="Arial" w:eastAsia="Arial" w:hAnsi="Arial"/>
          <w:rtl w:val="0"/>
        </w:rPr>
        <w:t xml:space="preserve">чувствительность волатильности к методу выделения тренда (2,30-19,45%)</w:t>
      </w:r>
    </w:p>
    <w:p w:rsidR="00000000" w:rsidDel="00000000" w:rsidP="00000000" w:rsidRDefault="00000000" w:rsidRPr="00000000" w14:paraId="00000033">
      <w:pPr>
        <w:numPr>
          <w:ilvl w:val="0"/>
          <w:numId w:val="7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Смешанные результаты, иногда напоминающие характеристики богатых стран</w:t>
      </w:r>
    </w:p>
    <w:p w:rsidR="00000000" w:rsidDel="00000000" w:rsidP="00000000" w:rsidRDefault="00000000" w:rsidRPr="00000000" w14:paraId="00000034">
      <w:pPr>
        <w:pStyle w:val="Heading3"/>
        <w:spacing w:after="240" w:before="240" w:lineRule="auto"/>
        <w:rPr/>
      </w:pPr>
      <w:bookmarkStart w:colFirst="0" w:colLast="0" w:name="_sr0sk6nujil6" w:id="19"/>
      <w:bookmarkEnd w:id="19"/>
      <w:r w:rsidDel="00000000" w:rsidR="00000000" w:rsidRPr="00000000">
        <w:rPr>
          <w:rFonts w:ascii="Arial" w:cs="Arial" w:eastAsia="Arial" w:hAnsi="Arial"/>
          <w:rtl w:val="0"/>
        </w:rPr>
        <w:t xml:space="preserve">США (богатая страна)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spacing w:after="240" w:before="24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Наименьшая и наиболее стабильная волатильность по всем методам (1,30-4,98%)</w:t>
      </w:r>
    </w:p>
    <w:p w:rsidR="00000000" w:rsidDel="00000000" w:rsidP="00000000" w:rsidRDefault="00000000" w:rsidRPr="00000000" w14:paraId="00000036">
      <w:pPr>
        <w:spacing w:after="240" w:before="240" w:lineRule="auto"/>
        <w:ind w:left="0" w:firstLine="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В целом страна соответствует характеристике стабильных бизнес циклов.</w:t>
      </w:r>
    </w:p>
    <w:p w:rsidR="00000000" w:rsidDel="00000000" w:rsidP="00000000" w:rsidRDefault="00000000" w:rsidRPr="00000000" w14:paraId="00000037">
      <w:pPr>
        <w:pStyle w:val="Heading2"/>
        <w:spacing w:after="240" w:before="240" w:lineRule="auto"/>
        <w:rPr/>
      </w:pPr>
      <w:bookmarkStart w:colFirst="0" w:colLast="0" w:name="_5gbd10n95z59" w:id="20"/>
      <w:bookmarkEnd w:id="20"/>
      <w:r w:rsidDel="00000000" w:rsidR="00000000" w:rsidRPr="00000000">
        <w:rPr>
          <w:rFonts w:ascii="Arial" w:cs="Arial" w:eastAsia="Arial" w:hAnsi="Arial"/>
          <w:rtl w:val="0"/>
        </w:rPr>
        <w:t xml:space="preserve">Ограничения</w:t>
      </w:r>
    </w:p>
    <w:p w:rsidR="00000000" w:rsidDel="00000000" w:rsidP="00000000" w:rsidRDefault="00000000" w:rsidRPr="00000000" w14:paraId="00000038">
      <w:pPr>
        <w:numPr>
          <w:ilvl w:val="0"/>
          <w:numId w:val="2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Маленький размер выборки (3 страны против 120 в документе)</w:t>
      </w:r>
    </w:p>
    <w:p w:rsidR="00000000" w:rsidDel="00000000" w:rsidP="00000000" w:rsidRDefault="00000000" w:rsidRPr="00000000" w14:paraId="00000039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Особенности стран, вызывающие отклонения от усредённых данных</w:t>
      </w:r>
    </w:p>
    <w:p w:rsidR="00000000" w:rsidDel="00000000" w:rsidP="00000000" w:rsidRDefault="00000000" w:rsidRPr="00000000" w14:paraId="0000003A">
      <w:pPr>
        <w:numPr>
          <w:ilvl w:val="0"/>
          <w:numId w:val="2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Временной период отличный от анализа M. Uribe</w:t>
      </w:r>
    </w:p>
    <w:p w:rsidR="00000000" w:rsidDel="00000000" w:rsidP="00000000" w:rsidRDefault="00000000" w:rsidRPr="00000000" w14:paraId="0000003B">
      <w:pPr>
        <w:pStyle w:val="Heading2"/>
        <w:spacing w:after="240" w:before="240" w:lineRule="auto"/>
        <w:rPr/>
      </w:pPr>
      <w:bookmarkStart w:colFirst="0" w:colLast="0" w:name="_9yl44yk0e35" w:id="21"/>
      <w:bookmarkEnd w:id="21"/>
      <w:r w:rsidDel="00000000" w:rsidR="00000000" w:rsidRPr="00000000">
        <w:rPr>
          <w:rFonts w:ascii="Arial" w:cs="Arial" w:eastAsia="Arial" w:hAnsi="Arial"/>
          <w:rtl w:val="0"/>
        </w:rPr>
        <w:t xml:space="preserve">Диаграммы сравнения реального ВВП и выделенных трендов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/>
        <w:drawing>
          <wp:inline distB="114300" distT="114300" distL="114300" distR="114300">
            <wp:extent cx="5400000" cy="4266000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26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/>
        <w:drawing>
          <wp:inline distB="114300" distT="114300" distL="114300" distR="114300">
            <wp:extent cx="5400000" cy="42660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26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/>
        <w:drawing>
          <wp:inline distB="114300" distT="114300" distL="114300" distR="114300">
            <wp:extent cx="5400000" cy="4284118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28411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Open Sans Medium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Source Sans Pro"/>
  <w:font w:name="Open Sans Light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Open Sans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Source Sans Pro" w:cs="Source Sans Pro" w:eastAsia="Source Sans Pro" w:hAnsi="Source Sans Pro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rFonts w:ascii="Open Sans" w:cs="Open Sans" w:eastAsia="Open Sans" w:hAnsi="Open Sans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rFonts w:ascii="Source Sans Pro" w:cs="Source Sans Pro" w:eastAsia="Source Sans Pro" w:hAnsi="Source Sans Pro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  <w:jc w:val="center"/>
    </w:pPr>
    <w:rPr>
      <w:rFonts w:ascii="Open Sans Light" w:cs="Open Sans Light" w:eastAsia="Open Sans Light" w:hAnsi="Open Sans Light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  <w:jc w:val="center"/>
    </w:pPr>
    <w:rPr>
      <w:rFonts w:ascii="Open Sans Medium" w:cs="Open Sans Medium" w:eastAsia="Open Sans Medium" w:hAnsi="Open Sans Medium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OpenSansMedium-regular.ttf"/><Relationship Id="rId2" Type="http://schemas.openxmlformats.org/officeDocument/2006/relationships/font" Target="fonts/OpenSansMedium-bold.ttf"/><Relationship Id="rId3" Type="http://schemas.openxmlformats.org/officeDocument/2006/relationships/font" Target="fonts/OpenSansMedium-italic.ttf"/><Relationship Id="rId4" Type="http://schemas.openxmlformats.org/officeDocument/2006/relationships/font" Target="fonts/OpenSansMedium-boldItalic.ttf"/><Relationship Id="rId11" Type="http://schemas.openxmlformats.org/officeDocument/2006/relationships/font" Target="fonts/OpenSans-italic.ttf"/><Relationship Id="rId10" Type="http://schemas.openxmlformats.org/officeDocument/2006/relationships/font" Target="fonts/OpenSans-bold.ttf"/><Relationship Id="rId12" Type="http://schemas.openxmlformats.org/officeDocument/2006/relationships/font" Target="fonts/OpenSans-boldItalic.ttf"/><Relationship Id="rId9" Type="http://schemas.openxmlformats.org/officeDocument/2006/relationships/font" Target="fonts/OpenSans-regular.ttf"/><Relationship Id="rId5" Type="http://schemas.openxmlformats.org/officeDocument/2006/relationships/font" Target="fonts/OpenSansLight-regular.ttf"/><Relationship Id="rId6" Type="http://schemas.openxmlformats.org/officeDocument/2006/relationships/font" Target="fonts/OpenSansLight-bold.ttf"/><Relationship Id="rId7" Type="http://schemas.openxmlformats.org/officeDocument/2006/relationships/font" Target="fonts/OpenSansLight-italic.ttf"/><Relationship Id="rId8" Type="http://schemas.openxmlformats.org/officeDocument/2006/relationships/font" Target="fonts/OpenSansLight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