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Source Sans Pro" w:cs="Source Sans Pro" w:eastAsia="Source Sans Pro" w:hAnsi="Source Sans Pro"/>
        </w:rPr>
      </w:pPr>
      <w:bookmarkStart w:colFirst="0" w:colLast="0" w:name="_rkiv42mz3lat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Вывод по расчётному заданию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vy194ilr8sj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Влияние методов выделения тренда волатильность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Согласно полученным результатам</w:t>
      </w:r>
      <w:r w:rsidDel="00000000" w:rsidR="00000000" w:rsidRPr="00000000">
        <w:rPr>
          <w:rFonts w:ascii="Arial" w:cs="Arial" w:eastAsia="Arial" w:hAnsi="Arial"/>
          <w:rtl w:val="0"/>
        </w:rPr>
        <w:t xml:space="preserve"> методология выделения тренда значительно влияет на измерения бизнес циклов: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Логлинейный метод показал наибольшие оценки волатильности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Логквадратичный метод показал высокие оценки волатильности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Фильтр Ходрика-Прескотта (λ=100) показал умеренные оценки волатильности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Фильтр Ходрика-Прескотта (λ=6,25) показал наименьшие оценки волатильности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Эта закономерность согласуется с объяснением M. Uribe, заключающимся в том, что фильтр Ходрика-Прескотта выделяет большую экономическую вариацию к трендовому компоненту, тем самым снижая измеряемую циклическую волатильность.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x8vtal1mmb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Оценка фактов M. Uribe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2n6mga9n7x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Подтвержденные факты</w:t>
      </w:r>
    </w:p>
    <w:p w:rsidR="00000000" w:rsidDel="00000000" w:rsidP="00000000" w:rsidRDefault="00000000" w:rsidRPr="00000000" w14:paraId="0000000B">
      <w:pPr>
        <w:pStyle w:val="Heading4"/>
        <w:spacing w:after="240" w:before="240" w:lineRule="auto"/>
        <w:rPr/>
      </w:pPr>
      <w:bookmarkStart w:colFirst="0" w:colLast="0" w:name="_gt5p1ll3z9bb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Факт 1.1: Высокая глобальная волатильность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Волатильность ВВП США (1,30-4,98%) в самом деле в 2 (и более раз меньше) того же показателя для других стран: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ЦАР (4,50-8,58%, в 3,5-6,6 раз выше)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Греция (2,30-19,45%, в 1,8-14,9 раз выше)</w:t>
      </w:r>
    </w:p>
    <w:p w:rsidR="00000000" w:rsidDel="00000000" w:rsidP="00000000" w:rsidRDefault="00000000" w:rsidRPr="00000000" w14:paraId="0000000F">
      <w:pPr>
        <w:pStyle w:val="Heading4"/>
        <w:spacing w:after="240" w:before="240" w:lineRule="auto"/>
        <w:rPr/>
      </w:pPr>
      <w:bookmarkStart w:colFirst="0" w:colLast="0" w:name="_7angxynnsec1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Факт 1.3: Глобальное ранжирование волатильности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Приведённый порядок от наиболее до наименее волатильных показателей (импорт &gt; инвестиции &gt; экспорт &gt; госрасходы &gt; потребление &gt; выпуск) выполняется далеко не полностью и не для всех стран. Так, инвестиции неизменно являются наиболее волатильным компонентом, а госраходы и потребление - одни из наименее волатильных.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Тем не менее, при использовании фильтра Ходрика-Прескотта потребление менее волатильно в сравнении с ВВП. Более того, для всех методов выделения тренда импорт не является наиболее волатильным, особенно для Центральноафриканской Республики и Греции.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Данные из таблицы (на примере фильтра Ходрика-Прескотта λ=100):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Центральноафриканская Республика: Инвестиции (3,26) &gt; Госрасходы (2,18) &gt; Экспорт (1,60) &gt; Импорт (1,51) &gt; Потребление (1,23) &gt; ВВП (1,0)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Греция: Инвестиции (3,16) &gt; Экспорт (2,41) &gt; Импорт (2,09) &gt; Госрасходы (1,18) &gt;  Потребление (0,88) &gt; ВВП (1,0)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США: Экспорт (3,92) &gt; Импорт (3,36) &gt; Инвестиции (3,23) &gt; Госрасходы (1,37) &gt; Потребление (0,92) &gt; ВВП (1,0) </w:t>
      </w:r>
    </w:p>
    <w:p w:rsidR="00000000" w:rsidDel="00000000" w:rsidP="00000000" w:rsidRDefault="00000000" w:rsidRPr="00000000" w14:paraId="00000016">
      <w:pPr>
        <w:pStyle w:val="Heading4"/>
        <w:spacing w:after="240" w:before="240" w:lineRule="auto"/>
        <w:rPr/>
      </w:pPr>
      <w:bookmarkStart w:colFirst="0" w:colLast="0" w:name="_w4xcf3lhc95n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Факт 1.4: Процикличность компонентов совокупного спроса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Этот факт выполняется для всех показателей, методов и стран за исключением экспорта США с логквадратичным трендом (отрицательная корреляция -0,15), а также инвестиций Центральноафриканской Республики при логлинейном тренде (очень слабая корреляцию &lt;0,01).</w:t>
      </w:r>
    </w:p>
    <w:p w:rsidR="00000000" w:rsidDel="00000000" w:rsidP="00000000" w:rsidRDefault="00000000" w:rsidRPr="00000000" w14:paraId="00000018">
      <w:pPr>
        <w:pStyle w:val="Heading4"/>
        <w:spacing w:after="240" w:before="240" w:lineRule="auto"/>
        <w:rPr/>
      </w:pPr>
      <w:bookmarkStart w:colFirst="0" w:colLast="0" w:name="_tzzwecohyji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Факт 1.8: Избыточная волатильность бедных/развивающихся стран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США в самом деле менее волатильна (часто более чем в 2 раза), чем Греция и Центральноафриканская Республика согласно всем методам выделения тренда.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Единственное исключение - внешнеэкономические показатели (импорт и экспорт), которые менее волатильны для Греции чем для США. Возможной причиной этому могут быть ограниченная промышленная база, членство в Евросоюзе (отсутствие волатильности из-за колебания обменного курса), а также экономический кризис Греции.</w:t>
      </w:r>
    </w:p>
    <w:p w:rsidR="00000000" w:rsidDel="00000000" w:rsidP="00000000" w:rsidRDefault="00000000" w:rsidRPr="00000000" w14:paraId="0000001B">
      <w:pPr>
        <w:pStyle w:val="Heading4"/>
        <w:spacing w:after="240" w:before="240" w:lineRule="auto"/>
        <w:rPr/>
      </w:pPr>
      <w:bookmarkStart w:colFirst="0" w:colLast="0" w:name="_q77jwshv9p4b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Факт 1.10: Контрцикличность торгового баланса возрастает с доходом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Торговый баланс действительно более контрцикличен в странах с высоким доходом. Так, согласно разным методам ранжирование идёт от ЦАР (-0,12 до +0,17) к Греции (-0,41 до -0,16) и к США (-0,58 до -0,47).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kt9ongi3bzlu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Факты со смешанными доказательствами</w:t>
      </w:r>
    </w:p>
    <w:p w:rsidR="00000000" w:rsidDel="00000000" w:rsidP="00000000" w:rsidRDefault="00000000" w:rsidRPr="00000000" w14:paraId="0000001E">
      <w:pPr>
        <w:pStyle w:val="Heading4"/>
        <w:spacing w:after="240" w:before="240" w:lineRule="auto"/>
        <w:rPr/>
      </w:pPr>
      <w:bookmarkStart w:colFirst="0" w:colLast="0" w:name="_826mrr601y44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Факт 1.5: Контрцикличность торгового баланса и сальдо текущих операция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Утверждение сильно торгового баланса в случае США (корреляция от -0,58 до -0,47) и Греции (-от 0,41 до -0,16), но слабо в случае ЦАР (от -0,12 до +0,17).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то же время сальдо текущих операций контрциклично для всех стран и всех методов за исключением Греции при использовании методов выделения циклов, допускающих относительно высокую волатильность циклической компоненты  (все кроме фильтра Ходрика-Прескотта λ=6.25). В этом случае корреляция сальдо и ВВП близка к 0. Скорее всего это вызвано ограниченным набором данных (взяты единственные 17 лет, доступные для ЦАР), у которого выбросы и краткосрочные сильнее влияют на результат при использовании менее агрессивных методов.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spacing w:after="240" w:before="240" w:lineRule="auto"/>
        <w:rPr/>
      </w:pPr>
      <w:bookmarkStart w:colFirst="0" w:colLast="0" w:name="_ma0xbeu1w9he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Факт 1.9: Менее сглаженное потребления в бедных странах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 то время как ЦАР соответствует закономерности (волатильность потребления в 1,23-1,50 больше волатильности ВВП), Греция (0,67-0,88) показывает более сильное сглаживание, чем США (0,87-1,07).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3u9g4ux2b59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Неподтвержденные факты</w:t>
      </w:r>
    </w:p>
    <w:p w:rsidR="00000000" w:rsidDel="00000000" w:rsidP="00000000" w:rsidRDefault="00000000" w:rsidRPr="00000000" w14:paraId="00000024">
      <w:pPr>
        <w:pStyle w:val="Heading4"/>
        <w:spacing w:after="240" w:before="240" w:lineRule="auto"/>
        <w:rPr/>
      </w:pPr>
      <w:bookmarkStart w:colFirst="0" w:colLast="0" w:name="_i0iq88dlac9j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Факт 1.2: Высокая волатильность госрасходов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Только для ЦАР все методы показывают, что госрасходы в два раза более волатильны чем ВВП (1,98-2,31). Для Греции (1,12-1,25) и США (0,87-1,93) эти заключения не верны.</w:t>
      </w:r>
    </w:p>
    <w:p w:rsidR="00000000" w:rsidDel="00000000" w:rsidP="00000000" w:rsidRDefault="00000000" w:rsidRPr="00000000" w14:paraId="00000026">
      <w:pPr>
        <w:pStyle w:val="Heading4"/>
        <w:spacing w:after="240" w:before="240" w:lineRule="auto"/>
        <w:rPr/>
      </w:pPr>
      <w:bookmarkStart w:colFirst="0" w:colLast="0" w:name="_72ia9s8pqr7v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Факт 1.6: Ацикличность доли госрасходов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Все методы кроме логлинейного показывают значительное контрциклическое поведение доли госраходов для всех стран: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ЦАР: от -0,54 до -0,43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Греция: от -0,57 до +0,34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США: от -0,80 до +0,05</w:t>
      </w:r>
    </w:p>
    <w:p w:rsidR="00000000" w:rsidDel="00000000" w:rsidP="00000000" w:rsidRDefault="00000000" w:rsidRPr="00000000" w14:paraId="0000002B">
      <w:pPr>
        <w:pStyle w:val="Heading4"/>
        <w:spacing w:after="240" w:before="240" w:lineRule="auto"/>
        <w:rPr/>
      </w:pPr>
      <w:bookmarkStart w:colFirst="0" w:colLast="0" w:name="_85x7hqg6162g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Факт 1.11: Контрцикличность госрасходов возрастает с доходом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Полученные результаты не позволяют подтвердить эту закономерность: все методы за исключением фильтр Ходрика-Прескотта с  λ = 6.25 для ЦАР показывают более сильную контрцикличность, чем для других стран.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/>
      </w:pPr>
      <w:bookmarkStart w:colFirst="0" w:colLast="0" w:name="_kitgna6yekkr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Особенности стран</w:t>
      </w:r>
    </w:p>
    <w:p w:rsidR="00000000" w:rsidDel="00000000" w:rsidP="00000000" w:rsidRDefault="00000000" w:rsidRPr="00000000" w14:paraId="0000002E">
      <w:pPr>
        <w:pStyle w:val="Heading3"/>
        <w:spacing w:after="240" w:before="240" w:lineRule="auto"/>
        <w:rPr/>
      </w:pPr>
      <w:bookmarkStart w:colFirst="0" w:colLast="0" w:name="_cdac1bxlgg08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Центральноафриканская Республика (бедная страна)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Стабильно высокая волатильность по всем методам (4,50-8,58%)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Слабо сглаженное потребление (σc/σy: 1,23-1,50)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Повышенная волатильность можно объяснить "нестабильными экономическими институтами" согласно M. Uribe. В самом деле, на территории ЦАР до сих пор идёт гражданская война.</w:t>
      </w:r>
    </w:p>
    <w:p w:rsidR="00000000" w:rsidDel="00000000" w:rsidP="00000000" w:rsidRDefault="00000000" w:rsidRPr="00000000" w14:paraId="00000032">
      <w:pPr>
        <w:pStyle w:val="Heading3"/>
        <w:spacing w:after="240" w:before="240" w:lineRule="auto"/>
        <w:rPr/>
      </w:pPr>
      <w:bookmarkStart w:colFirst="0" w:colLast="0" w:name="_ru2acplvcux1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Греция (развивающаяся страна)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Высокая </w:t>
      </w:r>
      <w:r w:rsidDel="00000000" w:rsidR="00000000" w:rsidRPr="00000000">
        <w:rPr>
          <w:rFonts w:ascii="Arial" w:cs="Arial" w:eastAsia="Arial" w:hAnsi="Arial"/>
          <w:rtl w:val="0"/>
        </w:rPr>
        <w:t xml:space="preserve">чувствительность волатильности к методу выделения тренда (2,30-19,45%)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Смешанные результаты, иногда напоминающие характеристики богатых стран</w:t>
      </w:r>
    </w:p>
    <w:p w:rsidR="00000000" w:rsidDel="00000000" w:rsidP="00000000" w:rsidRDefault="00000000" w:rsidRPr="00000000" w14:paraId="00000035">
      <w:pPr>
        <w:pStyle w:val="Heading3"/>
        <w:spacing w:after="240" w:before="240" w:lineRule="auto"/>
        <w:rPr/>
      </w:pPr>
      <w:bookmarkStart w:colFirst="0" w:colLast="0" w:name="_sr0sk6nujil6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США (богатая страна)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Наименьшая и наиболее стабильная волатильность по всем методам (1,30-4,98%)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 целом страна соответствует характеристике стабильных бизнес циклов.</w:t>
      </w:r>
    </w:p>
    <w:p w:rsidR="00000000" w:rsidDel="00000000" w:rsidP="00000000" w:rsidRDefault="00000000" w:rsidRPr="00000000" w14:paraId="00000038">
      <w:pPr>
        <w:pStyle w:val="Heading2"/>
        <w:spacing w:after="240" w:before="240" w:lineRule="auto"/>
        <w:rPr/>
      </w:pPr>
      <w:bookmarkStart w:colFirst="0" w:colLast="0" w:name="_5gbd10n95z59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Ограничения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Маленький размер выборки (3 страны против 120 в документе)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Особенности стран, вызывающие отклонения от усредённых данных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Временной период отличный от анализа M. Uribe</w:t>
      </w:r>
    </w:p>
    <w:p w:rsidR="00000000" w:rsidDel="00000000" w:rsidP="00000000" w:rsidRDefault="00000000" w:rsidRPr="00000000" w14:paraId="0000003C">
      <w:pPr>
        <w:pStyle w:val="Heading2"/>
        <w:spacing w:after="240" w:before="240" w:lineRule="auto"/>
        <w:rPr/>
      </w:pPr>
      <w:bookmarkStart w:colFirst="0" w:colLast="0" w:name="_9yl44yk0e35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Диаграммы сравнения реального ВВП и выделенных трендов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4266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426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400000" cy="428411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4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  <w:font w:name="Open Sa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Open Sans" w:cs="Open Sans" w:eastAsia="Open Sans" w:hAnsi="Open San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Source Sans Pro" w:cs="Source Sans Pro" w:eastAsia="Source Sans Pro" w:hAnsi="Source Sans Pro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rFonts w:ascii="Open Sans Light" w:cs="Open Sans Light" w:eastAsia="Open Sans Light" w:hAnsi="Open Sans Light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rFonts w:ascii="Open Sans Medium" w:cs="Open Sans Medium" w:eastAsia="Open Sans Medium" w:hAnsi="Open Sans Medium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Medium-regular.ttf"/><Relationship Id="rId2" Type="http://schemas.openxmlformats.org/officeDocument/2006/relationships/font" Target="fonts/OpenSansMedium-bold.ttf"/><Relationship Id="rId3" Type="http://schemas.openxmlformats.org/officeDocument/2006/relationships/font" Target="fonts/OpenSansMedium-italic.ttf"/><Relationship Id="rId4" Type="http://schemas.openxmlformats.org/officeDocument/2006/relationships/font" Target="fonts/OpenSansMedium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OpenSansLight-regular.ttf"/><Relationship Id="rId6" Type="http://schemas.openxmlformats.org/officeDocument/2006/relationships/font" Target="fonts/OpenSansLight-bold.ttf"/><Relationship Id="rId7" Type="http://schemas.openxmlformats.org/officeDocument/2006/relationships/font" Target="fonts/OpenSansLight-italic.ttf"/><Relationship Id="rId8" Type="http://schemas.openxmlformats.org/officeDocument/2006/relationships/font" Target="fonts/OpenSans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