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2983" w:rsidRDefault="00312983">
      <w:pPr>
        <w:rPr>
          <w:b/>
          <w:bCs/>
        </w:rPr>
      </w:pPr>
      <w:r w:rsidRPr="00312983">
        <w:rPr>
          <w:b/>
          <w:bCs/>
        </w:rPr>
        <w:t>Risk Assessment for MongoDB</w:t>
      </w:r>
      <w:r w:rsidR="0090193C">
        <w:rPr>
          <w:b/>
          <w:bCs/>
        </w:rPr>
        <w:t xml:space="preserve"> as against DynamoDB</w:t>
      </w:r>
    </w:p>
    <w:p w:rsidR="00312983" w:rsidRDefault="00312983">
      <w:pPr>
        <w:rPr>
          <w:b/>
          <w:bCs/>
        </w:rPr>
      </w:pPr>
    </w:p>
    <w:p w:rsidR="00312983" w:rsidRDefault="00312983">
      <w:pPr>
        <w:rPr>
          <w:b/>
          <w:bCs/>
        </w:rPr>
      </w:pPr>
    </w:p>
    <w:tbl>
      <w:tblPr>
        <w:tblStyle w:val="TableGrid"/>
        <w:tblW w:w="0" w:type="auto"/>
        <w:tblLook w:val="04A0" w:firstRow="1" w:lastRow="0" w:firstColumn="1" w:lastColumn="0" w:noHBand="0" w:noVBand="1"/>
      </w:tblPr>
      <w:tblGrid>
        <w:gridCol w:w="3005"/>
        <w:gridCol w:w="3005"/>
        <w:gridCol w:w="3006"/>
      </w:tblGrid>
      <w:tr w:rsidR="00312983" w:rsidTr="00312983">
        <w:tc>
          <w:tcPr>
            <w:tcW w:w="3005" w:type="dxa"/>
          </w:tcPr>
          <w:p w:rsidR="00312983" w:rsidRPr="00312983" w:rsidRDefault="00312983">
            <w:r w:rsidRPr="00312983">
              <w:t>Risk Category</w:t>
            </w:r>
          </w:p>
        </w:tc>
        <w:tc>
          <w:tcPr>
            <w:tcW w:w="3005" w:type="dxa"/>
          </w:tcPr>
          <w:p w:rsidR="00312983" w:rsidRDefault="00312983">
            <w:r>
              <w:t>Likelihood</w:t>
            </w:r>
          </w:p>
        </w:tc>
        <w:tc>
          <w:tcPr>
            <w:tcW w:w="3006" w:type="dxa"/>
          </w:tcPr>
          <w:p w:rsidR="00312983" w:rsidRPr="00312983" w:rsidRDefault="00312983">
            <w:r w:rsidRPr="00312983">
              <w:t>Considerations</w:t>
            </w:r>
          </w:p>
        </w:tc>
      </w:tr>
      <w:tr w:rsidR="00312983" w:rsidTr="00312983">
        <w:tc>
          <w:tcPr>
            <w:tcW w:w="3005" w:type="dxa"/>
          </w:tcPr>
          <w:p w:rsidR="00312983" w:rsidRPr="00312983" w:rsidRDefault="00312983">
            <w:pPr>
              <w:rPr>
                <w:sz w:val="16"/>
                <w:szCs w:val="16"/>
              </w:rPr>
            </w:pPr>
            <w:r w:rsidRPr="00312983">
              <w:rPr>
                <w:sz w:val="16"/>
                <w:szCs w:val="16"/>
              </w:rPr>
              <w:t>Data Integrity</w:t>
            </w:r>
          </w:p>
        </w:tc>
        <w:tc>
          <w:tcPr>
            <w:tcW w:w="3005" w:type="dxa"/>
          </w:tcPr>
          <w:p w:rsidR="00312983" w:rsidRPr="00312983" w:rsidRDefault="00312983">
            <w:pPr>
              <w:rPr>
                <w:sz w:val="16"/>
                <w:szCs w:val="16"/>
              </w:rPr>
            </w:pPr>
            <w:r w:rsidRPr="00312983">
              <w:rPr>
                <w:sz w:val="16"/>
                <w:szCs w:val="16"/>
              </w:rPr>
              <w:t>Moderate</w:t>
            </w:r>
          </w:p>
        </w:tc>
        <w:tc>
          <w:tcPr>
            <w:tcW w:w="3006" w:type="dxa"/>
          </w:tcPr>
          <w:p w:rsidR="00312983" w:rsidRPr="00312983" w:rsidRDefault="00312983">
            <w:pPr>
              <w:rPr>
                <w:sz w:val="16"/>
                <w:szCs w:val="16"/>
              </w:rPr>
            </w:pPr>
            <w:r>
              <w:rPr>
                <w:sz w:val="16"/>
                <w:szCs w:val="16"/>
              </w:rPr>
              <w:t>D</w:t>
            </w:r>
            <w:r w:rsidRPr="00312983">
              <w:rPr>
                <w:sz w:val="16"/>
                <w:szCs w:val="16"/>
              </w:rPr>
              <w:t>oes not natively support ACID transactions. Care must be taken to ensure data integrity.</w:t>
            </w:r>
          </w:p>
        </w:tc>
      </w:tr>
      <w:tr w:rsidR="00312983" w:rsidTr="00312983">
        <w:tc>
          <w:tcPr>
            <w:tcW w:w="3005" w:type="dxa"/>
          </w:tcPr>
          <w:p w:rsidR="00312983" w:rsidRPr="00312983" w:rsidRDefault="00312983">
            <w:pPr>
              <w:rPr>
                <w:sz w:val="16"/>
                <w:szCs w:val="16"/>
              </w:rPr>
            </w:pPr>
            <w:r w:rsidRPr="00312983">
              <w:rPr>
                <w:sz w:val="16"/>
                <w:szCs w:val="16"/>
              </w:rPr>
              <w:t>Scalability</w:t>
            </w:r>
          </w:p>
        </w:tc>
        <w:tc>
          <w:tcPr>
            <w:tcW w:w="3005" w:type="dxa"/>
          </w:tcPr>
          <w:p w:rsidR="00312983" w:rsidRPr="00312983" w:rsidRDefault="00312983">
            <w:pPr>
              <w:rPr>
                <w:sz w:val="16"/>
                <w:szCs w:val="16"/>
              </w:rPr>
            </w:pPr>
            <w:r>
              <w:rPr>
                <w:sz w:val="16"/>
                <w:szCs w:val="16"/>
              </w:rPr>
              <w:t>High</w:t>
            </w:r>
          </w:p>
        </w:tc>
        <w:tc>
          <w:tcPr>
            <w:tcW w:w="3006" w:type="dxa"/>
          </w:tcPr>
          <w:p w:rsidR="00312983" w:rsidRPr="00312983" w:rsidRDefault="00312983">
            <w:pPr>
              <w:rPr>
                <w:sz w:val="16"/>
                <w:szCs w:val="16"/>
              </w:rPr>
            </w:pPr>
            <w:r w:rsidRPr="00312983">
              <w:rPr>
                <w:sz w:val="16"/>
                <w:szCs w:val="16"/>
              </w:rPr>
              <w:t xml:space="preserve">Scaling </w:t>
            </w:r>
            <w:r>
              <w:rPr>
                <w:sz w:val="16"/>
                <w:szCs w:val="16"/>
              </w:rPr>
              <w:t xml:space="preserve">of </w:t>
            </w:r>
            <w:r w:rsidRPr="00312983">
              <w:rPr>
                <w:sz w:val="16"/>
                <w:szCs w:val="16"/>
              </w:rPr>
              <w:t>MongoDB can be complex and requires careful planning to avoid performance issues.</w:t>
            </w:r>
          </w:p>
        </w:tc>
      </w:tr>
      <w:tr w:rsidR="00312983" w:rsidTr="00312983">
        <w:tc>
          <w:tcPr>
            <w:tcW w:w="3005" w:type="dxa"/>
          </w:tcPr>
          <w:p w:rsidR="00312983" w:rsidRPr="00312983" w:rsidRDefault="00312983">
            <w:pPr>
              <w:rPr>
                <w:sz w:val="16"/>
                <w:szCs w:val="16"/>
              </w:rPr>
            </w:pPr>
            <w:r w:rsidRPr="00312983">
              <w:rPr>
                <w:sz w:val="16"/>
                <w:szCs w:val="16"/>
              </w:rPr>
              <w:t>Security</w:t>
            </w:r>
          </w:p>
        </w:tc>
        <w:tc>
          <w:tcPr>
            <w:tcW w:w="3005" w:type="dxa"/>
          </w:tcPr>
          <w:p w:rsidR="00312983" w:rsidRPr="00312983" w:rsidRDefault="00312983">
            <w:pPr>
              <w:rPr>
                <w:sz w:val="16"/>
                <w:szCs w:val="16"/>
              </w:rPr>
            </w:pPr>
            <w:r>
              <w:rPr>
                <w:sz w:val="16"/>
                <w:szCs w:val="16"/>
              </w:rPr>
              <w:t>Moderate</w:t>
            </w:r>
          </w:p>
        </w:tc>
        <w:tc>
          <w:tcPr>
            <w:tcW w:w="3006" w:type="dxa"/>
          </w:tcPr>
          <w:p w:rsidR="00312983" w:rsidRPr="00312983" w:rsidRDefault="00312983">
            <w:pPr>
              <w:rPr>
                <w:sz w:val="16"/>
                <w:szCs w:val="16"/>
              </w:rPr>
            </w:pPr>
            <w:r w:rsidRPr="00312983">
              <w:rPr>
                <w:sz w:val="16"/>
                <w:szCs w:val="16"/>
              </w:rPr>
              <w:t xml:space="preserve">MongoDB has security features, but they need to be correctly configured to prevent </w:t>
            </w:r>
            <w:r>
              <w:rPr>
                <w:sz w:val="16"/>
                <w:szCs w:val="16"/>
              </w:rPr>
              <w:t xml:space="preserve">being locked out or </w:t>
            </w:r>
            <w:r w:rsidRPr="00312983">
              <w:rPr>
                <w:sz w:val="16"/>
                <w:szCs w:val="16"/>
              </w:rPr>
              <w:t>unauthorized access.</w:t>
            </w:r>
          </w:p>
        </w:tc>
      </w:tr>
      <w:tr w:rsidR="00312983" w:rsidTr="00312983">
        <w:tc>
          <w:tcPr>
            <w:tcW w:w="3005" w:type="dxa"/>
          </w:tcPr>
          <w:p w:rsidR="00312983" w:rsidRPr="00312983" w:rsidRDefault="00312983">
            <w:pPr>
              <w:rPr>
                <w:sz w:val="16"/>
                <w:szCs w:val="16"/>
              </w:rPr>
            </w:pPr>
            <w:r>
              <w:rPr>
                <w:sz w:val="16"/>
                <w:szCs w:val="16"/>
              </w:rPr>
              <w:t>Cost</w:t>
            </w:r>
          </w:p>
        </w:tc>
        <w:tc>
          <w:tcPr>
            <w:tcW w:w="3005" w:type="dxa"/>
          </w:tcPr>
          <w:p w:rsidR="00312983" w:rsidRPr="00312983" w:rsidRDefault="00312983">
            <w:pPr>
              <w:rPr>
                <w:sz w:val="16"/>
                <w:szCs w:val="16"/>
              </w:rPr>
            </w:pPr>
            <w:r>
              <w:rPr>
                <w:sz w:val="16"/>
                <w:szCs w:val="16"/>
              </w:rPr>
              <w:t>Low</w:t>
            </w:r>
          </w:p>
        </w:tc>
        <w:tc>
          <w:tcPr>
            <w:tcW w:w="3006" w:type="dxa"/>
          </w:tcPr>
          <w:p w:rsidR="00312983" w:rsidRPr="00312983" w:rsidRDefault="00312983">
            <w:pPr>
              <w:rPr>
                <w:sz w:val="16"/>
                <w:szCs w:val="16"/>
              </w:rPr>
            </w:pPr>
            <w:r w:rsidRPr="00312983">
              <w:rPr>
                <w:sz w:val="16"/>
                <w:szCs w:val="16"/>
              </w:rPr>
              <w:t>MongoDB is open-source and free, but costs may increase with support, infrastructure, and management expenses.</w:t>
            </w:r>
          </w:p>
        </w:tc>
      </w:tr>
    </w:tbl>
    <w:p w:rsidR="00312983" w:rsidRDefault="00312983"/>
    <w:p w:rsidR="00312983" w:rsidRDefault="00312983"/>
    <w:p w:rsidR="00312983" w:rsidRDefault="00312983"/>
    <w:p w:rsidR="00312983" w:rsidRDefault="00312983">
      <w:r w:rsidRPr="00312983">
        <w:t>Risk Assessment for Amazon DynamoDB:</w:t>
      </w:r>
    </w:p>
    <w:tbl>
      <w:tblPr>
        <w:tblStyle w:val="TableGrid"/>
        <w:tblW w:w="0" w:type="auto"/>
        <w:tblLook w:val="04A0" w:firstRow="1" w:lastRow="0" w:firstColumn="1" w:lastColumn="0" w:noHBand="0" w:noVBand="1"/>
      </w:tblPr>
      <w:tblGrid>
        <w:gridCol w:w="3005"/>
        <w:gridCol w:w="3005"/>
        <w:gridCol w:w="3006"/>
      </w:tblGrid>
      <w:tr w:rsidR="0090193C" w:rsidTr="0090193C">
        <w:tc>
          <w:tcPr>
            <w:tcW w:w="3005" w:type="dxa"/>
          </w:tcPr>
          <w:p w:rsidR="0090193C" w:rsidRDefault="0090193C">
            <w:pPr>
              <w:rPr>
                <w:sz w:val="16"/>
                <w:szCs w:val="16"/>
              </w:rPr>
            </w:pPr>
            <w:r w:rsidRPr="00312983">
              <w:t>Risk Category</w:t>
            </w:r>
          </w:p>
        </w:tc>
        <w:tc>
          <w:tcPr>
            <w:tcW w:w="3005" w:type="dxa"/>
          </w:tcPr>
          <w:p w:rsidR="0090193C" w:rsidRDefault="0090193C">
            <w:pPr>
              <w:rPr>
                <w:sz w:val="16"/>
                <w:szCs w:val="16"/>
              </w:rPr>
            </w:pPr>
            <w:r>
              <w:t>Likelihood</w:t>
            </w:r>
          </w:p>
        </w:tc>
        <w:tc>
          <w:tcPr>
            <w:tcW w:w="3006" w:type="dxa"/>
          </w:tcPr>
          <w:p w:rsidR="0090193C" w:rsidRDefault="0090193C">
            <w:pPr>
              <w:rPr>
                <w:sz w:val="16"/>
                <w:szCs w:val="16"/>
              </w:rPr>
            </w:pPr>
            <w:r w:rsidRPr="00312983">
              <w:t>Considerations</w:t>
            </w:r>
          </w:p>
        </w:tc>
      </w:tr>
      <w:tr w:rsidR="0090193C" w:rsidTr="0090193C">
        <w:tc>
          <w:tcPr>
            <w:tcW w:w="3005" w:type="dxa"/>
          </w:tcPr>
          <w:p w:rsidR="0090193C" w:rsidRDefault="0090193C">
            <w:pPr>
              <w:rPr>
                <w:sz w:val="16"/>
                <w:szCs w:val="16"/>
              </w:rPr>
            </w:pPr>
            <w:r w:rsidRPr="00312983">
              <w:rPr>
                <w:sz w:val="16"/>
                <w:szCs w:val="16"/>
              </w:rPr>
              <w:t>Data Integrity</w:t>
            </w:r>
          </w:p>
        </w:tc>
        <w:tc>
          <w:tcPr>
            <w:tcW w:w="3005" w:type="dxa"/>
          </w:tcPr>
          <w:p w:rsidR="0090193C" w:rsidRDefault="0090193C">
            <w:pPr>
              <w:rPr>
                <w:sz w:val="16"/>
                <w:szCs w:val="16"/>
              </w:rPr>
            </w:pPr>
            <w:r>
              <w:rPr>
                <w:sz w:val="16"/>
                <w:szCs w:val="16"/>
              </w:rPr>
              <w:t>Low</w:t>
            </w:r>
          </w:p>
        </w:tc>
        <w:tc>
          <w:tcPr>
            <w:tcW w:w="3006" w:type="dxa"/>
          </w:tcPr>
          <w:p w:rsidR="0090193C" w:rsidRDefault="0090193C">
            <w:pPr>
              <w:rPr>
                <w:sz w:val="16"/>
                <w:szCs w:val="16"/>
              </w:rPr>
            </w:pPr>
            <w:r w:rsidRPr="0090193C">
              <w:rPr>
                <w:sz w:val="16"/>
                <w:szCs w:val="16"/>
              </w:rPr>
              <w:t>DynamoDB provides strong data consistency options and supports ACID transactions, ensuring data integrity.</w:t>
            </w:r>
          </w:p>
        </w:tc>
      </w:tr>
      <w:tr w:rsidR="0090193C" w:rsidTr="0090193C">
        <w:tc>
          <w:tcPr>
            <w:tcW w:w="3005" w:type="dxa"/>
          </w:tcPr>
          <w:p w:rsidR="0090193C" w:rsidRDefault="0090193C">
            <w:pPr>
              <w:rPr>
                <w:sz w:val="16"/>
                <w:szCs w:val="16"/>
              </w:rPr>
            </w:pPr>
            <w:r w:rsidRPr="00312983">
              <w:rPr>
                <w:sz w:val="16"/>
                <w:szCs w:val="16"/>
              </w:rPr>
              <w:t>Scalability</w:t>
            </w:r>
          </w:p>
        </w:tc>
        <w:tc>
          <w:tcPr>
            <w:tcW w:w="3005" w:type="dxa"/>
          </w:tcPr>
          <w:p w:rsidR="0090193C" w:rsidRDefault="0090193C">
            <w:pPr>
              <w:rPr>
                <w:sz w:val="16"/>
                <w:szCs w:val="16"/>
              </w:rPr>
            </w:pPr>
            <w:r>
              <w:rPr>
                <w:sz w:val="16"/>
                <w:szCs w:val="16"/>
              </w:rPr>
              <w:t>Low</w:t>
            </w:r>
          </w:p>
        </w:tc>
        <w:tc>
          <w:tcPr>
            <w:tcW w:w="3006" w:type="dxa"/>
          </w:tcPr>
          <w:p w:rsidR="0090193C" w:rsidRDefault="0090193C">
            <w:pPr>
              <w:rPr>
                <w:sz w:val="16"/>
                <w:szCs w:val="16"/>
              </w:rPr>
            </w:pPr>
            <w:r w:rsidRPr="0090193C">
              <w:rPr>
                <w:sz w:val="16"/>
                <w:szCs w:val="16"/>
              </w:rPr>
              <w:t>DynamoDB is fully managed and scales easily without the need for complex configuration or management.</w:t>
            </w:r>
          </w:p>
        </w:tc>
      </w:tr>
      <w:tr w:rsidR="0090193C" w:rsidTr="0090193C">
        <w:tc>
          <w:tcPr>
            <w:tcW w:w="3005" w:type="dxa"/>
          </w:tcPr>
          <w:p w:rsidR="0090193C" w:rsidRDefault="0090193C">
            <w:pPr>
              <w:rPr>
                <w:sz w:val="16"/>
                <w:szCs w:val="16"/>
              </w:rPr>
            </w:pPr>
            <w:r w:rsidRPr="00312983">
              <w:rPr>
                <w:sz w:val="16"/>
                <w:szCs w:val="16"/>
              </w:rPr>
              <w:t>Security</w:t>
            </w:r>
          </w:p>
        </w:tc>
        <w:tc>
          <w:tcPr>
            <w:tcW w:w="3005" w:type="dxa"/>
          </w:tcPr>
          <w:p w:rsidR="0090193C" w:rsidRDefault="0090193C">
            <w:pPr>
              <w:rPr>
                <w:sz w:val="16"/>
                <w:szCs w:val="16"/>
              </w:rPr>
            </w:pPr>
            <w:r>
              <w:rPr>
                <w:sz w:val="16"/>
                <w:szCs w:val="16"/>
              </w:rPr>
              <w:t>Low</w:t>
            </w:r>
          </w:p>
        </w:tc>
        <w:tc>
          <w:tcPr>
            <w:tcW w:w="3006" w:type="dxa"/>
          </w:tcPr>
          <w:p w:rsidR="0090193C" w:rsidRDefault="0090193C">
            <w:pPr>
              <w:rPr>
                <w:sz w:val="16"/>
                <w:szCs w:val="16"/>
              </w:rPr>
            </w:pPr>
            <w:r w:rsidRPr="0090193C">
              <w:rPr>
                <w:sz w:val="16"/>
                <w:szCs w:val="16"/>
              </w:rPr>
              <w:t xml:space="preserve">DynamoDB integrates with AWS IAM for </w:t>
            </w:r>
            <w:r>
              <w:rPr>
                <w:sz w:val="16"/>
                <w:szCs w:val="16"/>
              </w:rPr>
              <w:t>full</w:t>
            </w:r>
            <w:r w:rsidRPr="0090193C">
              <w:rPr>
                <w:sz w:val="16"/>
                <w:szCs w:val="16"/>
              </w:rPr>
              <w:t xml:space="preserve"> access control and offers encryption at rest and in transit.</w:t>
            </w:r>
          </w:p>
        </w:tc>
      </w:tr>
      <w:tr w:rsidR="0090193C" w:rsidTr="0090193C">
        <w:tc>
          <w:tcPr>
            <w:tcW w:w="3005" w:type="dxa"/>
          </w:tcPr>
          <w:p w:rsidR="0090193C" w:rsidRDefault="0090193C">
            <w:pPr>
              <w:rPr>
                <w:sz w:val="16"/>
                <w:szCs w:val="16"/>
              </w:rPr>
            </w:pPr>
            <w:r>
              <w:rPr>
                <w:sz w:val="16"/>
                <w:szCs w:val="16"/>
              </w:rPr>
              <w:t>Cost</w:t>
            </w:r>
          </w:p>
        </w:tc>
        <w:tc>
          <w:tcPr>
            <w:tcW w:w="3005" w:type="dxa"/>
          </w:tcPr>
          <w:p w:rsidR="0090193C" w:rsidRDefault="0090193C">
            <w:pPr>
              <w:rPr>
                <w:sz w:val="16"/>
                <w:szCs w:val="16"/>
              </w:rPr>
            </w:pPr>
            <w:r>
              <w:rPr>
                <w:sz w:val="16"/>
                <w:szCs w:val="16"/>
              </w:rPr>
              <w:t>Moderate</w:t>
            </w:r>
          </w:p>
        </w:tc>
        <w:tc>
          <w:tcPr>
            <w:tcW w:w="3006" w:type="dxa"/>
          </w:tcPr>
          <w:p w:rsidR="0090193C" w:rsidRDefault="0090193C">
            <w:pPr>
              <w:rPr>
                <w:sz w:val="16"/>
                <w:szCs w:val="16"/>
              </w:rPr>
            </w:pPr>
            <w:r w:rsidRPr="0090193C">
              <w:rPr>
                <w:sz w:val="16"/>
                <w:szCs w:val="16"/>
              </w:rPr>
              <w:t>DynamoDB pricing is based on capacity and usage, which can become expensive with high demand but offers predictable costs.</w:t>
            </w:r>
          </w:p>
        </w:tc>
      </w:tr>
    </w:tbl>
    <w:p w:rsidR="0090193C" w:rsidRPr="0090193C" w:rsidRDefault="0090193C">
      <w:pPr>
        <w:rPr>
          <w:sz w:val="16"/>
          <w:szCs w:val="16"/>
        </w:rPr>
      </w:pPr>
    </w:p>
    <w:p w:rsidR="0090193C" w:rsidRDefault="0090193C"/>
    <w:p w:rsidR="0090193C" w:rsidRDefault="0090193C"/>
    <w:p w:rsidR="0090193C" w:rsidRPr="0090193C" w:rsidRDefault="0090193C" w:rsidP="0090193C">
      <w:r w:rsidRPr="0090193C">
        <w:rPr>
          <w:b/>
          <w:bCs/>
        </w:rPr>
        <w:t>Data Integrity:</w:t>
      </w:r>
      <w:r w:rsidRPr="0090193C">
        <w:t xml:space="preserve"> DynamoDB offers stronger data consistency options and supports ACID transactions. This makes it a better option for data integrity. MongoDB, while suitable for many use cases, may require additional effort to ensure data consistency.</w:t>
      </w:r>
    </w:p>
    <w:p w:rsidR="0090193C" w:rsidRPr="0090193C" w:rsidRDefault="0090193C" w:rsidP="0090193C">
      <w:r w:rsidRPr="0090193C">
        <w:rPr>
          <w:b/>
          <w:bCs/>
        </w:rPr>
        <w:t>Scalability:</w:t>
      </w:r>
      <w:r w:rsidRPr="0090193C">
        <w:t xml:space="preserve"> DynamoDB is fully managed and scales easily. As the workload increases, it handles the scaling automatically, reducing operational complexity. MongoDB can be scaled, but it may require more manual intervention and planning.</w:t>
      </w:r>
    </w:p>
    <w:p w:rsidR="0090193C" w:rsidRPr="0090193C" w:rsidRDefault="0090193C" w:rsidP="0090193C">
      <w:r w:rsidRPr="0090193C">
        <w:rPr>
          <w:b/>
          <w:bCs/>
        </w:rPr>
        <w:t>Security:</w:t>
      </w:r>
      <w:r w:rsidRPr="0090193C">
        <w:t xml:space="preserve"> DynamoDB integrates with AWS Identity and Access Management (IAM) for fine-grained access control and offers encryption at rest and in transit. MongoDB requires careful configuration to achieve similar levels of security. </w:t>
      </w:r>
    </w:p>
    <w:p w:rsidR="0090193C" w:rsidRPr="0090193C" w:rsidRDefault="0090193C" w:rsidP="0090193C">
      <w:r w:rsidRPr="0090193C">
        <w:rPr>
          <w:b/>
          <w:bCs/>
        </w:rPr>
        <w:t>Cost:</w:t>
      </w:r>
      <w:r w:rsidRPr="0090193C">
        <w:t xml:space="preserve"> DynamoDB pricing is based on capacity and usage, making it predictable. While costs can increase with high demand, this predictable pricing model can be advantageous for budgeting. MongoDB, especially if managed in-house or on a cloud platform, may have less predictable costs</w:t>
      </w:r>
    </w:p>
    <w:p w:rsidR="0090193C" w:rsidRDefault="0090193C"/>
    <w:sectPr w:rsidR="00901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83"/>
    <w:rsid w:val="00312983"/>
    <w:rsid w:val="00795CE2"/>
    <w:rsid w:val="009019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B244C8"/>
  <w15:chartTrackingRefBased/>
  <w15:docId w15:val="{8408DA89-CFF9-864B-87B8-56EFAD3B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2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1074">
      <w:bodyDiv w:val="1"/>
      <w:marLeft w:val="0"/>
      <w:marRight w:val="0"/>
      <w:marTop w:val="0"/>
      <w:marBottom w:val="0"/>
      <w:divBdr>
        <w:top w:val="none" w:sz="0" w:space="0" w:color="auto"/>
        <w:left w:val="none" w:sz="0" w:space="0" w:color="auto"/>
        <w:bottom w:val="none" w:sz="0" w:space="0" w:color="auto"/>
        <w:right w:val="none" w:sz="0" w:space="0" w:color="auto"/>
      </w:divBdr>
    </w:div>
    <w:div w:id="115357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1</cp:revision>
  <dcterms:created xsi:type="dcterms:W3CDTF">2023-10-19T17:57:00Z</dcterms:created>
  <dcterms:modified xsi:type="dcterms:W3CDTF">2023-10-19T18:22:00Z</dcterms:modified>
</cp:coreProperties>
</file>