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10DC5" w14:textId="09AA1F85" w:rsidR="00295BCF" w:rsidRDefault="00295BCF" w:rsidP="00295BCF">
      <w:pPr>
        <w:pStyle w:val="Ttulo"/>
      </w:pPr>
      <w:r>
        <w:t>=====</w:t>
      </w:r>
    </w:p>
    <w:p w14:paraId="7B0A4B21" w14:textId="727A58D0" w:rsidR="00295BCF" w:rsidRDefault="00A85C4E" w:rsidP="00295BCF">
      <w:pPr>
        <w:pStyle w:val="Ttulo"/>
      </w:pPr>
      <w:r>
        <w:t>MDM</w:t>
      </w:r>
    </w:p>
    <w:p w14:paraId="54F127E6" w14:textId="51FD897F" w:rsidR="00295BCF" w:rsidRDefault="00295BCF" w:rsidP="00295BCF">
      <w:pPr>
        <w:rPr>
          <w:rFonts w:asciiTheme="majorHAnsi" w:eastAsiaTheme="majorEastAsia" w:hAnsiTheme="majorHAnsi" w:cstheme="majorBidi"/>
          <w:spacing w:val="-10"/>
          <w:kern w:val="28"/>
          <w:sz w:val="56"/>
          <w:szCs w:val="56"/>
        </w:rPr>
      </w:pPr>
      <w:r w:rsidRPr="00115619">
        <w:rPr>
          <w:rFonts w:asciiTheme="majorHAnsi" w:eastAsiaTheme="majorEastAsia" w:hAnsiTheme="majorHAnsi" w:cstheme="majorBidi"/>
          <w:spacing w:val="-10"/>
          <w:kern w:val="28"/>
          <w:sz w:val="56"/>
          <w:szCs w:val="56"/>
        </w:rPr>
        <w:t>=====</w:t>
      </w:r>
    </w:p>
    <w:p w14:paraId="42948696" w14:textId="77777777" w:rsidR="00295BCF" w:rsidRDefault="00295BCF" w:rsidP="00295BCF">
      <w:pPr>
        <w:rPr>
          <w:rFonts w:ascii="Verdana" w:hAnsi="Verdana"/>
          <w:color w:val="404040"/>
          <w:sz w:val="17"/>
          <w:szCs w:val="17"/>
        </w:rPr>
      </w:pPr>
    </w:p>
    <w:p w14:paraId="1FD8C315" w14:textId="17051636" w:rsidR="00CE368D" w:rsidRDefault="00CE368D" w:rsidP="00CE368D">
      <w:pPr>
        <w:pStyle w:val="Ttulo"/>
      </w:pPr>
      <w:r w:rsidRPr="00091F9D">
        <w:rPr>
          <w:noProof/>
          <w:sz w:val="22"/>
          <w:szCs w:val="22"/>
        </w:rPr>
        <w:t xml:space="preserve">.. </w:t>
      </w:r>
      <w:r w:rsidRPr="00091F9D">
        <w:rPr>
          <w:rFonts w:ascii="Calibri" w:eastAsia="Calibri" w:hAnsi="Calibri" w:cs="Calibri"/>
          <w:noProof/>
          <w:color w:val="000000"/>
          <w:spacing w:val="0"/>
          <w:kern w:val="0"/>
          <w:sz w:val="22"/>
          <w:szCs w:val="22"/>
          <w:lang w:eastAsia="es-ES"/>
        </w:rPr>
        <w:t>centered</w:t>
      </w:r>
      <w:r w:rsidRPr="00091F9D">
        <w:rPr>
          <w:noProof/>
          <w:sz w:val="22"/>
          <w:szCs w:val="22"/>
        </w:rPr>
        <w:t xml:space="preserve">:: </w:t>
      </w:r>
      <w:r>
        <w:rPr>
          <w:noProof/>
          <w:sz w:val="22"/>
          <w:szCs w:val="22"/>
        </w:rPr>
        <w:t xml:space="preserve"> </w:t>
      </w:r>
      <w:r w:rsidR="00A85C4E">
        <w:rPr>
          <w:noProof/>
        </w:rPr>
        <w:drawing>
          <wp:inline distT="0" distB="0" distL="0" distR="0" wp14:anchorId="3931DDA0" wp14:editId="114BA42C">
            <wp:extent cx="3291840" cy="357378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3573780"/>
                    </a:xfrm>
                    <a:prstGeom prst="rect">
                      <a:avLst/>
                    </a:prstGeom>
                    <a:noFill/>
                  </pic:spPr>
                </pic:pic>
              </a:graphicData>
            </a:graphic>
          </wp:inline>
        </w:drawing>
      </w:r>
    </w:p>
    <w:p w14:paraId="56FBEEC6" w14:textId="77777777" w:rsidR="00295BCF" w:rsidRDefault="00295BCF" w:rsidP="00295BCF">
      <w:pPr>
        <w:rPr>
          <w:rFonts w:ascii="Verdana" w:hAnsi="Verdana"/>
          <w:color w:val="404040"/>
          <w:sz w:val="17"/>
          <w:szCs w:val="17"/>
        </w:rPr>
      </w:pPr>
    </w:p>
    <w:p w14:paraId="280C2D27" w14:textId="77777777" w:rsidR="00295BCF" w:rsidRDefault="00295BCF" w:rsidP="00295BCF">
      <w:pPr>
        <w:jc w:val="center"/>
        <w:rPr>
          <w:rFonts w:ascii="Verdana" w:hAnsi="Verdana"/>
          <w:color w:val="404040"/>
          <w:sz w:val="17"/>
          <w:szCs w:val="17"/>
        </w:rPr>
      </w:pPr>
    </w:p>
    <w:p w14:paraId="762CEA56" w14:textId="646E3C9B" w:rsidR="00295BCF" w:rsidRPr="00295BCF" w:rsidRDefault="00295BCF" w:rsidP="00295BCF">
      <w:pPr>
        <w:rPr>
          <w:color w:val="7F7F7F" w:themeColor="text1" w:themeTint="80"/>
          <w:sz w:val="16"/>
          <w:szCs w:val="16"/>
        </w:rPr>
      </w:pPr>
      <w:r w:rsidRPr="00295BCF">
        <w:rPr>
          <w:color w:val="7F7F7F" w:themeColor="text1" w:themeTint="80"/>
          <w:sz w:val="16"/>
          <w:szCs w:val="16"/>
        </w:rPr>
        <w:t xml:space="preserve">Revisión:   </w:t>
      </w:r>
      <w:r w:rsidR="00A85C4E">
        <w:rPr>
          <w:color w:val="7F7F7F" w:themeColor="text1" w:themeTint="80"/>
          <w:sz w:val="16"/>
          <w:szCs w:val="16"/>
        </w:rPr>
        <w:t>11</w:t>
      </w:r>
      <w:r w:rsidRPr="00295BCF">
        <w:rPr>
          <w:color w:val="7F7F7F" w:themeColor="text1" w:themeTint="80"/>
          <w:sz w:val="16"/>
          <w:szCs w:val="16"/>
        </w:rPr>
        <w:t>-</w:t>
      </w:r>
      <w:r w:rsidR="00CE368D">
        <w:rPr>
          <w:color w:val="7F7F7F" w:themeColor="text1" w:themeTint="80"/>
          <w:sz w:val="16"/>
          <w:szCs w:val="16"/>
        </w:rPr>
        <w:t>sep</w:t>
      </w:r>
      <w:r w:rsidRPr="00295BCF">
        <w:rPr>
          <w:color w:val="7F7F7F" w:themeColor="text1" w:themeTint="80"/>
          <w:sz w:val="16"/>
          <w:szCs w:val="16"/>
        </w:rPr>
        <w:t xml:space="preserve">-2019     Equipo </w:t>
      </w:r>
      <w:r w:rsidR="00A85C4E">
        <w:rPr>
          <w:color w:val="7F7F7F" w:themeColor="text1" w:themeTint="80"/>
          <w:sz w:val="16"/>
          <w:szCs w:val="16"/>
        </w:rPr>
        <w:t>MDM</w:t>
      </w:r>
      <w:r w:rsidRPr="00295BCF">
        <w:rPr>
          <w:color w:val="7F7F7F" w:themeColor="text1" w:themeTint="80"/>
          <w:sz w:val="16"/>
          <w:szCs w:val="16"/>
        </w:rPr>
        <w:t xml:space="preserve">   </w:t>
      </w:r>
    </w:p>
    <w:p w14:paraId="3426D5C9" w14:textId="77777777" w:rsidR="00295BCF" w:rsidRDefault="00295BCF" w:rsidP="00295BCF">
      <w:pPr>
        <w:jc w:val="center"/>
        <w:rPr>
          <w:rFonts w:ascii="Verdana" w:hAnsi="Verdana"/>
          <w:color w:val="404040"/>
          <w:sz w:val="17"/>
          <w:szCs w:val="17"/>
        </w:rPr>
      </w:pPr>
    </w:p>
    <w:p w14:paraId="66C0FC32" w14:textId="77777777" w:rsidR="00A85C4E" w:rsidRDefault="00A85C4E" w:rsidP="00A85C4E">
      <w:pPr>
        <w:spacing w:after="4" w:line="250" w:lineRule="auto"/>
        <w:ind w:left="-5" w:firstLine="400"/>
        <w:rPr>
          <w:color w:val="404040" w:themeColor="text1" w:themeTint="BF"/>
        </w:rPr>
      </w:pPr>
      <w:r>
        <w:rPr>
          <w:color w:val="404040" w:themeColor="text1" w:themeTint="BF"/>
        </w:rPr>
        <w:t xml:space="preserve">La línea de trabajo MDM corresponde a </w:t>
      </w:r>
      <w:proofErr w:type="gramStart"/>
      <w:r>
        <w:rPr>
          <w:color w:val="404040" w:themeColor="text1" w:themeTint="BF"/>
        </w:rPr>
        <w:t>Master</w:t>
      </w:r>
      <w:proofErr w:type="gramEnd"/>
      <w:r>
        <w:rPr>
          <w:color w:val="404040" w:themeColor="text1" w:themeTint="BF"/>
        </w:rPr>
        <w:t xml:space="preserve"> Data Management. Como dice su título, se trata de la creación de una nueva herramienta que permita realizar la gestión maestra de los datos que alimentan otras aplicaciones realizadas para Telepizza. </w:t>
      </w:r>
    </w:p>
    <w:p w14:paraId="1497F7A3" w14:textId="77777777" w:rsidR="00A85C4E" w:rsidRDefault="00A85C4E" w:rsidP="00A85C4E">
      <w:pPr>
        <w:spacing w:after="4" w:line="250" w:lineRule="auto"/>
        <w:ind w:left="-5" w:firstLine="400"/>
        <w:rPr>
          <w:color w:val="404040" w:themeColor="text1" w:themeTint="BF"/>
        </w:rPr>
      </w:pPr>
      <w:r>
        <w:rPr>
          <w:color w:val="404040" w:themeColor="text1" w:themeTint="BF"/>
        </w:rPr>
        <w:t xml:space="preserve">Por poner un ejemplo que sea ilustrativo, otra línea de trabajo a la que apoya MDM es Store que incluye una herramienta para la gestión de los pedidos en una tienda de Telepizza. Para realizar un pedido es importante que tengamos definidos los datos que vamos a pedir a un cliente por tipo de entrega por ejemplo y esto, es algo que vamos a poder configurar en MDM. Es decir, yo tendré una serie de filtros y funcionalidades dentro de la herramienta MDM para poder definir los datos que necesito pedir a un cliente para entregarle una pizza. </w:t>
      </w:r>
    </w:p>
    <w:p w14:paraId="2503EA27" w14:textId="77777777" w:rsidR="00A85C4E" w:rsidRDefault="00A85C4E" w:rsidP="00A85C4E">
      <w:pPr>
        <w:spacing w:after="4" w:line="250" w:lineRule="auto"/>
        <w:ind w:left="-5" w:firstLine="400"/>
        <w:rPr>
          <w:color w:val="404040" w:themeColor="text1" w:themeTint="BF"/>
        </w:rPr>
      </w:pPr>
    </w:p>
    <w:p w14:paraId="223AAE04" w14:textId="77777777" w:rsidR="00A85C4E" w:rsidRDefault="00A85C4E" w:rsidP="00A85C4E">
      <w:pPr>
        <w:spacing w:after="4" w:line="250" w:lineRule="auto"/>
        <w:ind w:left="-5" w:firstLine="400"/>
        <w:rPr>
          <w:color w:val="404040" w:themeColor="text1" w:themeTint="BF"/>
        </w:rPr>
      </w:pPr>
      <w:r>
        <w:rPr>
          <w:color w:val="404040" w:themeColor="text1" w:themeTint="BF"/>
        </w:rPr>
        <w:t xml:space="preserve">MDM da también respuesta a una necesidad de mayor usabilidad y menor formación por cara de los usuarios que realizan el mantenimiento de los datos. Actualmente estos deben manejar herramientas más bien de tipo técnico como programas de manejo de bases de datos </w:t>
      </w:r>
      <w:r>
        <w:rPr>
          <w:color w:val="404040" w:themeColor="text1" w:themeTint="BF"/>
        </w:rPr>
        <w:lastRenderedPageBreak/>
        <w:t xml:space="preserve">tipo SQL que requieren cierta </w:t>
      </w:r>
      <w:proofErr w:type="spellStart"/>
      <w:r>
        <w:rPr>
          <w:color w:val="404040" w:themeColor="text1" w:themeTint="BF"/>
        </w:rPr>
        <w:t>expertise</w:t>
      </w:r>
      <w:proofErr w:type="spellEnd"/>
      <w:r>
        <w:rPr>
          <w:color w:val="404040" w:themeColor="text1" w:themeTint="BF"/>
        </w:rPr>
        <w:t>, estos son los denominados mantenimientos manuales.</w:t>
      </w:r>
    </w:p>
    <w:p w14:paraId="40328CBF" w14:textId="77777777" w:rsidR="00A85C4E" w:rsidRDefault="00A85C4E" w:rsidP="00A85C4E">
      <w:pPr>
        <w:spacing w:after="4" w:line="250" w:lineRule="auto"/>
        <w:ind w:left="-5" w:firstLine="400"/>
        <w:rPr>
          <w:color w:val="404040" w:themeColor="text1" w:themeTint="BF"/>
        </w:rPr>
      </w:pPr>
    </w:p>
    <w:p w14:paraId="6E4E4530" w14:textId="77777777" w:rsidR="00A85C4E" w:rsidRDefault="00A85C4E" w:rsidP="00A85C4E">
      <w:pPr>
        <w:spacing w:after="4" w:line="250" w:lineRule="auto"/>
        <w:ind w:left="-5" w:firstLine="400"/>
        <w:rPr>
          <w:color w:val="404040" w:themeColor="text1" w:themeTint="BF"/>
        </w:rPr>
      </w:pPr>
      <w:r>
        <w:rPr>
          <w:color w:val="404040" w:themeColor="text1" w:themeTint="BF"/>
        </w:rPr>
        <w:t xml:space="preserve">Además, hay una herramienta </w:t>
      </w:r>
      <w:proofErr w:type="spellStart"/>
      <w:proofErr w:type="gramStart"/>
      <w:r>
        <w:rPr>
          <w:color w:val="404040" w:themeColor="text1" w:themeTint="BF"/>
        </w:rPr>
        <w:t>pre-existente</w:t>
      </w:r>
      <w:proofErr w:type="spellEnd"/>
      <w:proofErr w:type="gramEnd"/>
      <w:r>
        <w:rPr>
          <w:color w:val="404040" w:themeColor="text1" w:themeTint="BF"/>
        </w:rPr>
        <w:t xml:space="preserve"> al MDM llamada </w:t>
      </w:r>
      <w:proofErr w:type="spellStart"/>
      <w:r>
        <w:rPr>
          <w:color w:val="404040" w:themeColor="text1" w:themeTint="BF"/>
        </w:rPr>
        <w:t>TPGescom</w:t>
      </w:r>
      <w:proofErr w:type="spellEnd"/>
      <w:r>
        <w:rPr>
          <w:color w:val="404040" w:themeColor="text1" w:themeTint="BF"/>
        </w:rPr>
        <w:t xml:space="preserve"> que permite gestionar algunas de las entidades que Telepizza maneja actualmente. Sin embargo, </w:t>
      </w:r>
      <w:proofErr w:type="spellStart"/>
      <w:r>
        <w:rPr>
          <w:color w:val="404040" w:themeColor="text1" w:themeTint="BF"/>
        </w:rPr>
        <w:t>TPGescom</w:t>
      </w:r>
      <w:proofErr w:type="spellEnd"/>
      <w:r>
        <w:rPr>
          <w:color w:val="404040" w:themeColor="text1" w:themeTint="BF"/>
        </w:rPr>
        <w:t xml:space="preserve"> se trata de una herramienta desfasada ya que no solo su arquitectura y diseño son basados en tecnologías antiguas, sino que además no cubre totalmente las necesidades de gestión de datos actual de Telepizza. </w:t>
      </w:r>
    </w:p>
    <w:p w14:paraId="625B29F9" w14:textId="77777777" w:rsidR="00295BCF" w:rsidRDefault="00295BCF" w:rsidP="00295BCF">
      <w:pPr>
        <w:rPr>
          <w:rFonts w:ascii="Verdana" w:hAnsi="Verdana"/>
          <w:color w:val="404040"/>
          <w:sz w:val="17"/>
          <w:szCs w:val="17"/>
        </w:rPr>
      </w:pPr>
    </w:p>
    <w:p w14:paraId="5E66203A" w14:textId="77777777" w:rsidR="00295BCF" w:rsidRPr="00295BCF" w:rsidRDefault="00295BCF" w:rsidP="00295BCF">
      <w:pPr>
        <w:rPr>
          <w:rFonts w:ascii="Verdana" w:hAnsi="Verdana"/>
          <w:color w:val="404040"/>
          <w:sz w:val="17"/>
          <w:szCs w:val="17"/>
        </w:rPr>
      </w:pPr>
      <w:r w:rsidRPr="00295BCF">
        <w:rPr>
          <w:rFonts w:ascii="Verdana" w:hAnsi="Verdana"/>
          <w:b/>
          <w:bCs/>
          <w:color w:val="404040"/>
          <w:sz w:val="17"/>
          <w:szCs w:val="17"/>
        </w:rPr>
        <w:t>USUARIOS</w:t>
      </w:r>
    </w:p>
    <w:p w14:paraId="0EEF4B0F" w14:textId="77777777" w:rsidR="00295BCF" w:rsidRDefault="00295BCF" w:rsidP="00295BCF">
      <w:pPr>
        <w:rPr>
          <w:rFonts w:ascii="Verdana" w:hAnsi="Verdana"/>
          <w:color w:val="404040"/>
          <w:sz w:val="17"/>
          <w:szCs w:val="17"/>
        </w:rPr>
      </w:pPr>
      <w:r>
        <w:rPr>
          <w:rFonts w:ascii="Verdana" w:hAnsi="Verdana"/>
          <w:color w:val="404040"/>
          <w:sz w:val="17"/>
          <w:szCs w:val="17"/>
        </w:rPr>
        <w:t>En este apartado se describirán todos los usuarios que van a acceder al sistema.</w:t>
      </w:r>
    </w:p>
    <w:p w14:paraId="0D1F26D7" w14:textId="31F8157D" w:rsidR="00295BCF" w:rsidRDefault="00B476E0" w:rsidP="00B476E0">
      <w:pPr>
        <w:pStyle w:val="Prrafodelista"/>
        <w:numPr>
          <w:ilvl w:val="0"/>
          <w:numId w:val="2"/>
        </w:numPr>
        <w:rPr>
          <w:rFonts w:ascii="Verdana" w:hAnsi="Verdana"/>
          <w:color w:val="404040"/>
          <w:sz w:val="17"/>
          <w:szCs w:val="17"/>
        </w:rPr>
      </w:pPr>
      <w:r w:rsidRPr="00B476E0">
        <w:rPr>
          <w:rFonts w:ascii="Verdana" w:hAnsi="Verdana"/>
          <w:i/>
          <w:iCs/>
          <w:color w:val="404040"/>
          <w:sz w:val="17"/>
          <w:szCs w:val="17"/>
        </w:rPr>
        <w:t xml:space="preserve">Responsables de </w:t>
      </w:r>
      <w:r>
        <w:rPr>
          <w:rFonts w:ascii="Verdana" w:hAnsi="Verdana"/>
          <w:i/>
          <w:iCs/>
          <w:color w:val="404040"/>
          <w:sz w:val="17"/>
          <w:szCs w:val="17"/>
        </w:rPr>
        <w:t>Producto:</w:t>
      </w:r>
      <w:r w:rsidRPr="00B476E0">
        <w:rPr>
          <w:rFonts w:ascii="Verdana" w:hAnsi="Verdana"/>
          <w:color w:val="404040"/>
          <w:sz w:val="17"/>
          <w:szCs w:val="17"/>
        </w:rPr>
        <w:t xml:space="preserve"> </w:t>
      </w:r>
      <w:r w:rsidR="00A85C4E" w:rsidRPr="00A85C4E">
        <w:rPr>
          <w:rFonts w:ascii="Verdana" w:hAnsi="Verdana"/>
          <w:color w:val="404040"/>
          <w:sz w:val="17"/>
          <w:szCs w:val="17"/>
        </w:rPr>
        <w:t xml:space="preserve">Antonio </w:t>
      </w:r>
      <w:proofErr w:type="spellStart"/>
      <w:r w:rsidR="00A85C4E" w:rsidRPr="00A85C4E">
        <w:rPr>
          <w:rFonts w:ascii="Verdana" w:hAnsi="Verdana"/>
          <w:color w:val="404040"/>
          <w:sz w:val="17"/>
          <w:szCs w:val="17"/>
        </w:rPr>
        <w:t>Remesal</w:t>
      </w:r>
      <w:proofErr w:type="spellEnd"/>
    </w:p>
    <w:p w14:paraId="101C9134" w14:textId="77777777" w:rsidR="00A85C4E" w:rsidRDefault="00B476E0" w:rsidP="00024C12">
      <w:pPr>
        <w:pStyle w:val="Prrafodelista"/>
        <w:numPr>
          <w:ilvl w:val="0"/>
          <w:numId w:val="2"/>
        </w:numPr>
        <w:rPr>
          <w:rFonts w:ascii="Verdana" w:hAnsi="Verdana"/>
          <w:color w:val="404040"/>
          <w:sz w:val="17"/>
          <w:szCs w:val="17"/>
        </w:rPr>
      </w:pPr>
      <w:r w:rsidRPr="00A85C4E">
        <w:rPr>
          <w:rFonts w:ascii="Verdana" w:hAnsi="Verdana"/>
          <w:i/>
          <w:iCs/>
          <w:color w:val="404040"/>
          <w:sz w:val="17"/>
          <w:szCs w:val="17"/>
        </w:rPr>
        <w:t>Documentalistas:</w:t>
      </w:r>
      <w:r w:rsidRPr="00A85C4E">
        <w:rPr>
          <w:rFonts w:ascii="Verdana" w:hAnsi="Verdana"/>
          <w:color w:val="404040"/>
          <w:sz w:val="17"/>
          <w:szCs w:val="17"/>
        </w:rPr>
        <w:t xml:space="preserve"> </w:t>
      </w:r>
      <w:r w:rsidR="00A85C4E" w:rsidRPr="00A85C4E">
        <w:rPr>
          <w:rFonts w:ascii="Verdana" w:hAnsi="Verdana"/>
          <w:color w:val="404040"/>
          <w:sz w:val="17"/>
          <w:szCs w:val="17"/>
        </w:rPr>
        <w:t>Departamento de Control de Datos</w:t>
      </w:r>
    </w:p>
    <w:p w14:paraId="4B4C8123" w14:textId="3EB53D23" w:rsidR="00B476E0" w:rsidRPr="00A85C4E" w:rsidRDefault="00FE485C" w:rsidP="00024C12">
      <w:pPr>
        <w:pStyle w:val="Prrafodelista"/>
        <w:numPr>
          <w:ilvl w:val="0"/>
          <w:numId w:val="2"/>
        </w:numPr>
        <w:rPr>
          <w:rFonts w:ascii="Verdana" w:hAnsi="Verdana"/>
          <w:color w:val="404040"/>
          <w:sz w:val="17"/>
          <w:szCs w:val="17"/>
        </w:rPr>
      </w:pPr>
      <w:r w:rsidRPr="00A85C4E">
        <w:rPr>
          <w:rFonts w:ascii="Verdana" w:hAnsi="Verdana"/>
          <w:i/>
          <w:iCs/>
          <w:color w:val="404040"/>
          <w:sz w:val="17"/>
          <w:szCs w:val="17"/>
        </w:rPr>
        <w:t>Responsables del proyecto:</w:t>
      </w:r>
      <w:r w:rsidRPr="00A85C4E">
        <w:rPr>
          <w:rFonts w:ascii="Verdana" w:hAnsi="Verdana"/>
          <w:color w:val="404040"/>
          <w:sz w:val="17"/>
          <w:szCs w:val="17"/>
        </w:rPr>
        <w:t xml:space="preserve"> </w:t>
      </w:r>
      <w:r w:rsidR="00A85C4E" w:rsidRPr="00A85C4E">
        <w:rPr>
          <w:rFonts w:ascii="Verdana" w:hAnsi="Verdana"/>
          <w:color w:val="404040"/>
          <w:sz w:val="17"/>
          <w:szCs w:val="17"/>
        </w:rPr>
        <w:t>David Expósito y Ana Martinez Used</w:t>
      </w:r>
    </w:p>
    <w:p w14:paraId="5102FF4B" w14:textId="77777777" w:rsidR="00FE485C" w:rsidRDefault="00FE485C" w:rsidP="00FE485C">
      <w:pPr>
        <w:rPr>
          <w:rFonts w:ascii="Verdana" w:hAnsi="Verdana"/>
          <w:b/>
          <w:bCs/>
          <w:color w:val="404040"/>
          <w:sz w:val="17"/>
          <w:szCs w:val="17"/>
        </w:rPr>
      </w:pPr>
    </w:p>
    <w:p w14:paraId="7B08C971" w14:textId="77777777" w:rsidR="00FE485C" w:rsidRPr="00FE485C" w:rsidRDefault="00FE485C" w:rsidP="00FE485C">
      <w:pPr>
        <w:rPr>
          <w:rFonts w:ascii="Verdana" w:hAnsi="Verdana"/>
          <w:color w:val="404040"/>
          <w:sz w:val="17"/>
          <w:szCs w:val="17"/>
        </w:rPr>
      </w:pPr>
      <w:r>
        <w:rPr>
          <w:rFonts w:ascii="Verdana" w:hAnsi="Verdana"/>
          <w:b/>
          <w:bCs/>
          <w:color w:val="404040"/>
          <w:sz w:val="17"/>
          <w:szCs w:val="17"/>
        </w:rPr>
        <w:t>ALCANCE</w:t>
      </w:r>
    </w:p>
    <w:p w14:paraId="1B24F528" w14:textId="77777777" w:rsidR="00295BCF" w:rsidRPr="00FE485C" w:rsidRDefault="00FE485C" w:rsidP="00295BCF">
      <w:pPr>
        <w:rPr>
          <w:rFonts w:ascii="Verdana" w:hAnsi="Verdana"/>
          <w:color w:val="404040"/>
          <w:sz w:val="17"/>
          <w:szCs w:val="17"/>
        </w:rPr>
      </w:pPr>
      <w:r w:rsidRPr="00FE485C">
        <w:rPr>
          <w:rFonts w:ascii="Verdana" w:hAnsi="Verdana"/>
          <w:color w:val="404040"/>
          <w:sz w:val="17"/>
          <w:szCs w:val="17"/>
        </w:rPr>
        <w:t xml:space="preserve">Este entorno debe recoger toda la información de los productos asociados a </w:t>
      </w:r>
      <w:proofErr w:type="spellStart"/>
      <w:r w:rsidRPr="00FE485C">
        <w:rPr>
          <w:rFonts w:ascii="Verdana" w:hAnsi="Verdana"/>
          <w:color w:val="404040"/>
          <w:sz w:val="17"/>
          <w:szCs w:val="17"/>
        </w:rPr>
        <w:t>BlockInCloud</w:t>
      </w:r>
      <w:proofErr w:type="spellEnd"/>
      <w:r w:rsidRPr="00FE485C">
        <w:rPr>
          <w:rFonts w:ascii="Verdana" w:hAnsi="Verdana"/>
          <w:color w:val="404040"/>
          <w:sz w:val="17"/>
          <w:szCs w:val="17"/>
        </w:rPr>
        <w:t xml:space="preserve">, y </w:t>
      </w:r>
      <w:r>
        <w:rPr>
          <w:rFonts w:ascii="Verdana" w:hAnsi="Verdana"/>
          <w:color w:val="404040"/>
          <w:sz w:val="17"/>
          <w:szCs w:val="17"/>
        </w:rPr>
        <w:t>aquellos que esta Suite necesita para su funcionamiento. Se incluirán en el mismo todas las versiones de la documentación que estén o puedan estar en uso.</w:t>
      </w:r>
    </w:p>
    <w:p w14:paraId="73DDB1CE" w14:textId="77777777" w:rsidR="00FE485C" w:rsidRDefault="00FE485C" w:rsidP="00295BCF">
      <w:pPr>
        <w:rPr>
          <w:rFonts w:ascii="Verdana" w:hAnsi="Verdana"/>
          <w:color w:val="404040"/>
          <w:sz w:val="17"/>
          <w:szCs w:val="17"/>
        </w:rPr>
      </w:pPr>
    </w:p>
    <w:p w14:paraId="1AFB2778" w14:textId="77777777" w:rsidR="00FE485C" w:rsidRPr="00FE485C" w:rsidRDefault="00FE485C" w:rsidP="00295BCF">
      <w:pPr>
        <w:rPr>
          <w:rFonts w:ascii="Verdana" w:hAnsi="Verdana"/>
          <w:b/>
          <w:bCs/>
          <w:color w:val="404040"/>
          <w:sz w:val="17"/>
          <w:szCs w:val="17"/>
        </w:rPr>
      </w:pPr>
      <w:r w:rsidRPr="00FE485C">
        <w:rPr>
          <w:rFonts w:ascii="Verdana" w:hAnsi="Verdana"/>
          <w:b/>
          <w:bCs/>
          <w:color w:val="404040"/>
          <w:sz w:val="17"/>
          <w:szCs w:val="17"/>
        </w:rPr>
        <w:t>DOCUMENTACIÓN DE REFERENCIA</w:t>
      </w:r>
    </w:p>
    <w:p w14:paraId="3025F558" w14:textId="77777777" w:rsidR="00FE485C" w:rsidRDefault="00FE485C" w:rsidP="00295BCF">
      <w:pPr>
        <w:rPr>
          <w:rFonts w:ascii="Verdana" w:hAnsi="Verdana"/>
          <w:color w:val="404040"/>
          <w:sz w:val="17"/>
          <w:szCs w:val="17"/>
        </w:rPr>
      </w:pPr>
    </w:p>
    <w:p w14:paraId="782F319C" w14:textId="77777777" w:rsidR="00FE485C" w:rsidRDefault="00FE485C" w:rsidP="00295BCF">
      <w:pPr>
        <w:rPr>
          <w:rFonts w:ascii="Verdana" w:hAnsi="Verdana"/>
          <w:color w:val="404040"/>
          <w:sz w:val="17"/>
          <w:szCs w:val="17"/>
        </w:rPr>
      </w:pPr>
      <w:bookmarkStart w:id="0" w:name="_GoBack"/>
      <w:bookmarkEnd w:id="0"/>
    </w:p>
    <w:sectPr w:rsidR="00FE48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64E1B"/>
    <w:multiLevelType w:val="hybridMultilevel"/>
    <w:tmpl w:val="502ACDD8"/>
    <w:lvl w:ilvl="0" w:tplc="0C0A0001">
      <w:start w:val="1"/>
      <w:numFmt w:val="bullet"/>
      <w:lvlText w:val=""/>
      <w:lvlJc w:val="left"/>
      <w:pPr>
        <w:ind w:left="1115" w:hanging="360"/>
      </w:pPr>
      <w:rPr>
        <w:rFonts w:ascii="Symbol" w:hAnsi="Symbol" w:hint="default"/>
      </w:rPr>
    </w:lvl>
    <w:lvl w:ilvl="1" w:tplc="0C0A0003">
      <w:start w:val="1"/>
      <w:numFmt w:val="bullet"/>
      <w:lvlText w:val="o"/>
      <w:lvlJc w:val="left"/>
      <w:pPr>
        <w:ind w:left="1835" w:hanging="360"/>
      </w:pPr>
      <w:rPr>
        <w:rFonts w:ascii="Courier New" w:hAnsi="Courier New" w:cs="Courier New" w:hint="default"/>
      </w:rPr>
    </w:lvl>
    <w:lvl w:ilvl="2" w:tplc="0C0A0005">
      <w:start w:val="1"/>
      <w:numFmt w:val="bullet"/>
      <w:lvlText w:val=""/>
      <w:lvlJc w:val="left"/>
      <w:pPr>
        <w:ind w:left="2555" w:hanging="360"/>
      </w:pPr>
      <w:rPr>
        <w:rFonts w:ascii="Wingdings" w:hAnsi="Wingdings" w:hint="default"/>
      </w:rPr>
    </w:lvl>
    <w:lvl w:ilvl="3" w:tplc="0C0A0001">
      <w:start w:val="1"/>
      <w:numFmt w:val="bullet"/>
      <w:lvlText w:val=""/>
      <w:lvlJc w:val="left"/>
      <w:pPr>
        <w:ind w:left="3275" w:hanging="360"/>
      </w:pPr>
      <w:rPr>
        <w:rFonts w:ascii="Symbol" w:hAnsi="Symbol" w:hint="default"/>
      </w:rPr>
    </w:lvl>
    <w:lvl w:ilvl="4" w:tplc="0C0A0003">
      <w:start w:val="1"/>
      <w:numFmt w:val="bullet"/>
      <w:lvlText w:val="o"/>
      <w:lvlJc w:val="left"/>
      <w:pPr>
        <w:ind w:left="3995" w:hanging="360"/>
      </w:pPr>
      <w:rPr>
        <w:rFonts w:ascii="Courier New" w:hAnsi="Courier New" w:cs="Courier New" w:hint="default"/>
      </w:rPr>
    </w:lvl>
    <w:lvl w:ilvl="5" w:tplc="0C0A0005">
      <w:start w:val="1"/>
      <w:numFmt w:val="bullet"/>
      <w:lvlText w:val=""/>
      <w:lvlJc w:val="left"/>
      <w:pPr>
        <w:ind w:left="4715" w:hanging="360"/>
      </w:pPr>
      <w:rPr>
        <w:rFonts w:ascii="Wingdings" w:hAnsi="Wingdings" w:hint="default"/>
      </w:rPr>
    </w:lvl>
    <w:lvl w:ilvl="6" w:tplc="0C0A0001">
      <w:start w:val="1"/>
      <w:numFmt w:val="bullet"/>
      <w:lvlText w:val=""/>
      <w:lvlJc w:val="left"/>
      <w:pPr>
        <w:ind w:left="5435" w:hanging="360"/>
      </w:pPr>
      <w:rPr>
        <w:rFonts w:ascii="Symbol" w:hAnsi="Symbol" w:hint="default"/>
      </w:rPr>
    </w:lvl>
    <w:lvl w:ilvl="7" w:tplc="0C0A0003">
      <w:start w:val="1"/>
      <w:numFmt w:val="bullet"/>
      <w:lvlText w:val="o"/>
      <w:lvlJc w:val="left"/>
      <w:pPr>
        <w:ind w:left="6155" w:hanging="360"/>
      </w:pPr>
      <w:rPr>
        <w:rFonts w:ascii="Courier New" w:hAnsi="Courier New" w:cs="Courier New" w:hint="default"/>
      </w:rPr>
    </w:lvl>
    <w:lvl w:ilvl="8" w:tplc="0C0A0005">
      <w:start w:val="1"/>
      <w:numFmt w:val="bullet"/>
      <w:lvlText w:val=""/>
      <w:lvlJc w:val="left"/>
      <w:pPr>
        <w:ind w:left="6875" w:hanging="360"/>
      </w:pPr>
      <w:rPr>
        <w:rFonts w:ascii="Wingdings" w:hAnsi="Wingdings" w:hint="default"/>
      </w:rPr>
    </w:lvl>
  </w:abstractNum>
  <w:abstractNum w:abstractNumId="1" w15:restartNumberingAfterBreak="0">
    <w:nsid w:val="49E63E64"/>
    <w:multiLevelType w:val="hybridMultilevel"/>
    <w:tmpl w:val="9E244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00D6970"/>
    <w:multiLevelType w:val="hybridMultilevel"/>
    <w:tmpl w:val="814E0A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BFC536D"/>
    <w:multiLevelType w:val="hybridMultilevel"/>
    <w:tmpl w:val="78A82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CF"/>
    <w:rsid w:val="00192393"/>
    <w:rsid w:val="00295BCF"/>
    <w:rsid w:val="003A7067"/>
    <w:rsid w:val="00A25670"/>
    <w:rsid w:val="00A85C4E"/>
    <w:rsid w:val="00B476E0"/>
    <w:rsid w:val="00CE368D"/>
    <w:rsid w:val="00FE4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A669"/>
  <w15:chartTrackingRefBased/>
  <w15:docId w15:val="{A0CF88D9-CFDD-4935-828F-634E1BA4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B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95BCF"/>
    <w:pPr>
      <w:ind w:left="720"/>
      <w:contextualSpacing/>
    </w:pPr>
  </w:style>
  <w:style w:type="paragraph" w:styleId="Ttulo">
    <w:name w:val="Title"/>
    <w:basedOn w:val="Normal"/>
    <w:next w:val="Normal"/>
    <w:link w:val="TtuloCar"/>
    <w:uiPriority w:val="10"/>
    <w:qFormat/>
    <w:rsid w:val="00295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5BCF"/>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295B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129552">
      <w:bodyDiv w:val="1"/>
      <w:marLeft w:val="0"/>
      <w:marRight w:val="0"/>
      <w:marTop w:val="0"/>
      <w:marBottom w:val="0"/>
      <w:divBdr>
        <w:top w:val="none" w:sz="0" w:space="0" w:color="auto"/>
        <w:left w:val="none" w:sz="0" w:space="0" w:color="auto"/>
        <w:bottom w:val="none" w:sz="0" w:space="0" w:color="auto"/>
        <w:right w:val="none" w:sz="0" w:space="0" w:color="auto"/>
      </w:divBdr>
    </w:div>
    <w:div w:id="1446121055">
      <w:bodyDiv w:val="1"/>
      <w:marLeft w:val="0"/>
      <w:marRight w:val="0"/>
      <w:marTop w:val="0"/>
      <w:marBottom w:val="0"/>
      <w:divBdr>
        <w:top w:val="none" w:sz="0" w:space="0" w:color="auto"/>
        <w:left w:val="none" w:sz="0" w:space="0" w:color="auto"/>
        <w:bottom w:val="none" w:sz="0" w:space="0" w:color="auto"/>
        <w:right w:val="none" w:sz="0" w:space="0" w:color="auto"/>
      </w:divBdr>
    </w:div>
    <w:div w:id="207770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328</Words>
  <Characters>1804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Poblaciones Fernandez</dc:creator>
  <cp:keywords/>
  <dc:description/>
  <cp:lastModifiedBy>Clara Escudero</cp:lastModifiedBy>
  <cp:revision>3</cp:revision>
  <dcterms:created xsi:type="dcterms:W3CDTF">2019-09-09T14:57:00Z</dcterms:created>
  <dcterms:modified xsi:type="dcterms:W3CDTF">2019-09-11T13:27:00Z</dcterms:modified>
</cp:coreProperties>
</file>