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A259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Individual Contribution: Design Commentary and Project Retrospective</w:t>
      </w:r>
    </w:p>
    <w:p w14:paraId="23466BB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Author:</w:t>
      </w:r>
      <w:r>
        <w:rPr>
          <w:rFonts w:hint="default" w:ascii="Times New Roman" w:hAnsi="Times New Roman" w:cs="Times New Roman"/>
        </w:rPr>
        <w:t xml:space="preserve"> Wenxi Zhang</w:t>
      </w:r>
    </w:p>
    <w:p w14:paraId="718A7C5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Student ID:</w:t>
      </w:r>
      <w:r>
        <w:rPr>
          <w:rFonts w:hint="default" w:ascii="Times New Roman" w:hAnsi="Times New Roman" w:cs="Times New Roman"/>
        </w:rPr>
        <w:t xml:space="preserve"> 3075674Z</w:t>
      </w:r>
    </w:p>
    <w:p w14:paraId="05299BB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Group:</w:t>
      </w:r>
      <w:r>
        <w:rPr>
          <w:rFonts w:hint="default" w:ascii="Times New Roman" w:hAnsi="Times New Roman" w:cs="Times New Roman"/>
        </w:rPr>
        <w:t xml:space="preserve"> Group 23 - Staff Allocation System</w:t>
      </w:r>
    </w:p>
    <w:p w14:paraId="0D2C395B">
      <w:pPr>
        <w:keepNext w:val="0"/>
        <w:keepLines w:val="0"/>
        <w:widowControl/>
        <w:suppressLineNumbers w:val="0"/>
        <w:rPr>
          <w:rFonts w:hint="default" w:ascii="Times New Roman" w:hAnsi="Times New Roman" w:cs="Times New Roman"/>
        </w:rPr>
      </w:pPr>
    </w:p>
    <w:p w14:paraId="19B626A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1. Design Commentary: Architectural Rationale</w:t>
      </w:r>
    </w:p>
    <w:p w14:paraId="34029EA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1.1. Decoupling and Abstraction</w:t>
      </w:r>
    </w:p>
    <w:p w14:paraId="28733D9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architectural design of the Group 23 Staff Allocation System prioritizes </w:t>
      </w:r>
      <w:r>
        <w:rPr>
          <w:rFonts w:hint="default" w:ascii="Times New Roman" w:hAnsi="Times New Roman" w:cs="Times New Roman"/>
          <w:b/>
          <w:bCs/>
          <w:sz w:val="24"/>
          <w:szCs w:val="24"/>
        </w:rPr>
        <w:t>maintainability</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extensibility</w:t>
      </w:r>
      <w:r>
        <w:rPr>
          <w:rFonts w:hint="default" w:ascii="Times New Roman" w:hAnsi="Times New Roman" w:cs="Times New Roman"/>
          <w:sz w:val="24"/>
          <w:szCs w:val="24"/>
        </w:rPr>
        <w:t xml:space="preserve">. A critical decision was the implementation of a layered architecture, specifically utilizing the </w:t>
      </w:r>
      <w:r>
        <w:rPr>
          <w:rStyle w:val="8"/>
          <w:rFonts w:hint="default" w:ascii="Times New Roman" w:hAnsi="Times New Roman" w:cs="Times New Roman"/>
          <w:sz w:val="24"/>
          <w:szCs w:val="24"/>
        </w:rPr>
        <w:t>DataStore</w:t>
      </w:r>
      <w:r>
        <w:rPr>
          <w:rFonts w:hint="default" w:ascii="Times New Roman" w:hAnsi="Times New Roman" w:cs="Times New Roman"/>
          <w:sz w:val="24"/>
          <w:szCs w:val="24"/>
        </w:rPr>
        <w:t xml:space="preserve"> interface. This serves as an abstraction layer between the core business logic and the persistence mechanism (CSV files). By decoupling these components, the </w:t>
      </w:r>
      <w:r>
        <w:rPr>
          <w:rStyle w:val="8"/>
          <w:rFonts w:hint="default" w:ascii="Times New Roman" w:hAnsi="Times New Roman" w:cs="Times New Roman"/>
          <w:sz w:val="24"/>
          <w:szCs w:val="24"/>
        </w:rPr>
        <w:t>StaffAllocator</w:t>
      </w:r>
      <w:r>
        <w:rPr>
          <w:rFonts w:hint="default" w:ascii="Times New Roman" w:hAnsi="Times New Roman" w:cs="Times New Roman"/>
          <w:sz w:val="24"/>
          <w:szCs w:val="24"/>
        </w:rPr>
        <w:t xml:space="preserve"> remains agnostic of the underlying data format. This ensures that a transition to a relational database would require zero modifications to the allocation algorithms, effectively future-proofing the system.</w:t>
      </w:r>
    </w:p>
    <w:p w14:paraId="3E2DE82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1.2. Encapsulation and Domain Logic</w:t>
      </w:r>
    </w:p>
    <w:p w14:paraId="08F2532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Adhering to the </w:t>
      </w:r>
      <w:r>
        <w:rPr>
          <w:rFonts w:hint="default" w:ascii="Times New Roman" w:hAnsi="Times New Roman" w:cs="Times New Roman"/>
          <w:b/>
          <w:bCs/>
          <w:sz w:val="24"/>
          <w:szCs w:val="24"/>
        </w:rPr>
        <w:t>Information Expert</w:t>
      </w:r>
      <w:r>
        <w:rPr>
          <w:rFonts w:hint="default" w:ascii="Times New Roman" w:hAnsi="Times New Roman" w:cs="Times New Roman"/>
          <w:sz w:val="24"/>
          <w:szCs w:val="24"/>
        </w:rPr>
        <w:t xml:space="preserve"> principle, we ensured that domain logic is encapsulated within the appropriate model classes. Rather than implementing a monolithic controller, responsibilities are distributed: the </w:t>
      </w:r>
      <w:r>
        <w:rPr>
          <w:rStyle w:val="8"/>
          <w:rFonts w:hint="default" w:ascii="Times New Roman" w:hAnsi="Times New Roman" w:cs="Times New Roman"/>
          <w:sz w:val="24"/>
          <w:szCs w:val="24"/>
        </w:rPr>
        <w:t>Teacher</w:t>
      </w:r>
      <w:r>
        <w:rPr>
          <w:rFonts w:hint="default" w:ascii="Times New Roman" w:hAnsi="Times New Roman" w:cs="Times New Roman"/>
          <w:sz w:val="24"/>
          <w:szCs w:val="24"/>
        </w:rPr>
        <w:t xml:space="preserve"> class manages its own skill verification and availability checks, while the </w:t>
      </w:r>
      <w:r>
        <w:rPr>
          <w:rStyle w:val="8"/>
          <w:rFonts w:hint="default" w:ascii="Times New Roman" w:hAnsi="Times New Roman" w:cs="Times New Roman"/>
          <w:sz w:val="24"/>
          <w:szCs w:val="24"/>
        </w:rPr>
        <w:t>TeachingRequirement</w:t>
      </w:r>
      <w:r>
        <w:rPr>
          <w:rFonts w:hint="default" w:ascii="Times New Roman" w:hAnsi="Times New Roman" w:cs="Times New Roman"/>
          <w:sz w:val="24"/>
          <w:szCs w:val="24"/>
        </w:rPr>
        <w:t xml:space="preserve"> class tracks its specific resource needs. This high cohesion within classes reduces side effects and simplifies the unit testing process, as each component can be validated in isolation.</w:t>
      </w:r>
    </w:p>
    <w:p w14:paraId="2C6DBAD3">
      <w:pPr>
        <w:keepNext w:val="0"/>
        <w:keepLines w:val="0"/>
        <w:widowControl/>
        <w:suppressLineNumbers w:val="0"/>
        <w:rPr>
          <w:rFonts w:hint="default" w:ascii="Times New Roman" w:hAnsi="Times New Roman" w:cs="Times New Roman"/>
        </w:rPr>
      </w:pPr>
    </w:p>
    <w:p w14:paraId="6DB3B1F2">
      <w:pPr>
        <w:pStyle w:val="3"/>
        <w:keepNext w:val="0"/>
        <w:keepLines w:val="0"/>
        <w:widowControl/>
        <w:suppressLineNumbers w:val="0"/>
        <w:rPr>
          <w:rFonts w:hint="default" w:ascii="Times New Roman" w:hAnsi="Times New Roman" w:cs="Times New Roman"/>
          <w:b/>
          <w:bCs/>
          <w:sz w:val="36"/>
          <w:szCs w:val="36"/>
        </w:rPr>
      </w:pPr>
    </w:p>
    <w:p w14:paraId="37349CE7">
      <w:pPr>
        <w:pStyle w:val="3"/>
        <w:keepNext w:val="0"/>
        <w:keepLines w:val="0"/>
        <w:widowControl/>
        <w:suppressLineNumbers w:val="0"/>
        <w:rPr>
          <w:rFonts w:hint="default" w:ascii="Times New Roman" w:hAnsi="Times New Roman" w:cs="Times New Roman"/>
          <w:sz w:val="36"/>
          <w:szCs w:val="36"/>
        </w:rPr>
      </w:pPr>
      <w:bookmarkStart w:id="0" w:name="_GoBack"/>
      <w:bookmarkEnd w:id="0"/>
      <w:r>
        <w:rPr>
          <w:rFonts w:hint="default" w:ascii="Times New Roman" w:hAnsi="Times New Roman" w:cs="Times New Roman"/>
          <w:b/>
          <w:bCs/>
          <w:sz w:val="36"/>
          <w:szCs w:val="36"/>
        </w:rPr>
        <w:t>2. Project Retrospective: Collaboration and Reflection</w:t>
      </w:r>
    </w:p>
    <w:p w14:paraId="63CE79D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2.1. Version Control and Asynchronous Workflow</w:t>
      </w:r>
    </w:p>
    <w:p w14:paraId="35A6BB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Our team utilized an industry-standard </w:t>
      </w:r>
      <w:r>
        <w:rPr>
          <w:rFonts w:hint="default" w:ascii="Times New Roman" w:hAnsi="Times New Roman" w:cs="Times New Roman"/>
          <w:b/>
          <w:bCs/>
          <w:sz w:val="24"/>
          <w:szCs w:val="24"/>
        </w:rPr>
        <w:t>Git/GitHub workflow</w:t>
      </w:r>
      <w:r>
        <w:rPr>
          <w:rFonts w:hint="default" w:ascii="Times New Roman" w:hAnsi="Times New Roman" w:cs="Times New Roman"/>
          <w:sz w:val="24"/>
          <w:szCs w:val="24"/>
        </w:rPr>
        <w:t xml:space="preserve"> to manage collaboration. As the lead for UML documentation, I maintained a dedicated feature branch (</w:t>
      </w:r>
      <w:r>
        <w:rPr>
          <w:rStyle w:val="8"/>
          <w:rFonts w:hint="default" w:ascii="Times New Roman" w:hAnsi="Times New Roman" w:cs="Times New Roman"/>
          <w:sz w:val="24"/>
          <w:szCs w:val="24"/>
        </w:rPr>
        <w:t>Wenxi-uml-design</w:t>
      </w:r>
      <w:r>
        <w:rPr>
          <w:rFonts w:hint="default" w:ascii="Times New Roman" w:hAnsi="Times New Roman" w:cs="Times New Roman"/>
          <w:sz w:val="24"/>
          <w:szCs w:val="24"/>
        </w:rPr>
        <w:t>) to ensure that documentation evolved synchronously with the codebase. This prevented "documentation lag" and ensured that our visual models remained a "Single Source of Truth" for the developers (Lu Liu and Yanyu Ge) throughout the sprint.</w:t>
      </w:r>
    </w:p>
    <w:p w14:paraId="1EE68C2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2.2. Challenges: Data Normalization in CSV</w:t>
      </w:r>
    </w:p>
    <w:p w14:paraId="04DEAA4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primary technical hurdle was representing complex, multi-valued attributes—such as a teacher's skill set—within the flat structure of a CSV file. Through iterative peer reviews and group discussions, we standardized a </w:t>
      </w:r>
      <w:r>
        <w:rPr>
          <w:rFonts w:hint="default" w:ascii="Times New Roman" w:hAnsi="Times New Roman" w:cs="Times New Roman"/>
          <w:b/>
          <w:bCs/>
          <w:sz w:val="24"/>
          <w:szCs w:val="24"/>
        </w:rPr>
        <w:t>Semicolon-Separated Value (SSV)</w:t>
      </w:r>
      <w:r>
        <w:rPr>
          <w:rFonts w:hint="default" w:ascii="Times New Roman" w:hAnsi="Times New Roman" w:cs="Times New Roman"/>
          <w:sz w:val="24"/>
          <w:szCs w:val="24"/>
        </w:rPr>
        <w:t xml:space="preserve"> format within our data cells. This required a coordinated update to both the </w:t>
      </w:r>
      <w:r>
        <w:rPr>
          <w:rStyle w:val="8"/>
          <w:rFonts w:hint="default" w:ascii="Times New Roman" w:hAnsi="Times New Roman" w:cs="Times New Roman"/>
          <w:sz w:val="24"/>
          <w:szCs w:val="24"/>
        </w:rPr>
        <w:t>FileHandler</w:t>
      </w:r>
      <w:r>
        <w:rPr>
          <w:rFonts w:hint="default" w:ascii="Times New Roman" w:hAnsi="Times New Roman" w:cs="Times New Roman"/>
          <w:sz w:val="24"/>
          <w:szCs w:val="24"/>
        </w:rPr>
        <w:t xml:space="preserve"> parsing logic and the UML Class Diagram to maintain structural integrity.</w:t>
      </w:r>
    </w:p>
    <w:p w14:paraId="5C4DB2C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2.3. Conclusion and Learning Outcomes</w:t>
      </w:r>
    </w:p>
    <w:p w14:paraId="5564917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project highlighted the critical importance of a </w:t>
      </w:r>
      <w:r>
        <w:rPr>
          <w:rFonts w:hint="default" w:ascii="Times New Roman" w:hAnsi="Times New Roman" w:cs="Times New Roman"/>
          <w:b/>
          <w:bCs/>
          <w:sz w:val="24"/>
          <w:szCs w:val="24"/>
        </w:rPr>
        <w:t>Design-First</w:t>
      </w:r>
      <w:r>
        <w:rPr>
          <w:rFonts w:hint="default" w:ascii="Times New Roman" w:hAnsi="Times New Roman" w:cs="Times New Roman"/>
          <w:sz w:val="24"/>
          <w:szCs w:val="24"/>
        </w:rPr>
        <w:t xml:space="preserve"> approach. Navigating the Pull Request (PR) process and responding to peer feedback—such as refining the UML diagram's formal nomenclature—refined my understanding of professional software documentation. The experience demonstrated that clear communication through standardized models is as vital to project success as the underlying source code.</w:t>
      </w:r>
    </w:p>
    <w:p w14:paraId="323E18D8">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881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2026-03-10T22:04:59Z</dcterms:created>
  <dc:creator>11504</dc:creator>
  <cp:lastModifiedBy>北冥的鱼</cp:lastModifiedBy>
  <dcterms:modified xsi:type="dcterms:W3CDTF">2026-03-10T22:07:30Z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eyJoZGlkIjoiMTVkMGFhMTBjZmUxNTIzMmI4OTRkMmY3NDc5M2ZhNjkiLCJ1c2VySWQiOiIyMzE5NzgzMjYifQ==</vt:lpwstr>
  </property>
  <property fmtid="{D5CDD505-2E9C-101B-9397-08002B2CF9AE}" pid="4" name="ICV">
    <vt:lpwstr>B58E36421BBA480E99350BB38F81E774_12</vt:lpwstr>
  </property>
</Properties>
</file>