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BD5A1">
      <w:pPr>
        <w:pStyle w:val="2"/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Incident Response Report</w:t>
      </w:r>
    </w:p>
    <w:p w14:paraId="1C72294C">
      <w:pPr>
        <w:pStyle w:val="3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Incident ID</w:t>
      </w:r>
    </w:p>
    <w:p w14:paraId="0C3E6C20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IR-2026-01-CREATOR-001</w:t>
      </w:r>
    </w:p>
    <w:p w14:paraId="099B9B54">
      <w:pPr>
        <w:pStyle w:val="3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Incident Title</w:t>
      </w:r>
    </w:p>
    <w:p w14:paraId="65816B79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Suspected Creator-Targeted Advance-Fee / Identity Harvesting Scam</w:t>
      </w:r>
    </w:p>
    <w:p w14:paraId="2D08B0BB">
      <w:pPr>
        <w:pStyle w:val="3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Incident Category</w:t>
      </w:r>
    </w:p>
    <w:p w14:paraId="6661D453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Social Engineering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Fraud / Financial Scam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Phishing (Non-Credential)</w:t>
      </w:r>
    </w:p>
    <w:p w14:paraId="45F92371">
      <w:pPr>
        <w:pStyle w:val="3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Severity</w:t>
      </w:r>
    </w:p>
    <w:p w14:paraId="6AF969CE">
      <w:pP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Medium</w:t>
      </w:r>
    </w:p>
    <w:p w14:paraId="40DEDF0E">
      <w:pPr>
        <w:pStyle w:val="3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Date / Time Detected</w:t>
      </w:r>
    </w:p>
    <w:p w14:paraId="15372FCB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20 January 2026</w:t>
      </w:r>
    </w:p>
    <w:p w14:paraId="38E85B57">
      <w:pPr>
        <w:pStyle w:val="3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Detection Method</w:t>
      </w:r>
    </w:p>
    <w:p w14:paraId="4234E87F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Manual review of suspicious inbound email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Email header and content analysis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Correlation of initial outreach and follow-up email</w:t>
      </w:r>
    </w:p>
    <w:p w14:paraId="25F805DD">
      <w:pPr>
        <w:pStyle w:val="3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Executive Summary</w:t>
      </w:r>
    </w:p>
    <w:p w14:paraId="203FA0E4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An external sender attempted to socially engineer the organization into a fraudulent creator partnership by advertising high-value compensation and requesting upfront coordination details through an external form.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Although the messages passed standard email authentication checks (SPF/DKIM), analysis identified multiple indicators consistent with advance-fee fraud and identity harvesting. The attempt was detected early, no data was submitted, and no financial loss occurred.</w:t>
      </w:r>
    </w:p>
    <w:p w14:paraId="2E2764E2">
      <w:pPr>
        <w:rPr>
          <w:rFonts w:hint="default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The attacker-provided link (hxxps://sweep-invite[.]digital/connect-creator) was accessed in a controlled environment to observe redirect behavior and data-collection activity.</w:t>
      </w:r>
    </w:p>
    <w:p w14:paraId="09808EA5">
      <w:pPr>
        <w:rPr>
          <w:rFonts w:hint="default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The site presented a multi-step creator onboarding workflow designed to profile YouTube creators and establish legitimacy through branding and social proof. Upon completion of the profiling steps, the workflow redirected users to a look-alike Google authentication page hosted on sweep-auth[.]app, impersonating Google OAuth login functionality.</w:t>
      </w:r>
    </w:p>
    <w:p w14:paraId="52B6CFAE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This final redirect represents a credential-harvesting attempt, intended to capture Google account credentials under the guise of YouTube channel verification. No legitimate Google authentication endpoints were used.</w:t>
      </w:r>
    </w:p>
    <w:p w14:paraId="2FA5092B">
      <w:pPr>
        <w:pStyle w:val="3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Scope &amp; Impact</w:t>
      </w:r>
    </w:p>
    <w:p w14:paraId="0857DB3A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Affected Assets: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Business inbox: inquiry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@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mydfir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com</w:t>
      </w:r>
    </w:p>
    <w:p w14:paraId="5EF4D95C">
      <w:pPr>
        <w:pStyle w:val="3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Attack Analysis</w:t>
      </w:r>
    </w:p>
    <w:p w14:paraId="697395B8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Initial Vector: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Direct email outreach to a public-facing business inbox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Observed Techniques: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Impersonation and false authority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Advance payment baiting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Borrowed credibility using real creators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Redirection to attacker-controlled external form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Kill Chain Stage: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Reconnaissance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Delivery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Social Engineering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(No execution or persistence achieved)</w:t>
      </w:r>
    </w:p>
    <w:p w14:paraId="1BC4BB7A">
      <w:pPr>
        <w:pStyle w:val="3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Key Findings</w:t>
      </w:r>
    </w:p>
    <w:p w14:paraId="2AEFA508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Sender Infrastructure: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Emails sent from free consumer email accounts (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@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libero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it)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Origination traced to residential / consumer IP addresses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No evidence of professional business or production infrastructure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Financial Scam Indicators: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'50% upfront via your preferred method' language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Undefined payment rails (no invoicing or escrow)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Pattern consistent with advance-fee and fake payment scams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</w:p>
    <w:p w14:paraId="6B2775F0">
      <w:pPr>
        <w:pStyle w:val="3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Indicators of Compromise (IOCs)</w:t>
      </w:r>
    </w:p>
    <w:p w14:paraId="61109B15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Email Addresses:</w:t>
      </w:r>
    </w:p>
    <w:p w14:paraId="169D76D1">
      <w:pPr>
        <w:numPr>
          <w:ilvl w:val="0"/>
          <w:numId w:val="7"/>
        </w:numPr>
        <w:bidi w:val="0"/>
        <w:rPr>
          <w:rFonts w:hint="default" w:ascii="Calibri" w:hAnsi="Calibri" w:cs="Calibri"/>
          <w:b w:val="0"/>
          <w:bCs w:val="0"/>
          <w:i w:val="0"/>
          <w:iCs w:val="0"/>
          <w:color w:val="000000" w:themeColor="text1"/>
          <w:sz w:val="32"/>
          <w:szCs w:val="32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 w:themeColor="text1"/>
          <w:sz w:val="32"/>
          <w:szCs w:val="32"/>
          <w:u w:val="none"/>
          <w:shd w:val="clear" w:color="auto" w:fill="auto"/>
        </w:rPr>
        <w:t>modash_partners</w:t>
      </w:r>
      <w:r>
        <w:rPr>
          <w:rFonts w:hint="default" w:ascii="Calibri" w:hAnsi="Calibri" w:cs="Calibri"/>
          <w:b w:val="0"/>
          <w:bCs w:val="0"/>
          <w:i w:val="0"/>
          <w:iCs w:val="0"/>
          <w:color w:val="000000" w:themeColor="text1"/>
          <w:sz w:val="32"/>
          <w:szCs w:val="32"/>
          <w:u w:val="none"/>
          <w:shd w:val="clear" w:color="auto" w:fill="auto"/>
          <w:lang w:val="en-US"/>
        </w:rPr>
        <w:t>[</w:t>
      </w:r>
      <w:r>
        <w:rPr>
          <w:rFonts w:hint="default" w:ascii="Calibri" w:hAnsi="Calibri" w:cs="Calibri"/>
          <w:b w:val="0"/>
          <w:bCs w:val="0"/>
          <w:i w:val="0"/>
          <w:iCs w:val="0"/>
          <w:color w:val="000000" w:themeColor="text1"/>
          <w:sz w:val="32"/>
          <w:szCs w:val="32"/>
          <w:u w:val="none"/>
          <w:shd w:val="clear" w:color="auto" w:fill="auto"/>
        </w:rPr>
        <w:t>@</w:t>
      </w:r>
      <w:r>
        <w:rPr>
          <w:rFonts w:hint="default" w:ascii="Calibri" w:hAnsi="Calibri" w:cs="Calibri"/>
          <w:b w:val="0"/>
          <w:bCs w:val="0"/>
          <w:i w:val="0"/>
          <w:iCs w:val="0"/>
          <w:color w:val="000000" w:themeColor="text1"/>
          <w:sz w:val="32"/>
          <w:szCs w:val="32"/>
          <w:u w:val="none"/>
          <w:shd w:val="clear" w:color="auto" w:fill="auto"/>
          <w:lang w:val="en-US"/>
        </w:rPr>
        <w:t>]</w:t>
      </w:r>
      <w:r>
        <w:rPr>
          <w:rFonts w:hint="default" w:ascii="Calibri" w:hAnsi="Calibri" w:cs="Calibri"/>
          <w:b w:val="0"/>
          <w:bCs w:val="0"/>
          <w:i w:val="0"/>
          <w:iCs w:val="0"/>
          <w:color w:val="000000" w:themeColor="text1"/>
          <w:sz w:val="32"/>
          <w:szCs w:val="32"/>
          <w:u w:val="none"/>
          <w:shd w:val="clear" w:color="auto" w:fill="auto"/>
        </w:rPr>
        <w:t>libero</w:t>
      </w:r>
      <w:r>
        <w:rPr>
          <w:rFonts w:hint="default" w:ascii="Calibri" w:hAnsi="Calibri" w:cs="Calibri"/>
          <w:b w:val="0"/>
          <w:bCs w:val="0"/>
          <w:i w:val="0"/>
          <w:iCs w:val="0"/>
          <w:color w:val="000000" w:themeColor="text1"/>
          <w:sz w:val="32"/>
          <w:szCs w:val="32"/>
          <w:u w:val="none"/>
          <w:shd w:val="clear" w:color="auto" w:fill="auto"/>
          <w:lang w:val="en-US"/>
        </w:rPr>
        <w:t>[</w:t>
      </w:r>
      <w:r>
        <w:rPr>
          <w:rFonts w:hint="default" w:ascii="Calibri" w:hAnsi="Calibri" w:cs="Calibri"/>
          <w:b w:val="0"/>
          <w:bCs w:val="0"/>
          <w:i w:val="0"/>
          <w:iCs w:val="0"/>
          <w:color w:val="000000" w:themeColor="text1"/>
          <w:sz w:val="32"/>
          <w:szCs w:val="32"/>
          <w:u w:val="none"/>
          <w:shd w:val="clear" w:color="auto" w:fill="auto"/>
        </w:rPr>
        <w:t>.</w:t>
      </w:r>
      <w:r>
        <w:rPr>
          <w:rFonts w:hint="default" w:ascii="Calibri" w:hAnsi="Calibri" w:cs="Calibri"/>
          <w:b w:val="0"/>
          <w:bCs w:val="0"/>
          <w:i w:val="0"/>
          <w:iCs w:val="0"/>
          <w:color w:val="000000" w:themeColor="text1"/>
          <w:sz w:val="32"/>
          <w:szCs w:val="32"/>
          <w:u w:val="none"/>
          <w:shd w:val="clear" w:color="auto" w:fill="auto"/>
          <w:lang w:val="en-US"/>
        </w:rPr>
        <w:t>]</w:t>
      </w:r>
      <w:r>
        <w:rPr>
          <w:rFonts w:hint="default" w:ascii="Calibri" w:hAnsi="Calibri" w:cs="Calibri"/>
          <w:b w:val="0"/>
          <w:bCs w:val="0"/>
          <w:i w:val="0"/>
          <w:iCs w:val="0"/>
          <w:color w:val="000000" w:themeColor="text1"/>
          <w:sz w:val="32"/>
          <w:szCs w:val="32"/>
          <w:u w:val="none"/>
          <w:shd w:val="clear" w:color="auto" w:fill="auto"/>
        </w:rPr>
        <w:t>it</w:t>
      </w:r>
    </w:p>
    <w:p w14:paraId="696692D0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cs="Calibri"/>
          <w:i w:val="0"/>
          <w:iCs w:val="0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sweep-auth[.]app</w:t>
      </w:r>
    </w:p>
    <w:p w14:paraId="70DD2401">
      <w:pPr>
        <w:numPr>
          <w:ilvl w:val="0"/>
          <w:numId w:val="8"/>
        </w:numPr>
        <w:bidi w:val="0"/>
        <w:rPr>
          <w:rFonts w:hint="default"/>
          <w:i w:val="0"/>
          <w:iCs w:val="0"/>
          <w:sz w:val="32"/>
          <w:szCs w:val="32"/>
        </w:rPr>
      </w:pPr>
      <w:r>
        <w:rPr>
          <w:rFonts w:hint="default"/>
          <w:i w:val="0"/>
          <w:iCs w:val="0"/>
          <w:sz w:val="32"/>
          <w:szCs w:val="32"/>
        </w:rPr>
        <w:t>hxxps://sweep-invite[.]digital/connect-creator</w:t>
      </w:r>
    </w:p>
    <w:p w14:paraId="63EE7E99">
      <w:pPr>
        <w:numPr>
          <w:ilvl w:val="0"/>
          <w:numId w:val="8"/>
        </w:numPr>
        <w:bidi w:val="0"/>
        <w:rPr>
          <w:rFonts w:hint="default"/>
          <w:i w:val="0"/>
          <w:iCs w:val="0"/>
          <w:sz w:val="32"/>
          <w:szCs w:val="32"/>
        </w:rPr>
      </w:pPr>
      <w:r>
        <w:rPr>
          <w:rFonts w:hint="default"/>
          <w:i w:val="0"/>
          <w:iCs w:val="0"/>
          <w:sz w:val="32"/>
          <w:szCs w:val="32"/>
        </w:rPr>
        <w:t>hxxps://sweep-auth[.]app/?continue=hxxps://myaccount[.]google[.]com/</w:t>
      </w:r>
    </w:p>
    <w:p w14:paraId="0ACF7724">
      <w:pPr>
        <w:numPr>
          <w:ilvl w:val="0"/>
          <w:numId w:val="9"/>
        </w:numPr>
        <w:ind w:left="420" w:leftChars="0" w:hanging="420" w:firstLineChars="0"/>
        <w:rPr>
          <w:i w:val="0"/>
          <w:i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i w:val="0"/>
          <w:i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collab</w:t>
      </w:r>
      <w:r>
        <w:rPr>
          <w:rFonts w:hint="default" w:ascii="Calibri" w:hAnsi="Calibri" w:cs="Calibri"/>
          <w:i w:val="0"/>
          <w:i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Calibri" w:hAnsi="Calibri" w:cs="Calibri"/>
          <w:i w:val="0"/>
          <w:i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alibri" w:hAnsi="Calibri" w:cs="Calibri"/>
          <w:i w:val="0"/>
          <w:i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Calibri" w:hAnsi="Calibri" w:cs="Calibri"/>
          <w:i w:val="0"/>
          <w:i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modash</w:t>
      </w:r>
      <w:r>
        <w:rPr>
          <w:rFonts w:hint="default" w:ascii="Calibri" w:hAnsi="Calibri" w:cs="Calibri"/>
          <w:i w:val="0"/>
          <w:i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Calibri" w:hAnsi="Calibri" w:cs="Calibri"/>
          <w:i w:val="0"/>
          <w:i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@</w:t>
      </w:r>
      <w:r>
        <w:rPr>
          <w:rFonts w:hint="default" w:ascii="Calibri" w:hAnsi="Calibri" w:cs="Calibri"/>
          <w:i w:val="0"/>
          <w:i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Calibri" w:hAnsi="Calibri" w:cs="Calibri"/>
          <w:i w:val="0"/>
          <w:i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libero</w:t>
      </w:r>
      <w:r>
        <w:rPr>
          <w:rFonts w:hint="default" w:ascii="Calibri" w:hAnsi="Calibri" w:cs="Calibri"/>
          <w:i w:val="0"/>
          <w:i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Calibri" w:hAnsi="Calibri" w:cs="Calibri"/>
          <w:i w:val="0"/>
          <w:i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alibri" w:hAnsi="Calibri" w:cs="Calibri"/>
          <w:i w:val="0"/>
          <w:i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Calibri" w:hAnsi="Calibri" w:cs="Calibri"/>
          <w:i w:val="0"/>
          <w:i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it</w:t>
      </w:r>
      <w:r>
        <w:rPr>
          <w:rFonts w:hint="default" w:ascii="Calibri" w:hAnsi="Calibri" w:cs="Calibri"/>
          <w:i/>
          <w:i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Domains: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• </w:t>
      </w:r>
      <w:r>
        <w:rPr>
          <w:i w:val="0"/>
          <w:i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libero</w:t>
      </w:r>
      <w:r>
        <w:rPr>
          <w:rFonts w:hint="default"/>
          <w:i w:val="0"/>
          <w:i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i w:val="0"/>
          <w:i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i w:val="0"/>
          <w:i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i w:val="0"/>
          <w:i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it</w:t>
      </w:r>
      <w:r>
        <w:rPr>
          <w:i w:val="0"/>
          <w:i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i w:val="0"/>
          <w:i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sweep-invite</w:t>
      </w:r>
      <w:r>
        <w:rPr>
          <w:rFonts w:hint="default"/>
          <w:i w:val="0"/>
          <w:i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i w:val="0"/>
          <w:i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i w:val="0"/>
          <w:i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i w:val="0"/>
          <w:i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digital</w:t>
      </w:r>
    </w:p>
    <w:p w14:paraId="33C61D78">
      <w:pPr>
        <w:rPr>
          <w:rFonts w:hint="default"/>
          <w:i w:val="0"/>
          <w:i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i w:val="0"/>
          <w:i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File Hashes </w:t>
      </w:r>
    </w:p>
    <w:p w14:paraId="167ED8A1">
      <w:pPr>
        <w:rPr>
          <w:rFonts w:hint="default"/>
          <w:i w:val="0"/>
          <w:i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i w:val="0"/>
          <w:i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sweep-invite[.]digital</w:t>
      </w:r>
    </w:p>
    <w:p w14:paraId="06890D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eastAsia="sans-serif" w:cs="Calibri" w:asciiTheme="majorAscii" w:hAnsiTheme="majorAscii"/>
          <w:b w:val="0"/>
          <w:bCs w:val="0"/>
          <w:i w:val="0"/>
          <w:iCs w:val="0"/>
          <w:caps w:val="0"/>
          <w:color w:val="333333"/>
          <w:spacing w:val="0"/>
          <w:sz w:val="48"/>
          <w:szCs w:val="48"/>
          <w:shd w:val="clear" w:fill="FFFFFF"/>
        </w:rPr>
      </w:pPr>
      <w:r>
        <w:rPr>
          <w:rFonts w:hint="default" w:eastAsia="sans-serif" w:cs="Calibri" w:asciiTheme="majorAscii" w:hAnsiTheme="majorAscii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/>
        </w:rPr>
        <w:t>SHA256</w:t>
      </w:r>
      <w:r>
        <w:rPr>
          <w:rFonts w:hint="default" w:eastAsia="sans-serif" w:cs="Calibri" w:asciiTheme="majorAscii" w:hAnsiTheme="majorAscii"/>
          <w:b w:val="0"/>
          <w:bCs w:val="0"/>
          <w:i w:val="0"/>
          <w:iCs w:val="0"/>
          <w:caps w:val="0"/>
          <w:color w:val="333333"/>
          <w:spacing w:val="0"/>
          <w:sz w:val="48"/>
          <w:szCs w:val="48"/>
          <w:shd w:val="clear" w:fill="FFFFFF"/>
          <w:lang w:val="en-US"/>
        </w:rPr>
        <w:t xml:space="preserve">: </w:t>
      </w:r>
      <w:r>
        <w:rPr>
          <w:rFonts w:hint="default" w:eastAsia="sans-serif" w:cs="Calibri" w:asciiTheme="majorAscii" w:hAnsiTheme="majorAscii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f0b3fc7ee78aa50031b22838117923596b320681275e5d786d8b57384f857fdf</w:t>
      </w:r>
    </w:p>
    <w:p w14:paraId="17A82F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cs="Calibri" w:asciiTheme="majorAscii" w:hAnsiTheme="majorAscii"/>
          <w:b w:val="0"/>
          <w:bCs w:val="0"/>
          <w:i w:val="0"/>
          <w:i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MD5:         d9608f70fbb357f5061a4734048c34f2</w:t>
      </w:r>
      <w:r>
        <w:rPr>
          <w:rFonts w:hint="default" w:cs="Calibri" w:asciiTheme="majorAscii" w:hAnsiTheme="majorAscii"/>
          <w:b w:val="0"/>
          <w:bCs w:val="0"/>
          <w:i w:val="0"/>
          <w:i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IP Addresses: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154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219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17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118 – Residential origin (initial outreach)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79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37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102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71 – Residential origin (reply)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213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209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10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18 – Libero outbound mail server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213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209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13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31 – Libero outbound mail server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Subject Lines: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Seria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Re: Seria</w:t>
      </w:r>
    </w:p>
    <w:p w14:paraId="180E3887">
      <w:pPr>
        <w:pStyle w:val="3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Containment Actions Taken</w:t>
      </w:r>
    </w:p>
    <w:p w14:paraId="278B6DC4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No further engagement with sender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Emails preserved with full headers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IOCs documented for tracking and correlation</w:t>
      </w:r>
    </w:p>
    <w:p w14:paraId="1ABEC6DB">
      <w:pPr>
        <w:pStyle w:val="3"/>
        <w:rPr>
          <w:b w:val="0"/>
          <w:bCs w:val="0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Recommendations</w:t>
      </w: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br w:type="textWrapping"/>
      </w:r>
      <w:r>
        <w:rPr>
          <w:b w:val="0"/>
          <w:bCs w:val="0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• Block sender email addresses and domains</w:t>
      </w:r>
      <w:r>
        <w:rPr>
          <w:b w:val="0"/>
          <w:bCs w:val="0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br w:type="textWrapping"/>
      </w:r>
      <w:r>
        <w:rPr>
          <w:b w:val="0"/>
          <w:bCs w:val="0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 xml:space="preserve">• Flag </w:t>
      </w:r>
      <w:r>
        <w:rPr>
          <w:b w:val="0"/>
          <w:bCs w:val="0"/>
          <w:color w:val="000000" w:themeColor="text1"/>
          <w:sz w:val="40"/>
          <w:szCs w:val="40"/>
          <w:highlight w:val="red"/>
          <w14:textFill>
            <w14:solidFill>
              <w14:schemeClr w14:val="tx1"/>
            </w14:solidFill>
          </w14:textFill>
        </w:rPr>
        <w:t>sweep-invite</w:t>
      </w:r>
      <w:r>
        <w:rPr>
          <w:rFonts w:hint="default"/>
          <w:b w:val="0"/>
          <w:bCs w:val="0"/>
          <w:color w:val="000000" w:themeColor="text1"/>
          <w:sz w:val="40"/>
          <w:szCs w:val="40"/>
          <w:highlight w:val="red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b w:val="0"/>
          <w:bCs w:val="0"/>
          <w:color w:val="000000" w:themeColor="text1"/>
          <w:sz w:val="40"/>
          <w:szCs w:val="40"/>
          <w:highlight w:val="red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b w:val="0"/>
          <w:bCs w:val="0"/>
          <w:color w:val="000000" w:themeColor="text1"/>
          <w:sz w:val="40"/>
          <w:szCs w:val="40"/>
          <w:highlight w:val="red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b w:val="0"/>
          <w:bCs w:val="0"/>
          <w:color w:val="000000" w:themeColor="text1"/>
          <w:sz w:val="40"/>
          <w:szCs w:val="40"/>
          <w:highlight w:val="red"/>
          <w14:textFill>
            <w14:solidFill>
              <w14:schemeClr w14:val="tx1"/>
            </w14:solidFill>
          </w14:textFill>
        </w:rPr>
        <w:t>digital</w:t>
      </w:r>
      <w:r>
        <w:rPr>
          <w:b w:val="0"/>
          <w:bCs w:val="0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 xml:space="preserve"> as malicious internally</w:t>
      </w:r>
      <w:r>
        <w:rPr>
          <w:b w:val="0"/>
          <w:bCs w:val="0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br w:type="textWrapping"/>
      </w:r>
      <w:r>
        <w:rPr>
          <w:b w:val="0"/>
          <w:bCs w:val="0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• Retain IOCs for future detection</w:t>
      </w: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Preventive:</w:t>
      </w: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•</w:t>
      </w:r>
      <w:r>
        <w:rPr>
          <w:b w:val="0"/>
          <w:bCs w:val="0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 xml:space="preserve"> Awareness training on creator-targeted scams</w:t>
      </w:r>
      <w:r>
        <w:rPr>
          <w:b w:val="0"/>
          <w:bCs w:val="0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br w:type="textWrapping"/>
      </w:r>
      <w:r>
        <w:rPr>
          <w:b w:val="0"/>
          <w:bCs w:val="0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• Require legal entity and contract before payment discussions</w:t>
      </w:r>
      <w:r>
        <w:rPr>
          <w:b w:val="0"/>
          <w:bCs w:val="0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br w:type="textWrapping"/>
      </w:r>
      <w:r>
        <w:rPr>
          <w:b w:val="0"/>
          <w:bCs w:val="0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• Email rules to flag high-value offers from free email providers</w:t>
      </w:r>
    </w:p>
    <w:p w14:paraId="3721C3A3">
      <w:pPr>
        <w:pStyle w:val="3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Lessons Learned</w:t>
      </w:r>
    </w:p>
    <w:p w14:paraId="12C5DEE3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Passing SPF/DKIM does not equate to legitimacy</w: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• Creator-economy scams increasingly mimic real collaborations</w:t>
      </w:r>
    </w:p>
    <w:p w14:paraId="41D5D023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76244697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sz w:val="44"/>
          <w:szCs w:val="44"/>
        </w:rPr>
        <w:t>Attachments / Evidence</w:t>
      </w:r>
    </w:p>
    <w:p w14:paraId="42D6FFD5"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2785E387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114300" distR="114300">
            <wp:extent cx="5484495" cy="5384800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72505">
      <w:pPr>
        <w:rPr>
          <w:sz w:val="36"/>
          <w:szCs w:val="36"/>
        </w:rPr>
      </w:pPr>
    </w:p>
    <w:p w14:paraId="03EE1B0E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114300" distR="114300">
            <wp:extent cx="5479415" cy="4753610"/>
            <wp:effectExtent l="0" t="0" r="698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475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0DA2E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114300" distR="114300">
            <wp:extent cx="5479415" cy="6895465"/>
            <wp:effectExtent l="0" t="0" r="698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689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F011D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114300" distR="114300">
            <wp:extent cx="5481955" cy="6145530"/>
            <wp:effectExtent l="0" t="0" r="444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614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8516C">
      <w:pPr>
        <w:rPr>
          <w:rFonts w:hint="default"/>
          <w:sz w:val="36"/>
          <w:szCs w:val="36"/>
          <w:lang w:val="en-US"/>
        </w:rPr>
      </w:pPr>
    </w:p>
    <w:p w14:paraId="19965561">
      <w:pPr>
        <w:rPr>
          <w:rFonts w:hint="default"/>
          <w:sz w:val="36"/>
          <w:szCs w:val="36"/>
          <w:lang w:val="en-US"/>
        </w:rPr>
      </w:pPr>
    </w:p>
    <w:p w14:paraId="123B69C9">
      <w:pPr>
        <w:rPr>
          <w:rFonts w:hint="default"/>
          <w:sz w:val="36"/>
          <w:szCs w:val="36"/>
          <w:lang w:val="en-US"/>
        </w:rPr>
      </w:pPr>
    </w:p>
    <w:p w14:paraId="7D3F5355">
      <w:pPr>
        <w:rPr>
          <w:rFonts w:hint="default"/>
          <w:sz w:val="36"/>
          <w:szCs w:val="36"/>
          <w:lang w:val="en-US"/>
        </w:rPr>
      </w:pPr>
    </w:p>
    <w:p w14:paraId="1696176A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Domain Analysis</w:t>
      </w:r>
    </w:p>
    <w:p w14:paraId="390FDDC0">
      <w:pPr>
        <w:rPr>
          <w:sz w:val="36"/>
          <w:szCs w:val="36"/>
        </w:rPr>
      </w:pPr>
      <w:bookmarkStart w:id="0" w:name="_GoBack"/>
      <w:r>
        <w:rPr>
          <w:sz w:val="36"/>
          <w:szCs w:val="36"/>
        </w:rPr>
        <w:drawing>
          <wp:inline distT="0" distB="0" distL="114300" distR="114300">
            <wp:extent cx="6647180" cy="3547745"/>
            <wp:effectExtent l="0" t="0" r="127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303DE30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114300" distR="114300">
            <wp:extent cx="6656705" cy="3808095"/>
            <wp:effectExtent l="0" t="0" r="1079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6705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3AADC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114300" distR="114300">
            <wp:extent cx="6842125" cy="2712720"/>
            <wp:effectExtent l="0" t="0" r="15875" b="1143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1A8A4">
      <w:pPr>
        <w:rPr>
          <w:sz w:val="36"/>
          <w:szCs w:val="36"/>
        </w:rPr>
      </w:pPr>
    </w:p>
    <w:p w14:paraId="7E2B53F8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114300" distR="114300">
            <wp:extent cx="6842760" cy="3961130"/>
            <wp:effectExtent l="0" t="0" r="15240" b="127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1097E">
      <w:pPr>
        <w:rPr>
          <w:sz w:val="36"/>
          <w:szCs w:val="36"/>
        </w:rPr>
      </w:pPr>
    </w:p>
    <w:p w14:paraId="79F92C23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114300" distR="114300">
            <wp:extent cx="6835140" cy="3368675"/>
            <wp:effectExtent l="0" t="0" r="3810" b="317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8F662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114300" distR="114300">
            <wp:extent cx="6837680" cy="4344670"/>
            <wp:effectExtent l="0" t="0" r="1270" b="1778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3E29D">
      <w:pPr>
        <w:rPr>
          <w:sz w:val="36"/>
          <w:szCs w:val="36"/>
        </w:rPr>
      </w:pPr>
    </w:p>
    <w:p w14:paraId="481543D9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114300" distR="114300">
            <wp:extent cx="6760210" cy="3364865"/>
            <wp:effectExtent l="0" t="0" r="2540" b="698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6021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5838C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6819900" cy="4072255"/>
            <wp:effectExtent l="0" t="0" r="0" b="444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44116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6865620" cy="3636645"/>
            <wp:effectExtent l="0" t="0" r="11430" b="1905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6562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F372C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6870700" cy="4048125"/>
            <wp:effectExtent l="0" t="0" r="6350" b="9525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EB4DA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6843395" cy="3194050"/>
            <wp:effectExtent l="0" t="0" r="14605" b="635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E05BB">
      <w:r>
        <w:drawing>
          <wp:inline distT="0" distB="0" distL="114300" distR="114300">
            <wp:extent cx="6840855" cy="4537710"/>
            <wp:effectExtent l="0" t="0" r="17145" b="1524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958CA"/>
    <w:p w14:paraId="7D00694B">
      <w:r>
        <w:drawing>
          <wp:inline distT="0" distB="0" distL="114300" distR="114300">
            <wp:extent cx="6838950" cy="3578860"/>
            <wp:effectExtent l="0" t="0" r="0" b="2540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14940">
      <w:r>
        <w:drawing>
          <wp:inline distT="0" distB="0" distL="114300" distR="114300">
            <wp:extent cx="6834505" cy="4382135"/>
            <wp:effectExtent l="0" t="0" r="4445" b="18415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34505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7E957">
      <w:r>
        <w:drawing>
          <wp:inline distT="0" distB="0" distL="114300" distR="114300">
            <wp:extent cx="6837045" cy="3502025"/>
            <wp:effectExtent l="0" t="0" r="1905" b="3175"/>
            <wp:docPr id="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62771"/>
    <w:p w14:paraId="233793D4">
      <w:r>
        <w:drawing>
          <wp:inline distT="0" distB="0" distL="114300" distR="114300">
            <wp:extent cx="6839585" cy="4053205"/>
            <wp:effectExtent l="0" t="0" r="18415" b="4445"/>
            <wp:docPr id="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E1819">
      <w:r>
        <w:drawing>
          <wp:inline distT="0" distB="0" distL="114300" distR="114300">
            <wp:extent cx="6978650" cy="4589780"/>
            <wp:effectExtent l="0" t="0" r="12700" b="1270"/>
            <wp:docPr id="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78650" cy="45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C9DF7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7029450" cy="3253105"/>
            <wp:effectExtent l="0" t="0" r="0" b="4445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320" w:bottom="1440" w:left="7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Bernard MT Condensed">
    <w:panose1 w:val="02050806060905020404"/>
    <w:charset w:val="00"/>
    <w:family w:val="auto"/>
    <w:pitch w:val="default"/>
    <w:sig w:usb0="00000003" w:usb1="00000000" w:usb2="00000000" w:usb3="00000000" w:csb0="20000001" w:csb1="0000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ndara Light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57A2062"/>
    <w:multiLevelType w:val="singleLevel"/>
    <w:tmpl w:val="057A206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7">
    <w:nsid w:val="0C8CDC52"/>
    <w:multiLevelType w:val="singleLevel"/>
    <w:tmpl w:val="0C8CDC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8">
    <w:nsid w:val="6E448E79"/>
    <w:multiLevelType w:val="singleLevel"/>
    <w:tmpl w:val="6E448E7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B319D0"/>
    <w:rsid w:val="0BBE4C0F"/>
    <w:rsid w:val="469849B3"/>
    <w:rsid w:val="49C37BB7"/>
    <w:rsid w:val="6EB9175F"/>
    <w:rsid w:val="78FD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21">
    <w:name w:val="Hyperlink"/>
    <w:basedOn w:val="11"/>
    <w:unhideWhenUsed/>
    <w:uiPriority w:val="99"/>
    <w:rPr>
      <w:color w:val="0000FF"/>
      <w:u w:val="single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198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Calvin Tobechi</cp:lastModifiedBy>
  <dcterms:modified xsi:type="dcterms:W3CDTF">2026-01-21T02:45:28Z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4FC716E880AD4550AABDCE927689A01F_12</vt:lpwstr>
  </property>
</Properties>
</file>