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B07D18"/>
          <w:spacing w:val="60"/>
          <w:sz w:val="26"/>
          <w:szCs w:val="26"/>
        </w:rPr>
        <w:t xml:space="preserve">CURSO MODULAR</w:t>
      </w:r>
    </w:p>
    <w:p>
      <w:pPr>
        <w:spacing w:after="0" w:before="120"/>
        <w:jc w:val="center"/>
      </w:pPr>
      <w:r>
        <w:rPr>
          <w:rFonts w:ascii="Georgia" w:cs="Georgia" w:eastAsia="Georgia" w:hAnsi="Georgia"/>
          <w:b/>
          <w:bCs/>
          <w:color w:val="13293D"/>
          <w:sz w:val="96"/>
          <w:szCs w:val="96"/>
        </w:rPr>
        <w:t xml:space="preserve">DR-CAFTA</w:t>
      </w:r>
    </w:p>
    <w:p>
      <w:pPr>
        <w:spacing w:after="0" w:before="80"/>
        <w:jc w:val="center"/>
      </w:pPr>
      <w:r>
        <w:rPr>
          <w:rFonts w:ascii="Georgia" w:cs="Georgia" w:eastAsia="Georgia" w:hAnsi="Georgia"/>
          <w:color w:val="1F5F6B"/>
          <w:sz w:val="34"/>
          <w:szCs w:val="34"/>
        </w:rPr>
        <w:t xml:space="preserve">Cómo leer, estudiar y aplicar el tratado</w:t>
      </w:r>
    </w:p>
    <w:p>
      <w:pPr>
        <w:spacing w:after="0" w:before="60"/>
        <w:jc w:val="center"/>
      </w:pPr>
      <w:r>
        <w:rPr>
          <w:rFonts w:ascii="Calibri" w:cs="Calibri" w:eastAsia="Calibri" w:hAnsi="Calibri"/>
          <w:i/>
          <w:iCs/>
          <w:color w:val="5B6B78"/>
          <w:sz w:val="24"/>
          <w:szCs w:val="24"/>
        </w:rPr>
        <w:t xml:space="preserve">Documentación completa del curso · 11 módulos</w:t>
      </w:r>
    </w:p>
    <w:p>
      <w:pPr>
        <w:spacing w:after="0" w:before="2400"/>
        <w:jc w:val="center"/>
      </w:pPr>
      <w:r>
        <w:rPr>
          <w:rFonts w:ascii="Calibri" w:cs="Calibri" w:eastAsia="Calibri" w:hAnsi="Calibri"/>
          <w:color w:val="5B6B78"/>
          <w:sz w:val="22"/>
          <w:szCs w:val="22"/>
        </w:rPr>
        <w:t xml:space="preserve">Comercio Exterior · República Dominicana</w:t>
      </w:r>
    </w:p>
    <w:p>
      <w:r>
        <w:br w:type="page"/>
      </w:r>
    </w:p>
    <w:p>
      <w:pPr>
        <w:pStyle w:val="Heading1"/>
        <w:spacing w:after="160" w:before="120"/>
      </w:pPr>
      <w:r>
        <w:rPr>
          <w:rFonts w:ascii="Georgia" w:cs="Georgia" w:eastAsia="Georgia" w:hAnsi="Georgia"/>
          <w:b/>
          <w:bCs/>
          <w:color w:val="13293D"/>
          <w:sz w:val="32"/>
          <w:szCs w:val="32"/>
        </w:rPr>
        <w:t xml:space="preserve">Contenido</w:t>
      </w:r>
    </w:p>
    <w:sdt>
      <w:sdtPr>
        <w:alias w:val="Tabla de contenido"/>
      </w:sdtPr>
      <w:sdtContent>
        <w:p>
          <w:r>
            <w:fldChar w:fldCharType="begin" w:dirty="true"/>
            <w:instrText xml:space="preserve">TOC \h \o "1-1"</w:instrText>
            <w:fldChar w:fldCharType="separate"/>
          </w:r>
        </w:p>
        <w:p>
          <w:r>
            <w:fldChar w:fldCharType="end"/>
          </w:r>
        </w:p>
      </w:sdtContent>
    </w:sdt>
    <w:p>
      <w:pPr>
        <w:spacing w:after="120" w:before="40"/>
      </w:pPr>
      <w:r>
        <w:rPr>
          <w:rFonts w:ascii="Calibri" w:cs="Calibri" w:eastAsia="Calibri" w:hAnsi="Calibri"/>
          <w:i/>
          <w:iCs/>
          <w:color w:val="5B6B78"/>
          <w:sz w:val="19"/>
          <w:szCs w:val="19"/>
        </w:rPr>
        <w:t xml:space="preserve">Si la tabla anterior aparece vacía, haz clic derecho sobre ella y elige “Actualizar campo”. Índice de referencia:</w:t>
      </w:r>
    </w:p>
    <w:p>
      <w:pPr>
        <w:spacing w:after="60" w:line="270"/>
      </w:pPr>
      <w:r>
        <w:rPr>
          <w:rFonts w:ascii="Calibri" w:cs="Calibri" w:eastAsia="Calibri" w:hAnsi="Calibri"/>
          <w:b/>
          <w:bCs/>
          <w:color w:val="13293D"/>
          <w:sz w:val="22"/>
          <w:szCs w:val="22"/>
        </w:rPr>
        <w:t xml:space="preserve">Introducción — </w:t>
      </w:r>
      <w:r>
        <w:rPr>
          <w:rFonts w:ascii="Calibri" w:cs="Calibri" w:eastAsia="Calibri" w:hAnsi="Calibri"/>
          <w:color w:val="1A2733"/>
          <w:sz w:val="22"/>
          <w:szCs w:val="22"/>
        </w:rPr>
        <w:t xml:space="preserve">cómo está construido el curso</w:t>
      </w:r>
    </w:p>
    <w:p>
      <w:pPr>
        <w:spacing w:after="60" w:line="270"/>
      </w:pPr>
      <w:r>
        <w:rPr>
          <w:rFonts w:ascii="Calibri" w:cs="Calibri" w:eastAsia="Calibri" w:hAnsi="Calibri"/>
          <w:b/>
          <w:bCs/>
          <w:color w:val="13293D"/>
          <w:sz w:val="22"/>
          <w:szCs w:val="22"/>
        </w:rPr>
        <w:t xml:space="preserve">Módulo 0 — </w:t>
      </w:r>
      <w:r>
        <w:rPr>
          <w:rFonts w:ascii="Calibri" w:cs="Calibri" w:eastAsia="Calibri" w:hAnsi="Calibri"/>
          <w:color w:val="1A2733"/>
          <w:sz w:val="22"/>
          <w:szCs w:val="22"/>
        </w:rPr>
        <w:t xml:space="preserve">Anatomía de un tratado: cómo leer el DR-CAFTA</w:t>
      </w:r>
    </w:p>
    <w:p>
      <w:pPr>
        <w:spacing w:after="60" w:line="270"/>
      </w:pPr>
      <w:r>
        <w:rPr>
          <w:rFonts w:ascii="Calibri" w:cs="Calibri" w:eastAsia="Calibri" w:hAnsi="Calibri"/>
          <w:b/>
          <w:bCs/>
          <w:color w:val="13293D"/>
          <w:sz w:val="22"/>
          <w:szCs w:val="22"/>
        </w:rPr>
        <w:t xml:space="preserve">Módulo 1 — </w:t>
      </w:r>
      <w:r>
        <w:rPr>
          <w:rFonts w:ascii="Calibri" w:cs="Calibri" w:eastAsia="Calibri" w:hAnsi="Calibri"/>
          <w:color w:val="1A2733"/>
          <w:sz w:val="22"/>
          <w:szCs w:val="22"/>
        </w:rPr>
        <w:t xml:space="preserve">Disposiciones Iniciales y Definiciones</w:t>
      </w:r>
    </w:p>
    <w:p>
      <w:pPr>
        <w:spacing w:after="60" w:line="270"/>
      </w:pPr>
      <w:r>
        <w:rPr>
          <w:rFonts w:ascii="Calibri" w:cs="Calibri" w:eastAsia="Calibri" w:hAnsi="Calibri"/>
          <w:b/>
          <w:bCs/>
          <w:color w:val="13293D"/>
          <w:sz w:val="22"/>
          <w:szCs w:val="22"/>
        </w:rPr>
        <w:t xml:space="preserve">Módulo 2 — </w:t>
      </w:r>
      <w:r>
        <w:rPr>
          <w:rFonts w:ascii="Calibri" w:cs="Calibri" w:eastAsia="Calibri" w:hAnsi="Calibri"/>
          <w:color w:val="1A2733"/>
          <w:sz w:val="22"/>
          <w:szCs w:val="22"/>
        </w:rPr>
        <w:t xml:space="preserve">Acceso a mercados y desgravación (Cap. 3)</w:t>
      </w:r>
    </w:p>
    <w:p>
      <w:pPr>
        <w:spacing w:after="60" w:line="270"/>
      </w:pPr>
      <w:r>
        <w:rPr>
          <w:rFonts w:ascii="Calibri" w:cs="Calibri" w:eastAsia="Calibri" w:hAnsi="Calibri"/>
          <w:b/>
          <w:bCs/>
          <w:color w:val="13293D"/>
          <w:sz w:val="22"/>
          <w:szCs w:val="22"/>
        </w:rPr>
        <w:t xml:space="preserve">Módulo 3 — </w:t>
      </w:r>
      <w:r>
        <w:rPr>
          <w:rFonts w:ascii="Calibri" w:cs="Calibri" w:eastAsia="Calibri" w:hAnsi="Calibri"/>
          <w:color w:val="1A2733"/>
          <w:sz w:val="22"/>
          <w:szCs w:val="22"/>
        </w:rPr>
        <w:t xml:space="preserve">Reglas de Origen: el corazón del tratado (Cap. 4)</w:t>
      </w:r>
    </w:p>
    <w:p>
      <w:pPr>
        <w:spacing w:after="60" w:line="270"/>
      </w:pPr>
      <w:r>
        <w:rPr>
          <w:rFonts w:ascii="Calibri" w:cs="Calibri" w:eastAsia="Calibri" w:hAnsi="Calibri"/>
          <w:b/>
          <w:bCs/>
          <w:color w:val="13293D"/>
          <w:sz w:val="22"/>
          <w:szCs w:val="22"/>
        </w:rPr>
        <w:t xml:space="preserve">Módulo 4 — </w:t>
      </w:r>
      <w:r>
        <w:rPr>
          <w:rFonts w:ascii="Calibri" w:cs="Calibri" w:eastAsia="Calibri" w:hAnsi="Calibri"/>
          <w:color w:val="1A2733"/>
          <w:sz w:val="22"/>
          <w:szCs w:val="22"/>
        </w:rPr>
        <w:t xml:space="preserve">Procedimientos y certificación de origen (Cap. 4)</w:t>
      </w:r>
    </w:p>
    <w:p>
      <w:pPr>
        <w:spacing w:after="60" w:line="270"/>
      </w:pPr>
      <w:r>
        <w:rPr>
          <w:rFonts w:ascii="Calibri" w:cs="Calibri" w:eastAsia="Calibri" w:hAnsi="Calibri"/>
          <w:b/>
          <w:bCs/>
          <w:color w:val="13293D"/>
          <w:sz w:val="22"/>
          <w:szCs w:val="22"/>
        </w:rPr>
        <w:t xml:space="preserve">Módulo 5 — </w:t>
      </w:r>
      <w:r>
        <w:rPr>
          <w:rFonts w:ascii="Calibri" w:cs="Calibri" w:eastAsia="Calibri" w:hAnsi="Calibri"/>
          <w:color w:val="1A2733"/>
          <w:sz w:val="22"/>
          <w:szCs w:val="22"/>
        </w:rPr>
        <w:t xml:space="preserve">Administración aduanera y facilitación (Cap. 5)</w:t>
      </w:r>
    </w:p>
    <w:p>
      <w:pPr>
        <w:spacing w:after="60" w:line="270"/>
      </w:pPr>
      <w:r>
        <w:rPr>
          <w:rFonts w:ascii="Calibri" w:cs="Calibri" w:eastAsia="Calibri" w:hAnsi="Calibri"/>
          <w:b/>
          <w:bCs/>
          <w:color w:val="13293D"/>
          <w:sz w:val="22"/>
          <w:szCs w:val="22"/>
        </w:rPr>
        <w:t xml:space="preserve">Módulo 6 — </w:t>
      </w:r>
      <w:r>
        <w:rPr>
          <w:rFonts w:ascii="Calibri" w:cs="Calibri" w:eastAsia="Calibri" w:hAnsi="Calibri"/>
          <w:color w:val="1A2733"/>
          <w:sz w:val="22"/>
          <w:szCs w:val="22"/>
        </w:rPr>
        <w:t xml:space="preserve">Barreras no arancelarias: MSF y OTC (Cap. 6 y 7)</w:t>
      </w:r>
    </w:p>
    <w:p>
      <w:pPr>
        <w:spacing w:after="60" w:line="270"/>
      </w:pPr>
      <w:r>
        <w:rPr>
          <w:rFonts w:ascii="Calibri" w:cs="Calibri" w:eastAsia="Calibri" w:hAnsi="Calibri"/>
          <w:b/>
          <w:bCs/>
          <w:color w:val="13293D"/>
          <w:sz w:val="22"/>
          <w:szCs w:val="22"/>
        </w:rPr>
        <w:t xml:space="preserve">Módulo 7 — </w:t>
      </w:r>
      <w:r>
        <w:rPr>
          <w:rFonts w:ascii="Calibri" w:cs="Calibri" w:eastAsia="Calibri" w:hAnsi="Calibri"/>
          <w:color w:val="1A2733"/>
          <w:sz w:val="22"/>
          <w:szCs w:val="22"/>
        </w:rPr>
        <w:t xml:space="preserve">Defensa comercial, inversión y servicios (Cap. 8, 10-13)</w:t>
      </w:r>
    </w:p>
    <w:p>
      <w:pPr>
        <w:spacing w:after="60" w:line="270"/>
      </w:pPr>
      <w:r>
        <w:rPr>
          <w:rFonts w:ascii="Calibri" w:cs="Calibri" w:eastAsia="Calibri" w:hAnsi="Calibri"/>
          <w:b/>
          <w:bCs/>
          <w:color w:val="13293D"/>
          <w:sz w:val="22"/>
          <w:szCs w:val="22"/>
        </w:rPr>
        <w:t xml:space="preserve">Módulo 8 — </w:t>
      </w:r>
      <w:r>
        <w:rPr>
          <w:rFonts w:ascii="Calibri" w:cs="Calibri" w:eastAsia="Calibri" w:hAnsi="Calibri"/>
          <w:color w:val="1A2733"/>
          <w:sz w:val="22"/>
          <w:szCs w:val="22"/>
        </w:rPr>
        <w:t xml:space="preserve">Compras públicas, comercio electrónico y PI (Cap. 9, 14, 15)</w:t>
      </w:r>
    </w:p>
    <w:p>
      <w:pPr>
        <w:spacing w:after="60" w:line="270"/>
      </w:pPr>
      <w:r>
        <w:rPr>
          <w:rFonts w:ascii="Calibri" w:cs="Calibri" w:eastAsia="Calibri" w:hAnsi="Calibri"/>
          <w:b/>
          <w:bCs/>
          <w:color w:val="13293D"/>
          <w:sz w:val="22"/>
          <w:szCs w:val="22"/>
        </w:rPr>
        <w:t xml:space="preserve">Módulo 9 — </w:t>
      </w:r>
      <w:r>
        <w:rPr>
          <w:rFonts w:ascii="Calibri" w:cs="Calibri" w:eastAsia="Calibri" w:hAnsi="Calibri"/>
          <w:color w:val="1A2733"/>
          <w:sz w:val="22"/>
          <w:szCs w:val="22"/>
        </w:rPr>
        <w:t xml:space="preserve">Laboral, ambiental e institucionalidad (Cap. 16-22)</w:t>
      </w:r>
    </w:p>
    <w:p>
      <w:pPr>
        <w:spacing w:after="60" w:line="270"/>
      </w:pPr>
      <w:r>
        <w:rPr>
          <w:rFonts w:ascii="Calibri" w:cs="Calibri" w:eastAsia="Calibri" w:hAnsi="Calibri"/>
          <w:b/>
          <w:bCs/>
          <w:color w:val="13293D"/>
          <w:sz w:val="22"/>
          <w:szCs w:val="22"/>
        </w:rPr>
        <w:t xml:space="preserve">Módulo 10 — </w:t>
      </w:r>
      <w:r>
        <w:rPr>
          <w:rFonts w:ascii="Calibri" w:cs="Calibri" w:eastAsia="Calibri" w:hAnsi="Calibri"/>
          <w:color w:val="1A2733"/>
          <w:sz w:val="22"/>
          <w:szCs w:val="22"/>
        </w:rPr>
        <w:t xml:space="preserve">Aplicación en la República Dominicana</w:t>
      </w:r>
    </w:p>
    <w:p>
      <w:r>
        <w:br w:type="page"/>
      </w:r>
    </w:p>
    <w:p>
      <w:pPr>
        <w:pStyle w:val="Heading1"/>
        <w:spacing w:after="160" w:before="120"/>
      </w:pPr>
      <w:r>
        <w:rPr>
          <w:rFonts w:ascii="Georgia" w:cs="Georgia" w:eastAsia="Georgia" w:hAnsi="Georgia"/>
          <w:b/>
          <w:bCs/>
          <w:color w:val="13293D"/>
          <w:sz w:val="32"/>
          <w:szCs w:val="32"/>
        </w:rPr>
        <w:t xml:space="preserve">Introducción — cómo está construido el curso</w:t>
      </w:r>
    </w:p>
    <w:p>
      <w:pPr>
        <w:spacing w:after="120" w:line="276"/>
      </w:pPr>
      <w:r>
        <w:rPr>
          <w:rFonts w:ascii="Calibri" w:cs="Calibri" w:eastAsia="Calibri" w:hAnsi="Calibri"/>
          <w:color w:val="1A2733"/>
          <w:sz w:val="22"/>
          <w:szCs w:val="22"/>
        </w:rPr>
        <w:t xml:space="preserve">Este curso es práctico: está pensado para quien va a usar el tratado (agentes aduanales, importadores y exportadores, estudiantes de comercio exterior), no para un análisis teórico-jurídico. Su principio rector es que no enseña únicamente “qué dice el DR-CAFTA”, sino cómo se lee y se aplica cualquier tratado de libre comercio. El DR-CAFTA es el vehículo; el método es transferible al EPA con la Unión Europea, a los acuerdos con CARICOM, Centroamérica y Panamá, y a los demás.</w:t>
      </w:r>
    </w:p>
    <w:p>
      <w:pPr>
        <w:spacing w:after="120" w:line="276"/>
      </w:pPr>
      <w:r>
        <w:rPr>
          <w:rFonts w:ascii="Calibri" w:cs="Calibri" w:eastAsia="Calibri" w:hAnsi="Calibri"/>
          <w:color w:val="1A2733"/>
          <w:sz w:val="22"/>
          <w:szCs w:val="22"/>
        </w:rPr>
        <w:t xml:space="preserve">El peso del curso es desigual a propósito: para un profesional de aduanas, las reglas de origen (Módulos 3-4) y las barreras no arancelarias (Módulo 6) concentran la mayor parte del valor. Los demás capítulos se estudian a nivel funcional: qué regulan, cuándo entran en juego y dónde buscar.</w:t>
      </w:r>
    </w:p>
    <w:p>
      <w:pPr>
        <w:pStyle w:val="Heading2"/>
        <w:spacing w:after="100" w:before="240"/>
      </w:pPr>
      <w:r>
        <w:rPr>
          <w:rFonts w:ascii="Georgia" w:cs="Georgia" w:eastAsia="Georgia" w:hAnsi="Georgia"/>
          <w:b/>
          <w:bCs/>
          <w:color w:val="1F5F6B"/>
          <w:sz w:val="25"/>
          <w:szCs w:val="25"/>
        </w:rPr>
        <w:t xml:space="preserve">Plantilla de cada módulo</w:t>
      </w:r>
    </w:p>
    <w:p>
      <w:pPr>
        <w:spacing w:after="120" w:line="276"/>
      </w:pPr>
      <w:r>
        <w:rPr>
          <w:rFonts w:ascii="Calibri" w:cs="Calibri" w:eastAsia="Calibri" w:hAnsi="Calibri"/>
          <w:color w:val="1A2733"/>
          <w:sz w:val="22"/>
          <w:szCs w:val="22"/>
        </w:rPr>
        <w:t xml:space="preserve">Cada módulo sigue la misma estructura, lo que hace el curso reproducible:</w:t>
      </w:r>
    </w:p>
    <w:p>
      <w:pPr>
        <w:pStyle w:val="ListParagraph"/>
        <w:numPr>
          <w:ilvl w:val="0"/>
          <w:numId w:val="2"/>
        </w:numPr>
        <w:spacing w:after="70" w:line="270"/>
      </w:pPr>
      <w:r>
        <w:rPr>
          <w:rFonts w:ascii="Calibri" w:cs="Calibri" w:eastAsia="Calibri" w:hAnsi="Calibri"/>
          <w:color w:val="1A2733"/>
          <w:sz w:val="22"/>
          <w:szCs w:val="22"/>
        </w:rPr>
        <w:t xml:space="preserve">Objetivo — qué sabrás hacer al terminar (no “conocer”, sino hacer).</w:t>
      </w:r>
    </w:p>
    <w:p>
      <w:pPr>
        <w:pStyle w:val="ListParagraph"/>
        <w:numPr>
          <w:ilvl w:val="0"/>
          <w:numId w:val="2"/>
        </w:numPr>
        <w:spacing w:after="70" w:line="270"/>
      </w:pPr>
      <w:r>
        <w:rPr>
          <w:rFonts w:ascii="Calibri" w:cs="Calibri" w:eastAsia="Calibri" w:hAnsi="Calibri"/>
          <w:color w:val="1A2733"/>
          <w:sz w:val="22"/>
          <w:szCs w:val="22"/>
        </w:rPr>
        <w:t xml:space="preserve">Lectura guiada — capítulos y anexos exactos del texto oficial.</w:t>
      </w:r>
    </w:p>
    <w:p>
      <w:pPr>
        <w:pStyle w:val="ListParagraph"/>
        <w:numPr>
          <w:ilvl w:val="0"/>
          <w:numId w:val="2"/>
        </w:numPr>
        <w:spacing w:after="70" w:line="270"/>
      </w:pPr>
      <w:r>
        <w:rPr>
          <w:rFonts w:ascii="Calibri" w:cs="Calibri" w:eastAsia="Calibri" w:hAnsi="Calibri"/>
          <w:color w:val="1A2733"/>
          <w:sz w:val="22"/>
          <w:szCs w:val="22"/>
        </w:rPr>
        <w:t xml:space="preserve">Conceptos clave — explicados en simple, con el “para qué”.</w:t>
      </w:r>
    </w:p>
    <w:p>
      <w:pPr>
        <w:pStyle w:val="ListParagraph"/>
        <w:numPr>
          <w:ilvl w:val="0"/>
          <w:numId w:val="2"/>
        </w:numPr>
        <w:spacing w:after="70" w:line="270"/>
      </w:pPr>
      <w:r>
        <w:rPr>
          <w:rFonts w:ascii="Calibri" w:cs="Calibri" w:eastAsia="Calibri" w:hAnsi="Calibri"/>
          <w:color w:val="1A2733"/>
          <w:sz w:val="22"/>
          <w:szCs w:val="22"/>
        </w:rPr>
        <w:t xml:space="preserve">Caso práctico — un producto real al que se le aplica el módulo.</w:t>
      </w:r>
    </w:p>
    <w:p>
      <w:pPr>
        <w:pStyle w:val="ListParagraph"/>
        <w:numPr>
          <w:ilvl w:val="0"/>
          <w:numId w:val="2"/>
        </w:numPr>
        <w:spacing w:after="70" w:line="270"/>
      </w:pPr>
      <w:r>
        <w:rPr>
          <w:rFonts w:ascii="Calibri" w:cs="Calibri" w:eastAsia="Calibri" w:hAnsi="Calibri"/>
          <w:color w:val="1A2733"/>
          <w:sz w:val="22"/>
          <w:szCs w:val="22"/>
        </w:rPr>
        <w:t xml:space="preserve">Entregable — algo que el alumno produce.</w:t>
      </w:r>
    </w:p>
    <w:p>
      <w:pPr>
        <w:pStyle w:val="ListParagraph"/>
        <w:numPr>
          <w:ilvl w:val="0"/>
          <w:numId w:val="2"/>
        </w:numPr>
        <w:spacing w:after="70" w:line="270"/>
      </w:pPr>
      <w:r>
        <w:rPr>
          <w:rFonts w:ascii="Calibri" w:cs="Calibri" w:eastAsia="Calibri" w:hAnsi="Calibri"/>
          <w:color w:val="1A2733"/>
          <w:sz w:val="22"/>
          <w:szCs w:val="22"/>
        </w:rPr>
        <w:t xml:space="preserve">Trampas comunes — los errores que cuestan dinero en la vida real.</w:t>
      </w:r>
    </w:p>
    <w:p>
      <w:pPr>
        <w:pBdr>
          <w:top w:val="single" w:color="E6DCC2" w:sz="4" w:space="8"/>
          <w:bottom w:val="single" w:color="E6DCC2" w:sz="4" w:space="8"/>
          <w:left w:val="single" w:color="B07D18" w:sz="18" w:space="14"/>
          <w:right w:val="single" w:color="E6DCC2" w:sz="4" w:space="8"/>
        </w:pBdr>
        <w:shd w:fill="F4EFE0" w:color="auto" w:val="clear"/>
        <w:spacing w:after="150" w:before="120" w:line="276"/>
      </w:pPr>
      <w:r>
        <w:rPr>
          <w:rFonts w:ascii="Calibri" w:cs="Calibri" w:eastAsia="Calibri" w:hAnsi="Calibri"/>
          <w:b/>
          <w:bCs/>
          <w:color w:val="B07D18"/>
          <w:sz w:val="22"/>
          <w:szCs w:val="22"/>
        </w:rPr>
        <w:t xml:space="preserve">Doble propósito:  </w:t>
      </w:r>
      <w:r>
        <w:rPr>
          <w:rFonts w:ascii="Calibri" w:cs="Calibri" w:eastAsia="Calibri" w:hAnsi="Calibri"/>
          <w:color w:val="1A2733"/>
          <w:sz w:val="22"/>
          <w:szCs w:val="22"/>
        </w:rPr>
        <w:t xml:space="preserve">los casos prácticos que se arman en cada módulo no son de relleno: cada uno es un registro de la base de conocimiento que, más adelante, alimentaría el sistema de IA de consultoría y clasificación de dificultad de entrada. El curso y el sistema se construyen con el mismo trabajo.</w:t>
      </w:r>
    </w:p>
    <w:p>
      <w:pPr>
        <w:pStyle w:val="Heading2"/>
        <w:spacing w:after="100" w:before="240"/>
      </w:pPr>
      <w:r>
        <w:rPr>
          <w:rFonts w:ascii="Georgia" w:cs="Georgia" w:eastAsia="Georgia" w:hAnsi="Georgia"/>
          <w:b/>
          <w:bCs/>
          <w:color w:val="1F5F6B"/>
          <w:sz w:val="25"/>
          <w:szCs w:val="25"/>
        </w:rPr>
        <w:t xml:space="preserve">Mapa de los 11 módulos</w:t>
      </w:r>
    </w:p>
    <w:p>
      <w:pPr>
        <w:pStyle w:val="ListParagraph"/>
        <w:numPr>
          <w:ilvl w:val="0"/>
          <w:numId w:val="3"/>
        </w:numPr>
        <w:spacing w:after="70" w:line="270"/>
      </w:pPr>
      <w:r>
        <w:rPr>
          <w:rFonts w:ascii="Calibri" w:cs="Calibri" w:eastAsia="Calibri" w:hAnsi="Calibri"/>
          <w:b/>
          <w:bCs/>
          <w:color w:val="13293D"/>
          <w:sz w:val="22"/>
          <w:szCs w:val="22"/>
        </w:rPr>
        <w:t xml:space="preserve">Módulo 0: </w:t>
      </w:r>
      <w:r>
        <w:rPr>
          <w:rFonts w:ascii="Calibri" w:cs="Calibri" w:eastAsia="Calibri" w:hAnsi="Calibri"/>
          <w:color w:val="1A2733"/>
          <w:sz w:val="22"/>
          <w:szCs w:val="22"/>
        </w:rPr>
        <w:t xml:space="preserve">Anatomía de un tratado — el método de lectura.</w:t>
      </w:r>
    </w:p>
    <w:p>
      <w:pPr>
        <w:pStyle w:val="ListParagraph"/>
        <w:numPr>
          <w:ilvl w:val="0"/>
          <w:numId w:val="3"/>
        </w:numPr>
        <w:spacing w:after="70" w:line="270"/>
      </w:pPr>
      <w:r>
        <w:rPr>
          <w:rFonts w:ascii="Calibri" w:cs="Calibri" w:eastAsia="Calibri" w:hAnsi="Calibri"/>
          <w:b/>
          <w:bCs/>
          <w:color w:val="13293D"/>
          <w:sz w:val="22"/>
          <w:szCs w:val="22"/>
        </w:rPr>
        <w:t xml:space="preserve">Módulo 1: </w:t>
      </w:r>
      <w:r>
        <w:rPr>
          <w:rFonts w:ascii="Calibri" w:cs="Calibri" w:eastAsia="Calibri" w:hAnsi="Calibri"/>
          <w:color w:val="1A2733"/>
          <w:sz w:val="22"/>
          <w:szCs w:val="22"/>
        </w:rPr>
        <w:t xml:space="preserve">Disposiciones Iniciales y Definiciones.</w:t>
      </w:r>
    </w:p>
    <w:p>
      <w:pPr>
        <w:pStyle w:val="ListParagraph"/>
        <w:numPr>
          <w:ilvl w:val="0"/>
          <w:numId w:val="3"/>
        </w:numPr>
        <w:spacing w:after="70" w:line="270"/>
      </w:pPr>
      <w:r>
        <w:rPr>
          <w:rFonts w:ascii="Calibri" w:cs="Calibri" w:eastAsia="Calibri" w:hAnsi="Calibri"/>
          <w:b/>
          <w:bCs/>
          <w:color w:val="13293D"/>
          <w:sz w:val="22"/>
          <w:szCs w:val="22"/>
        </w:rPr>
        <w:t xml:space="preserve">Módulo 2: </w:t>
      </w:r>
      <w:r>
        <w:rPr>
          <w:rFonts w:ascii="Calibri" w:cs="Calibri" w:eastAsia="Calibri" w:hAnsi="Calibri"/>
          <w:color w:val="1A2733"/>
          <w:sz w:val="22"/>
          <w:szCs w:val="22"/>
        </w:rPr>
        <w:t xml:space="preserve">Acceso a mercados y desgravación (Cap. 3).</w:t>
      </w:r>
    </w:p>
    <w:p>
      <w:pPr>
        <w:pStyle w:val="ListParagraph"/>
        <w:numPr>
          <w:ilvl w:val="0"/>
          <w:numId w:val="3"/>
        </w:numPr>
        <w:spacing w:after="70" w:line="270"/>
      </w:pPr>
      <w:r>
        <w:rPr>
          <w:rFonts w:ascii="Calibri" w:cs="Calibri" w:eastAsia="Calibri" w:hAnsi="Calibri"/>
          <w:b/>
          <w:bCs/>
          <w:color w:val="13293D"/>
          <w:sz w:val="22"/>
          <w:szCs w:val="22"/>
        </w:rPr>
        <w:t xml:space="preserve">Módulo 3: </w:t>
      </w:r>
      <w:r>
        <w:rPr>
          <w:rFonts w:ascii="Calibri" w:cs="Calibri" w:eastAsia="Calibri" w:hAnsi="Calibri"/>
          <w:color w:val="1A2733"/>
          <w:sz w:val="22"/>
          <w:szCs w:val="22"/>
        </w:rPr>
        <w:t xml:space="preserve">Reglas de origen (Cap. 4) — núcleo técnico.</w:t>
      </w:r>
    </w:p>
    <w:p>
      <w:pPr>
        <w:pStyle w:val="ListParagraph"/>
        <w:numPr>
          <w:ilvl w:val="0"/>
          <w:numId w:val="3"/>
        </w:numPr>
        <w:spacing w:after="70" w:line="270"/>
      </w:pPr>
      <w:r>
        <w:rPr>
          <w:rFonts w:ascii="Calibri" w:cs="Calibri" w:eastAsia="Calibri" w:hAnsi="Calibri"/>
          <w:b/>
          <w:bCs/>
          <w:color w:val="13293D"/>
          <w:sz w:val="22"/>
          <w:szCs w:val="22"/>
        </w:rPr>
        <w:t xml:space="preserve">Módulo 4: </w:t>
      </w:r>
      <w:r>
        <w:rPr>
          <w:rFonts w:ascii="Calibri" w:cs="Calibri" w:eastAsia="Calibri" w:hAnsi="Calibri"/>
          <w:color w:val="1A2733"/>
          <w:sz w:val="22"/>
          <w:szCs w:val="22"/>
        </w:rPr>
        <w:t xml:space="preserve">Procedimientos y certificación de origen (Cap. 4).</w:t>
      </w:r>
    </w:p>
    <w:p>
      <w:pPr>
        <w:pStyle w:val="ListParagraph"/>
        <w:numPr>
          <w:ilvl w:val="0"/>
          <w:numId w:val="3"/>
        </w:numPr>
        <w:spacing w:after="70" w:line="270"/>
      </w:pPr>
      <w:r>
        <w:rPr>
          <w:rFonts w:ascii="Calibri" w:cs="Calibri" w:eastAsia="Calibri" w:hAnsi="Calibri"/>
          <w:b/>
          <w:bCs/>
          <w:color w:val="13293D"/>
          <w:sz w:val="22"/>
          <w:szCs w:val="22"/>
        </w:rPr>
        <w:t xml:space="preserve">Módulo 5: </w:t>
      </w:r>
      <w:r>
        <w:rPr>
          <w:rFonts w:ascii="Calibri" w:cs="Calibri" w:eastAsia="Calibri" w:hAnsi="Calibri"/>
          <w:color w:val="1A2733"/>
          <w:sz w:val="22"/>
          <w:szCs w:val="22"/>
        </w:rPr>
        <w:t xml:space="preserve">Administración aduanera y facilitación (Cap. 5).</w:t>
      </w:r>
    </w:p>
    <w:p>
      <w:pPr>
        <w:pStyle w:val="ListParagraph"/>
        <w:numPr>
          <w:ilvl w:val="0"/>
          <w:numId w:val="3"/>
        </w:numPr>
        <w:spacing w:after="70" w:line="270"/>
      </w:pPr>
      <w:r>
        <w:rPr>
          <w:rFonts w:ascii="Calibri" w:cs="Calibri" w:eastAsia="Calibri" w:hAnsi="Calibri"/>
          <w:b/>
          <w:bCs/>
          <w:color w:val="13293D"/>
          <w:sz w:val="22"/>
          <w:szCs w:val="22"/>
        </w:rPr>
        <w:t xml:space="preserve">Módulo 6: </w:t>
      </w:r>
      <w:r>
        <w:rPr>
          <w:rFonts w:ascii="Calibri" w:cs="Calibri" w:eastAsia="Calibri" w:hAnsi="Calibri"/>
          <w:color w:val="1A2733"/>
          <w:sz w:val="22"/>
          <w:szCs w:val="22"/>
        </w:rPr>
        <w:t xml:space="preserve">Barreras no arancelarias: MSF y OTC (Cap. 6-7) — núcleo del proyecto de IA.</w:t>
      </w:r>
    </w:p>
    <w:p>
      <w:pPr>
        <w:pStyle w:val="ListParagraph"/>
        <w:numPr>
          <w:ilvl w:val="0"/>
          <w:numId w:val="3"/>
        </w:numPr>
        <w:spacing w:after="70" w:line="270"/>
      </w:pPr>
      <w:r>
        <w:rPr>
          <w:rFonts w:ascii="Calibri" w:cs="Calibri" w:eastAsia="Calibri" w:hAnsi="Calibri"/>
          <w:b/>
          <w:bCs/>
          <w:color w:val="13293D"/>
          <w:sz w:val="22"/>
          <w:szCs w:val="22"/>
        </w:rPr>
        <w:t xml:space="preserve">Módulo 7: </w:t>
      </w:r>
      <w:r>
        <w:rPr>
          <w:rFonts w:ascii="Calibri" w:cs="Calibri" w:eastAsia="Calibri" w:hAnsi="Calibri"/>
          <w:color w:val="1A2733"/>
          <w:sz w:val="22"/>
          <w:szCs w:val="22"/>
        </w:rPr>
        <w:t xml:space="preserve">Defensa comercial, inversión y servicios (Cap. 8, 10-13).</w:t>
      </w:r>
    </w:p>
    <w:p>
      <w:pPr>
        <w:pStyle w:val="ListParagraph"/>
        <w:numPr>
          <w:ilvl w:val="0"/>
          <w:numId w:val="3"/>
        </w:numPr>
        <w:spacing w:after="70" w:line="270"/>
      </w:pPr>
      <w:r>
        <w:rPr>
          <w:rFonts w:ascii="Calibri" w:cs="Calibri" w:eastAsia="Calibri" w:hAnsi="Calibri"/>
          <w:b/>
          <w:bCs/>
          <w:color w:val="13293D"/>
          <w:sz w:val="22"/>
          <w:szCs w:val="22"/>
        </w:rPr>
        <w:t xml:space="preserve">Módulo 8: </w:t>
      </w:r>
      <w:r>
        <w:rPr>
          <w:rFonts w:ascii="Calibri" w:cs="Calibri" w:eastAsia="Calibri" w:hAnsi="Calibri"/>
          <w:color w:val="1A2733"/>
          <w:sz w:val="22"/>
          <w:szCs w:val="22"/>
        </w:rPr>
        <w:t xml:space="preserve">Compras públicas, comercio electrónico y propiedad intelectual (Cap. 9, 14, 15).</w:t>
      </w:r>
    </w:p>
    <w:p>
      <w:pPr>
        <w:pStyle w:val="ListParagraph"/>
        <w:numPr>
          <w:ilvl w:val="0"/>
          <w:numId w:val="3"/>
        </w:numPr>
        <w:spacing w:after="70" w:line="270"/>
      </w:pPr>
      <w:r>
        <w:rPr>
          <w:rFonts w:ascii="Calibri" w:cs="Calibri" w:eastAsia="Calibri" w:hAnsi="Calibri"/>
          <w:b/>
          <w:bCs/>
          <w:color w:val="13293D"/>
          <w:sz w:val="22"/>
          <w:szCs w:val="22"/>
        </w:rPr>
        <w:t xml:space="preserve">Módulo 9: </w:t>
      </w:r>
      <w:r>
        <w:rPr>
          <w:rFonts w:ascii="Calibri" w:cs="Calibri" w:eastAsia="Calibri" w:hAnsi="Calibri"/>
          <w:color w:val="1A2733"/>
          <w:sz w:val="22"/>
          <w:szCs w:val="22"/>
        </w:rPr>
        <w:t xml:space="preserve">Laboral, ambiental e institucionalidad (Cap. 16-22).</w:t>
      </w:r>
    </w:p>
    <w:p>
      <w:pPr>
        <w:pStyle w:val="ListParagraph"/>
        <w:numPr>
          <w:ilvl w:val="0"/>
          <w:numId w:val="3"/>
        </w:numPr>
        <w:spacing w:after="70" w:line="270"/>
      </w:pPr>
      <w:r>
        <w:rPr>
          <w:rFonts w:ascii="Calibri" w:cs="Calibri" w:eastAsia="Calibri" w:hAnsi="Calibri"/>
          <w:b/>
          <w:bCs/>
          <w:color w:val="13293D"/>
          <w:sz w:val="22"/>
          <w:szCs w:val="22"/>
        </w:rPr>
        <w:t xml:space="preserve">Módulo 10: </w:t>
      </w:r>
      <w:r>
        <w:rPr>
          <w:rFonts w:ascii="Calibri" w:cs="Calibri" w:eastAsia="Calibri" w:hAnsi="Calibri"/>
          <w:color w:val="1A2733"/>
          <w:sz w:val="22"/>
          <w:szCs w:val="22"/>
        </w:rPr>
        <w:t xml:space="preserve">Aplicación en la República Dominicana — el aterrizaje operativo.</w:t>
      </w:r>
    </w:p>
    <w:p>
      <w:r>
        <w:br w:type="page"/>
      </w:r>
    </w:p>
    <w:p>
      <w:pPr>
        <w:pStyle w:val="Heading1"/>
        <w:spacing w:after="160" w:before="120"/>
      </w:pPr>
      <w:r>
        <w:rPr>
          <w:rFonts w:ascii="Georgia" w:cs="Georgia" w:eastAsia="Georgia" w:hAnsi="Georgia"/>
          <w:b/>
          <w:bCs/>
          <w:color w:val="13293D"/>
          <w:sz w:val="32"/>
          <w:szCs w:val="32"/>
        </w:rPr>
        <w:t xml:space="preserve">Módulo 0 — Anatomía de un tratado: cómo leer el DR-CAFTA sin perderte</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será capaz de abrir cualquier tratado de libre comercio y saber exactamente dónde buscar lo que necesita, entendiendo cómo se conectan sus partes. No memorizará el DR-CAFTA: aprenderá el mapa que le permite navegar este y cualquier otro acuerdo. Concretamente sabrá identificar los componentes de un tratado y su jerarquía, entender cómo un anexo modifica el texto principal, y aplicar un método de consulta de 6 pasos para responder cualquier pregunta comercial.</w:t>
      </w:r>
    </w:p>
    <w:p>
      <w:pPr>
        <w:pStyle w:val="Heading2"/>
        <w:spacing w:after="100" w:before="240"/>
      </w:pPr>
      <w:r>
        <w:rPr>
          <w:rFonts w:ascii="Georgia" w:cs="Georgia" w:eastAsia="Georgia" w:hAnsi="Georgia"/>
          <w:b/>
          <w:bCs/>
          <w:color w:val="1F5F6B"/>
          <w:sz w:val="25"/>
          <w:szCs w:val="25"/>
        </w:rPr>
        <w:t xml:space="preserve">Por qué este módulo existe</w:t>
      </w:r>
    </w:p>
    <w:p>
      <w:pPr>
        <w:spacing w:after="120" w:line="276"/>
      </w:pPr>
      <w:r>
        <w:rPr>
          <w:rFonts w:ascii="Calibri" w:cs="Calibri" w:eastAsia="Calibri" w:hAnsi="Calibri"/>
          <w:color w:val="1A2733"/>
          <w:sz w:val="22"/>
          <w:szCs w:val="22"/>
        </w:rPr>
        <w:t xml:space="preserve">La mayoría de la gente que “conoce” un tratado en realidad conoce resúmenes de terceros. Cuando llega un caso real y hay que abrir el texto oficial, se pierde: no sabe si la respuesta está en el capítulo, en un anexo, en una nota al pie o en una lista de desgravación, y termina leyendo el artículo equivocado y dando una respuesta errada. Este módulo instala el reflejo profesional de saber siempre dónde mirar. Es el que nadie enseña y el que más se necesita: sin dominar la estructura, todo lo demás se construye sobre arena.</w:t>
      </w:r>
    </w:p>
    <w:p>
      <w:pPr>
        <w:pStyle w:val="Heading2"/>
        <w:spacing w:after="100" w:before="240"/>
      </w:pPr>
      <w:r>
        <w:rPr>
          <w:rFonts w:ascii="Georgia" w:cs="Georgia" w:eastAsia="Georgia" w:hAnsi="Georgia"/>
          <w:b/>
          <w:bCs/>
          <w:color w:val="1F5F6B"/>
          <w:sz w:val="25"/>
          <w:szCs w:val="25"/>
        </w:rPr>
        <w:t xml:space="preserve">1. Qué es un TLC y qué NO es</w:t>
      </w:r>
    </w:p>
    <w:p>
      <w:pPr>
        <w:spacing w:after="120" w:line="276"/>
      </w:pPr>
      <w:r>
        <w:rPr>
          <w:rFonts w:ascii="Calibri" w:cs="Calibri" w:eastAsia="Calibri" w:hAnsi="Calibri"/>
          <w:color w:val="1A2733"/>
          <w:sz w:val="22"/>
          <w:szCs w:val="22"/>
        </w:rPr>
        <w:t xml:space="preserve">Un tratado de libre comercio es un acuerdo internacional vinculante entre países que crea una zona de libre comercio: reduce o elimina aranceles y barreras entre las partes y fija reglas comunes de juego. Tres ideas clave:</w:t>
      </w:r>
    </w:p>
    <w:p>
      <w:pPr>
        <w:pStyle w:val="ListParagraph"/>
        <w:numPr>
          <w:ilvl w:val="0"/>
          <w:numId w:val="3"/>
        </w:numPr>
        <w:spacing w:after="70" w:line="270"/>
      </w:pPr>
      <w:r>
        <w:rPr>
          <w:rFonts w:ascii="Calibri" w:cs="Calibri" w:eastAsia="Calibri" w:hAnsi="Calibri"/>
          <w:b/>
          <w:bCs/>
          <w:color w:val="13293D"/>
          <w:sz w:val="22"/>
          <w:szCs w:val="22"/>
        </w:rPr>
        <w:t xml:space="preserve">Es un contrato entre Estados, no una ley nacional: </w:t>
      </w:r>
      <w:r>
        <w:rPr>
          <w:rFonts w:ascii="Calibri" w:cs="Calibri" w:eastAsia="Calibri" w:hAnsi="Calibri"/>
          <w:color w:val="1A2733"/>
          <w:sz w:val="22"/>
          <w:szCs w:val="22"/>
        </w:rPr>
        <w:t xml:space="preserve">el tratado obliga a los países; para que aplique internamente, cada país lo incorpora a su legislación.</w:t>
      </w:r>
    </w:p>
    <w:p>
      <w:pPr>
        <w:pStyle w:val="ListParagraph"/>
        <w:numPr>
          <w:ilvl w:val="0"/>
          <w:numId w:val="3"/>
        </w:numPr>
        <w:spacing w:after="70" w:line="270"/>
      </w:pPr>
      <w:r>
        <w:rPr>
          <w:rFonts w:ascii="Calibri" w:cs="Calibri" w:eastAsia="Calibri" w:hAnsi="Calibri"/>
          <w:b/>
          <w:bCs/>
          <w:color w:val="13293D"/>
          <w:sz w:val="22"/>
          <w:szCs w:val="22"/>
        </w:rPr>
        <w:t xml:space="preserve">“Libre comercio” no significa “sin reglas”: </w:t>
      </w:r>
      <w:r>
        <w:rPr>
          <w:rFonts w:ascii="Calibri" w:cs="Calibri" w:eastAsia="Calibri" w:hAnsi="Calibri"/>
          <w:color w:val="1A2733"/>
          <w:sz w:val="22"/>
          <w:szCs w:val="22"/>
        </w:rPr>
        <w:t xml:space="preserve">significa sin (o con menos) aranceles. Las reglas de origen, sanitarias y técnicas siguen ahí, y a veces son más exigentes.</w:t>
      </w:r>
    </w:p>
    <w:p>
      <w:pPr>
        <w:pStyle w:val="ListParagraph"/>
        <w:numPr>
          <w:ilvl w:val="0"/>
          <w:numId w:val="3"/>
        </w:numPr>
        <w:spacing w:after="70" w:line="270"/>
      </w:pPr>
      <w:r>
        <w:rPr>
          <w:rFonts w:ascii="Calibri" w:cs="Calibri" w:eastAsia="Calibri" w:hAnsi="Calibri"/>
          <w:b/>
          <w:bCs/>
          <w:color w:val="13293D"/>
          <w:sz w:val="22"/>
          <w:szCs w:val="22"/>
        </w:rPr>
        <w:t xml:space="preserve">No cubre todos los productos por igual: </w:t>
      </w:r>
      <w:r>
        <w:rPr>
          <w:rFonts w:ascii="Calibri" w:cs="Calibri" w:eastAsia="Calibri" w:hAnsi="Calibri"/>
          <w:color w:val="1A2733"/>
          <w:sz w:val="22"/>
          <w:szCs w:val="22"/>
        </w:rPr>
        <w:t xml:space="preserve">hay exclusiones, cuotas y cronogramas. Un producto puede estar libre, en desgravación gradual, o excluido.</w:t>
      </w:r>
    </w:p>
    <w:p>
      <w:pPr>
        <w:pStyle w:val="Heading2"/>
        <w:spacing w:after="100" w:before="240"/>
      </w:pPr>
      <w:r>
        <w:rPr>
          <w:rFonts w:ascii="Georgia" w:cs="Georgia" w:eastAsia="Georgia" w:hAnsi="Georgia"/>
          <w:b/>
          <w:bCs/>
          <w:color w:val="1F5F6B"/>
          <w:sz w:val="25"/>
          <w:szCs w:val="25"/>
        </w:rPr>
        <w:t xml:space="preserve">2. La jerarquía de un tratado</w:t>
      </w:r>
    </w:p>
    <w:p>
      <w:pPr>
        <w:spacing w:after="120" w:line="276"/>
      </w:pPr>
      <w:r>
        <w:rPr>
          <w:rFonts w:ascii="Calibri" w:cs="Calibri" w:eastAsia="Calibri" w:hAnsi="Calibri"/>
          <w:color w:val="1A2733"/>
          <w:sz w:val="22"/>
          <w:szCs w:val="22"/>
        </w:rPr>
        <w:t xml:space="preserve">Un tratado no es un texto plano: tiene niveles, y cada nivel puede modificar o precisar al anterior. De lo general a lo específico:</w:t>
      </w:r>
    </w:p>
    <w:p>
      <w:pPr>
        <w:pStyle w:val="ListParagraph"/>
        <w:numPr>
          <w:ilvl w:val="0"/>
          <w:numId w:val="3"/>
        </w:numPr>
        <w:spacing w:after="70" w:line="270"/>
      </w:pPr>
      <w:r>
        <w:rPr>
          <w:rFonts w:ascii="Calibri" w:cs="Calibri" w:eastAsia="Calibri" w:hAnsi="Calibri"/>
          <w:b/>
          <w:bCs/>
          <w:color w:val="13293D"/>
          <w:sz w:val="22"/>
          <w:szCs w:val="22"/>
        </w:rPr>
        <w:t xml:space="preserve">Preámbulo: </w:t>
      </w:r>
      <w:r>
        <w:rPr>
          <w:rFonts w:ascii="Calibri" w:cs="Calibri" w:eastAsia="Calibri" w:hAnsi="Calibri"/>
          <w:color w:val="1A2733"/>
          <w:sz w:val="22"/>
          <w:szCs w:val="22"/>
        </w:rPr>
        <w:t xml:space="preserve">los objetivos y el espíritu del tratado. No crea obligaciones directas, pero sirve para interpretar el resto.</w:t>
      </w:r>
    </w:p>
    <w:p>
      <w:pPr>
        <w:pStyle w:val="ListParagraph"/>
        <w:numPr>
          <w:ilvl w:val="0"/>
          <w:numId w:val="3"/>
        </w:numPr>
        <w:spacing w:after="70" w:line="270"/>
      </w:pPr>
      <w:r>
        <w:rPr>
          <w:rFonts w:ascii="Calibri" w:cs="Calibri" w:eastAsia="Calibri" w:hAnsi="Calibri"/>
          <w:b/>
          <w:bCs/>
          <w:color w:val="13293D"/>
          <w:sz w:val="22"/>
          <w:szCs w:val="22"/>
        </w:rPr>
        <w:t xml:space="preserve">Capítulos: </w:t>
      </w:r>
      <w:r>
        <w:rPr>
          <w:rFonts w:ascii="Calibri" w:cs="Calibri" w:eastAsia="Calibri" w:hAnsi="Calibri"/>
          <w:color w:val="1A2733"/>
          <w:sz w:val="22"/>
          <w:szCs w:val="22"/>
        </w:rPr>
        <w:t xml:space="preserve">la división temática principal. El DR-CAFTA tiene 22.</w:t>
      </w:r>
    </w:p>
    <w:p>
      <w:pPr>
        <w:pStyle w:val="ListParagraph"/>
        <w:numPr>
          <w:ilvl w:val="0"/>
          <w:numId w:val="3"/>
        </w:numPr>
        <w:spacing w:after="70" w:line="270"/>
      </w:pPr>
      <w:r>
        <w:rPr>
          <w:rFonts w:ascii="Calibri" w:cs="Calibri" w:eastAsia="Calibri" w:hAnsi="Calibri"/>
          <w:b/>
          <w:bCs/>
          <w:color w:val="13293D"/>
          <w:sz w:val="22"/>
          <w:szCs w:val="22"/>
        </w:rPr>
        <w:t xml:space="preserve">Artículos: </w:t>
      </w:r>
      <w:r>
        <w:rPr>
          <w:rFonts w:ascii="Calibri" w:cs="Calibri" w:eastAsia="Calibri" w:hAnsi="Calibri"/>
          <w:color w:val="1A2733"/>
          <w:sz w:val="22"/>
          <w:szCs w:val="22"/>
        </w:rPr>
        <w:t xml:space="preserve">la unidad básica de la obligación. Se numeran por capítulo: el Artículo 4.16 es el artículo 16 del Capítulo 4.</w:t>
      </w:r>
    </w:p>
    <w:p>
      <w:pPr>
        <w:pStyle w:val="ListParagraph"/>
        <w:numPr>
          <w:ilvl w:val="0"/>
          <w:numId w:val="3"/>
        </w:numPr>
        <w:spacing w:after="70" w:line="270"/>
      </w:pPr>
      <w:r>
        <w:rPr>
          <w:rFonts w:ascii="Calibri" w:cs="Calibri" w:eastAsia="Calibri" w:hAnsi="Calibri"/>
          <w:b/>
          <w:bCs/>
          <w:color w:val="13293D"/>
          <w:sz w:val="22"/>
          <w:szCs w:val="22"/>
        </w:rPr>
        <w:t xml:space="preserve">Anexos: </w:t>
      </w:r>
      <w:r>
        <w:rPr>
          <w:rFonts w:ascii="Calibri" w:cs="Calibri" w:eastAsia="Calibri" w:hAnsi="Calibri"/>
          <w:color w:val="1A2733"/>
          <w:sz w:val="22"/>
          <w:szCs w:val="22"/>
        </w:rPr>
        <w:t xml:space="preserve">aquí está la trampa que tumba a la mayoría. El anexo no es relleno: modifica, detalla o hace excepción al artículo. El Capítulo 3 dice “se elimina el arancel”, pero cuándo y cómo está en el Anexo 3.3.</w:t>
      </w:r>
    </w:p>
    <w:p>
      <w:pPr>
        <w:pStyle w:val="ListParagraph"/>
        <w:numPr>
          <w:ilvl w:val="0"/>
          <w:numId w:val="3"/>
        </w:numPr>
        <w:spacing w:after="70" w:line="270"/>
      </w:pPr>
      <w:r>
        <w:rPr>
          <w:rFonts w:ascii="Calibri" w:cs="Calibri" w:eastAsia="Calibri" w:hAnsi="Calibri"/>
          <w:b/>
          <w:bCs/>
          <w:color w:val="13293D"/>
          <w:sz w:val="22"/>
          <w:szCs w:val="22"/>
        </w:rPr>
        <w:t xml:space="preserve">Apéndices: </w:t>
      </w:r>
      <w:r>
        <w:rPr>
          <w:rFonts w:ascii="Calibri" w:cs="Calibri" w:eastAsia="Calibri" w:hAnsi="Calibri"/>
          <w:color w:val="1A2733"/>
          <w:sz w:val="22"/>
          <w:szCs w:val="22"/>
        </w:rPr>
        <w:t xml:space="preserve">un nivel más de detalle dentro de un anexo.</w:t>
      </w:r>
    </w:p>
    <w:p>
      <w:pPr>
        <w:pStyle w:val="ListParagraph"/>
        <w:numPr>
          <w:ilvl w:val="0"/>
          <w:numId w:val="3"/>
        </w:numPr>
        <w:spacing w:after="70" w:line="270"/>
      </w:pPr>
      <w:r>
        <w:rPr>
          <w:rFonts w:ascii="Calibri" w:cs="Calibri" w:eastAsia="Calibri" w:hAnsi="Calibri"/>
          <w:b/>
          <w:bCs/>
          <w:color w:val="13293D"/>
          <w:sz w:val="22"/>
          <w:szCs w:val="22"/>
        </w:rPr>
        <w:t xml:space="preserve">Notas: </w:t>
      </w:r>
      <w:r>
        <w:rPr>
          <w:rFonts w:ascii="Calibri" w:cs="Calibri" w:eastAsia="Calibri" w:hAnsi="Calibri"/>
          <w:color w:val="1A2733"/>
          <w:sz w:val="22"/>
          <w:szCs w:val="22"/>
        </w:rPr>
        <w:t xml:space="preserve">precisiones que cambian el sentido. Una nota puede excluir un producto que el texto general parecía incluir. Se leen siempre.</w:t>
      </w:r>
    </w:p>
    <w:p>
      <w:pPr>
        <w:pStyle w:val="ListParagraph"/>
        <w:numPr>
          <w:ilvl w:val="0"/>
          <w:numId w:val="3"/>
        </w:numPr>
        <w:spacing w:after="70" w:line="270"/>
      </w:pPr>
      <w:r>
        <w:rPr>
          <w:rFonts w:ascii="Calibri" w:cs="Calibri" w:eastAsia="Calibri" w:hAnsi="Calibri"/>
          <w:b/>
          <w:bCs/>
          <w:color w:val="13293D"/>
          <w:sz w:val="22"/>
          <w:szCs w:val="22"/>
        </w:rPr>
        <w:t xml:space="preserve">Listas (schedules): </w:t>
      </w:r>
      <w:r>
        <w:rPr>
          <w:rFonts w:ascii="Calibri" w:cs="Calibri" w:eastAsia="Calibri" w:hAnsi="Calibri"/>
          <w:color w:val="1A2733"/>
          <w:sz w:val="22"/>
          <w:szCs w:val="22"/>
        </w:rPr>
        <w:t xml:space="preserve">tablas por país: qué producto entra en qué canasta de desgravación, qué servicios se abren, qué compras públicas cubre.</w:t>
      </w:r>
    </w:p>
    <w:p>
      <w:pPr>
        <w:pStyle w:val="ListParagraph"/>
        <w:numPr>
          <w:ilvl w:val="0"/>
          <w:numId w:val="3"/>
        </w:numPr>
        <w:spacing w:after="70" w:line="270"/>
      </w:pPr>
      <w:r>
        <w:rPr>
          <w:rFonts w:ascii="Calibri" w:cs="Calibri" w:eastAsia="Calibri" w:hAnsi="Calibri"/>
          <w:b/>
          <w:bCs/>
          <w:color w:val="13293D"/>
          <w:sz w:val="22"/>
          <w:szCs w:val="22"/>
        </w:rPr>
        <w:t xml:space="preserve">Cartas adjuntas (side letters): </w:t>
      </w:r>
      <w:r>
        <w:rPr>
          <w:rFonts w:ascii="Calibri" w:cs="Calibri" w:eastAsia="Calibri" w:hAnsi="Calibri"/>
          <w:color w:val="1A2733"/>
          <w:sz w:val="22"/>
          <w:szCs w:val="22"/>
        </w:rPr>
        <w:t xml:space="preserve">acuerdos paralelos sobre puntos específicos; a veces decisivos.</w:t>
      </w:r>
    </w:p>
    <w:p>
      <w:pPr>
        <w:pStyle w:val="ListParagraph"/>
        <w:numPr>
          <w:ilvl w:val="0"/>
          <w:numId w:val="3"/>
        </w:numPr>
        <w:spacing w:after="70" w:line="270"/>
      </w:pPr>
      <w:r>
        <w:rPr>
          <w:rFonts w:ascii="Calibri" w:cs="Calibri" w:eastAsia="Calibri" w:hAnsi="Calibri"/>
          <w:b/>
          <w:bCs/>
          <w:color w:val="13293D"/>
          <w:sz w:val="22"/>
          <w:szCs w:val="22"/>
        </w:rPr>
        <w:t xml:space="preserve">Definiciones: </w:t>
      </w:r>
      <w:r>
        <w:rPr>
          <w:rFonts w:ascii="Calibri" w:cs="Calibri" w:eastAsia="Calibri" w:hAnsi="Calibri"/>
          <w:color w:val="1A2733"/>
          <w:sz w:val="22"/>
          <w:szCs w:val="22"/>
        </w:rPr>
        <w:t xml:space="preserve">generales (Cap. 2) y específicas por capítulo. Mandan sobre el lenguaje común.</w:t>
      </w:r>
    </w:p>
    <w:p>
      <w:pPr>
        <w:pBdr>
          <w:top w:val="single" w:color="E6DCC2" w:sz="4" w:space="8"/>
          <w:bottom w:val="single" w:color="E6DCC2" w:sz="4" w:space="8"/>
          <w:left w:val="single" w:color="B07D18" w:sz="18" w:space="14"/>
          <w:right w:val="single" w:color="E6DCC2" w:sz="4" w:space="8"/>
        </w:pBdr>
        <w:shd w:fill="F4EFE0" w:color="auto" w:val="clear"/>
        <w:spacing w:after="150" w:before="120" w:line="276"/>
      </w:pPr>
      <w:r>
        <w:rPr>
          <w:rFonts w:ascii="Calibri" w:cs="Calibri" w:eastAsia="Calibri" w:hAnsi="Calibri"/>
          <w:b/>
          <w:bCs/>
          <w:color w:val="B07D18"/>
          <w:sz w:val="22"/>
          <w:szCs w:val="22"/>
        </w:rPr>
        <w:t xml:space="preserve">Regla de oro del módulo:  </w:t>
      </w:r>
      <w:r>
        <w:rPr>
          <w:rFonts w:ascii="Calibri" w:cs="Calibri" w:eastAsia="Calibri" w:hAnsi="Calibri"/>
          <w:color w:val="1A2733"/>
          <w:sz w:val="22"/>
          <w:szCs w:val="22"/>
        </w:rPr>
        <w:t xml:space="preserve">nunca leas un artículo solo. Lee el artículo + sus anexos + sus notas + las definiciones aplicables. Los cuatro juntos son la norma completa; leídos por separado, engañan.</w:t>
      </w:r>
    </w:p>
    <w:p>
      <w:pPr>
        <w:pStyle w:val="Heading2"/>
        <w:spacing w:after="100" w:before="240"/>
      </w:pPr>
      <w:r>
        <w:rPr>
          <w:rFonts w:ascii="Georgia" w:cs="Georgia" w:eastAsia="Georgia" w:hAnsi="Georgia"/>
          <w:b/>
          <w:bCs/>
          <w:color w:val="1F5F6B"/>
          <w:sz w:val="25"/>
          <w:szCs w:val="25"/>
        </w:rPr>
        <w:t xml:space="preserve">3. La estructura específica del DR-CAFTA (22 capítulos en 5 bloques)</w:t>
      </w:r>
    </w:p>
    <w:p>
      <w:pPr>
        <w:pStyle w:val="Heading3"/>
        <w:spacing w:after="70" w:before="160"/>
      </w:pPr>
      <w:r>
        <w:rPr>
          <w:rFonts w:ascii="Georgia" w:cs="Georgia" w:eastAsia="Georgia" w:hAnsi="Georgia"/>
          <w:b/>
          <w:bCs/>
          <w:color w:val="13293D"/>
          <w:sz w:val="21"/>
          <w:szCs w:val="21"/>
        </w:rPr>
        <w:t xml:space="preserve">Bloque I — Reglas del juego para las mercancías</w:t>
      </w:r>
    </w:p>
    <w:p>
      <w:pPr>
        <w:spacing w:after="120" w:line="276"/>
      </w:pPr>
      <w:r>
        <w:rPr>
          <w:rFonts w:ascii="Calibri" w:cs="Calibri" w:eastAsia="Calibri" w:hAnsi="Calibri"/>
          <w:color w:val="1A2733"/>
          <w:sz w:val="22"/>
          <w:szCs w:val="22"/>
        </w:rPr>
        <w:t xml:space="preserve">Cap. 1 Disposiciones Iniciales · Cap. 2 Definiciones Generales · Cap. 3 Trato Nacional y Acceso de Mercancías al Mercado · Cap. 4 Reglas de Origen y Procedimientos de Origen · Cap. 5 Administración Aduanera y Facilitación del Comercio.</w:t>
      </w:r>
    </w:p>
    <w:p>
      <w:pPr>
        <w:pStyle w:val="Heading3"/>
        <w:spacing w:after="70" w:before="160"/>
      </w:pPr>
      <w:r>
        <w:rPr>
          <w:rFonts w:ascii="Georgia" w:cs="Georgia" w:eastAsia="Georgia" w:hAnsi="Georgia"/>
          <w:b/>
          <w:bCs/>
          <w:color w:val="13293D"/>
          <w:sz w:val="21"/>
          <w:szCs w:val="21"/>
        </w:rPr>
        <w:t xml:space="preserve">Bloque II — Barreras no arancelarias</w:t>
      </w:r>
    </w:p>
    <w:p>
      <w:pPr>
        <w:spacing w:after="120" w:line="276"/>
      </w:pPr>
      <w:r>
        <w:rPr>
          <w:rFonts w:ascii="Calibri" w:cs="Calibri" w:eastAsia="Calibri" w:hAnsi="Calibri"/>
          <w:color w:val="1A2733"/>
          <w:sz w:val="22"/>
          <w:szCs w:val="22"/>
        </w:rPr>
        <w:t xml:space="preserve">Cap. 6 Medidas Sanitarias y Fitosanitarias · Cap. 7 Obstáculos Técnicos al Comercio · Cap. 8 Defensa Comercial.</w:t>
      </w:r>
    </w:p>
    <w:p>
      <w:pPr>
        <w:pStyle w:val="Heading3"/>
        <w:spacing w:after="70" w:before="160"/>
      </w:pPr>
      <w:r>
        <w:rPr>
          <w:rFonts w:ascii="Georgia" w:cs="Georgia" w:eastAsia="Georgia" w:hAnsi="Georgia"/>
          <w:b/>
          <w:bCs/>
          <w:color w:val="13293D"/>
          <w:sz w:val="21"/>
          <w:szCs w:val="21"/>
        </w:rPr>
        <w:t xml:space="preserve">Bloque III — Servicios e inversión</w:t>
      </w:r>
    </w:p>
    <w:p>
      <w:pPr>
        <w:spacing w:after="120" w:line="276"/>
      </w:pPr>
      <w:r>
        <w:rPr>
          <w:rFonts w:ascii="Calibri" w:cs="Calibri" w:eastAsia="Calibri" w:hAnsi="Calibri"/>
          <w:color w:val="1A2733"/>
          <w:sz w:val="22"/>
          <w:szCs w:val="22"/>
        </w:rPr>
        <w:t xml:space="preserve">Cap. 9 Contratación Pública · Cap. 10 Inversión · Cap. 11 Comercio Transfronterizo de Servicios · Cap. 12 Servicios Financieros · Cap. 13 Telecomunicaciones · Cap. 14 Comercio Electrónico.</w:t>
      </w:r>
    </w:p>
    <w:p>
      <w:pPr>
        <w:pStyle w:val="Heading3"/>
        <w:spacing w:after="70" w:before="160"/>
      </w:pPr>
      <w:r>
        <w:rPr>
          <w:rFonts w:ascii="Georgia" w:cs="Georgia" w:eastAsia="Georgia" w:hAnsi="Georgia"/>
          <w:b/>
          <w:bCs/>
          <w:color w:val="13293D"/>
          <w:sz w:val="21"/>
          <w:szCs w:val="21"/>
        </w:rPr>
        <w:t xml:space="preserve">Bloque IV — Temas ligados al comercio</w:t>
      </w:r>
    </w:p>
    <w:p>
      <w:pPr>
        <w:spacing w:after="120" w:line="276"/>
      </w:pPr>
      <w:r>
        <w:rPr>
          <w:rFonts w:ascii="Calibri" w:cs="Calibri" w:eastAsia="Calibri" w:hAnsi="Calibri"/>
          <w:color w:val="1A2733"/>
          <w:sz w:val="22"/>
          <w:szCs w:val="22"/>
        </w:rPr>
        <w:t xml:space="preserve">Cap. 15 Propiedad Intelectual · Cap. 16 Laboral · Cap. 17 Ambiental.</w:t>
      </w:r>
    </w:p>
    <w:p>
      <w:pPr>
        <w:pStyle w:val="Heading3"/>
        <w:spacing w:after="70" w:before="160"/>
      </w:pPr>
      <w:r>
        <w:rPr>
          <w:rFonts w:ascii="Georgia" w:cs="Georgia" w:eastAsia="Georgia" w:hAnsi="Georgia"/>
          <w:b/>
          <w:bCs/>
          <w:color w:val="13293D"/>
          <w:sz w:val="21"/>
          <w:szCs w:val="21"/>
        </w:rPr>
        <w:t xml:space="preserve">Bloque V — Administración del tratado</w:t>
      </w:r>
    </w:p>
    <w:p>
      <w:pPr>
        <w:spacing w:after="120" w:line="276"/>
      </w:pPr>
      <w:r>
        <w:rPr>
          <w:rFonts w:ascii="Calibri" w:cs="Calibri" w:eastAsia="Calibri" w:hAnsi="Calibri"/>
          <w:color w:val="1A2733"/>
          <w:sz w:val="22"/>
          <w:szCs w:val="22"/>
        </w:rPr>
        <w:t xml:space="preserve">Cap. 18 Transparencia · Cap. 19 Administración del Tratado · Cap. 20 Solución de Controversias · Cap. 21 Excepciones · Cap. 22 Disposiciones Finales.</w:t>
      </w:r>
    </w:p>
    <w:p>
      <w:pPr>
        <w:spacing w:after="120" w:line="276"/>
      </w:pPr>
      <w:r>
        <w:rPr>
          <w:rFonts w:ascii="Calibri" w:cs="Calibri" w:eastAsia="Calibri" w:hAnsi="Calibri"/>
          <w:i/>
          <w:iCs/>
          <w:color w:val="5B6B78"/>
          <w:sz w:val="22"/>
          <w:szCs w:val="22"/>
        </w:rPr>
        <w:t xml:space="preserve">Para un profesional de aduanas, el 80% del trabajo diario vive en los Capítulos 3, 4, 5 y 6.</w:t>
      </w:r>
    </w:p>
    <w:p>
      <w:pPr>
        <w:pStyle w:val="Heading2"/>
        <w:spacing w:after="100" w:before="240"/>
      </w:pPr>
      <w:r>
        <w:rPr>
          <w:rFonts w:ascii="Georgia" w:cs="Georgia" w:eastAsia="Georgia" w:hAnsi="Georgia"/>
          <w:b/>
          <w:bCs/>
          <w:color w:val="1F5F6B"/>
          <w:sz w:val="25"/>
          <w:szCs w:val="25"/>
        </w:rPr>
        <w:t xml:space="preserve">4. El método de consulta — 6 pasos</w:t>
      </w:r>
    </w:p>
    <w:p>
      <w:pPr>
        <w:pStyle w:val="ListParagraph"/>
        <w:numPr>
          <w:ilvl w:val="0"/>
          <w:numId w:val="2"/>
        </w:numPr>
        <w:spacing w:after="70" w:line="270"/>
      </w:pPr>
      <w:r>
        <w:rPr>
          <w:rFonts w:ascii="Calibri" w:cs="Calibri" w:eastAsia="Calibri" w:hAnsi="Calibri"/>
          <w:color w:val="1A2733"/>
          <w:sz w:val="22"/>
          <w:szCs w:val="22"/>
        </w:rPr>
        <w:t xml:space="preserve">Define tu pregunta: ¿es de arancel (Cap. 3)? ¿de origen (Cap. 4)? ¿de permisos (Cap. 6 + norma nacional)?</w:t>
      </w:r>
    </w:p>
    <w:p>
      <w:pPr>
        <w:pStyle w:val="ListParagraph"/>
        <w:numPr>
          <w:ilvl w:val="0"/>
          <w:numId w:val="2"/>
        </w:numPr>
        <w:spacing w:after="70" w:line="270"/>
      </w:pPr>
      <w:r>
        <w:rPr>
          <w:rFonts w:ascii="Calibri" w:cs="Calibri" w:eastAsia="Calibri" w:hAnsi="Calibri"/>
          <w:color w:val="1A2733"/>
          <w:sz w:val="22"/>
          <w:szCs w:val="22"/>
        </w:rPr>
        <w:t xml:space="preserve">Localiza el capítulo usando el índice y la agrupación por bloques.</w:t>
      </w:r>
    </w:p>
    <w:p>
      <w:pPr>
        <w:pStyle w:val="ListParagraph"/>
        <w:numPr>
          <w:ilvl w:val="0"/>
          <w:numId w:val="2"/>
        </w:numPr>
        <w:spacing w:after="70" w:line="270"/>
      </w:pPr>
      <w:r>
        <w:rPr>
          <w:rFonts w:ascii="Calibri" w:cs="Calibri" w:eastAsia="Calibri" w:hAnsi="Calibri"/>
          <w:color w:val="1A2733"/>
          <w:sz w:val="22"/>
          <w:szCs w:val="22"/>
        </w:rPr>
        <w:t xml:space="preserve">Lee el artículo con sus anexos, nunca el artículo suelto.</w:t>
      </w:r>
    </w:p>
    <w:p>
      <w:pPr>
        <w:pStyle w:val="ListParagraph"/>
        <w:numPr>
          <w:ilvl w:val="0"/>
          <w:numId w:val="2"/>
        </w:numPr>
        <w:spacing w:after="70" w:line="270"/>
      </w:pPr>
      <w:r>
        <w:rPr>
          <w:rFonts w:ascii="Calibri" w:cs="Calibri" w:eastAsia="Calibri" w:hAnsi="Calibri"/>
          <w:color w:val="1A2733"/>
          <w:sz w:val="22"/>
          <w:szCs w:val="22"/>
        </w:rPr>
        <w:t xml:space="preserve">Revisa las definiciones aplicables (Cap. 2 y las del propio capítulo).</w:t>
      </w:r>
    </w:p>
    <w:p>
      <w:pPr>
        <w:pStyle w:val="ListParagraph"/>
        <w:numPr>
          <w:ilvl w:val="0"/>
          <w:numId w:val="2"/>
        </w:numPr>
        <w:spacing w:after="70" w:line="270"/>
      </w:pPr>
      <w:r>
        <w:rPr>
          <w:rFonts w:ascii="Calibri" w:cs="Calibri" w:eastAsia="Calibri" w:hAnsi="Calibri"/>
          <w:color w:val="1A2733"/>
          <w:sz w:val="22"/>
          <w:szCs w:val="22"/>
        </w:rPr>
        <w:t xml:space="preserve">Verifica notas y excepciones país-específicas (notas al pie, listas de RD, cartas adjuntas).</w:t>
      </w:r>
    </w:p>
    <w:p>
      <w:pPr>
        <w:pStyle w:val="ListParagraph"/>
        <w:numPr>
          <w:ilvl w:val="0"/>
          <w:numId w:val="2"/>
        </w:numPr>
        <w:spacing w:after="70" w:line="270"/>
      </w:pPr>
      <w:r>
        <w:rPr>
          <w:rFonts w:ascii="Calibri" w:cs="Calibri" w:eastAsia="Calibri" w:hAnsi="Calibri"/>
          <w:color w:val="1A2733"/>
          <w:sz w:val="22"/>
          <w:szCs w:val="22"/>
        </w:rPr>
        <w:t xml:space="preserve">Contrasta con la implementación nacional (DGA, arancel nacional).</w:t>
      </w:r>
    </w:p>
    <w:p>
      <w:pPr>
        <w:pStyle w:val="Heading2"/>
        <w:spacing w:after="100" w:before="240"/>
      </w:pPr>
      <w:r>
        <w:rPr>
          <w:rFonts w:ascii="Georgia" w:cs="Georgia" w:eastAsia="Georgia" w:hAnsi="Georgia"/>
          <w:b/>
          <w:bCs/>
          <w:color w:val="1F5F6B"/>
          <w:sz w:val="25"/>
          <w:szCs w:val="25"/>
        </w:rPr>
        <w:t xml:space="preserve">5. Reglas de interpretación</w:t>
      </w:r>
    </w:p>
    <w:p>
      <w:pPr>
        <w:pStyle w:val="ListParagraph"/>
        <w:numPr>
          <w:ilvl w:val="0"/>
          <w:numId w:val="3"/>
        </w:numPr>
        <w:spacing w:after="70" w:line="270"/>
      </w:pPr>
      <w:r>
        <w:rPr>
          <w:rFonts w:ascii="Calibri" w:cs="Calibri" w:eastAsia="Calibri" w:hAnsi="Calibri"/>
          <w:b/>
          <w:bCs/>
          <w:color w:val="13293D"/>
          <w:sz w:val="22"/>
          <w:szCs w:val="22"/>
        </w:rPr>
        <w:t xml:space="preserve">Convención de Viena (Art. 31): </w:t>
      </w:r>
      <w:r>
        <w:rPr>
          <w:rFonts w:ascii="Calibri" w:cs="Calibri" w:eastAsia="Calibri" w:hAnsi="Calibri"/>
          <w:color w:val="1A2733"/>
          <w:sz w:val="22"/>
          <w:szCs w:val="22"/>
        </w:rPr>
        <w:t xml:space="preserve">un tratado se interpreta de buena fe, según el sentido corriente de sus términos, en su contexto y a la luz de su objeto y fin.</w:t>
      </w:r>
    </w:p>
    <w:p>
      <w:pPr>
        <w:pStyle w:val="ListParagraph"/>
        <w:numPr>
          <w:ilvl w:val="0"/>
          <w:numId w:val="3"/>
        </w:numPr>
        <w:spacing w:after="70" w:line="270"/>
      </w:pPr>
      <w:r>
        <w:rPr>
          <w:rFonts w:ascii="Calibri" w:cs="Calibri" w:eastAsia="Calibri" w:hAnsi="Calibri"/>
          <w:b/>
          <w:bCs/>
          <w:color w:val="13293D"/>
          <w:sz w:val="22"/>
          <w:szCs w:val="22"/>
        </w:rPr>
        <w:t xml:space="preserve">El texto prevalece: </w:t>
      </w:r>
      <w:r>
        <w:rPr>
          <w:rFonts w:ascii="Calibri" w:cs="Calibri" w:eastAsia="Calibri" w:hAnsi="Calibri"/>
          <w:color w:val="1A2733"/>
          <w:sz w:val="22"/>
          <w:szCs w:val="22"/>
        </w:rPr>
        <w:t xml:space="preserve">no lo que “quiso decir” alguien, sino lo que dice.</w:t>
      </w:r>
    </w:p>
    <w:p>
      <w:pPr>
        <w:pStyle w:val="ListParagraph"/>
        <w:numPr>
          <w:ilvl w:val="0"/>
          <w:numId w:val="3"/>
        </w:numPr>
        <w:spacing w:after="70" w:line="270"/>
      </w:pPr>
      <w:r>
        <w:rPr>
          <w:rFonts w:ascii="Calibri" w:cs="Calibri" w:eastAsia="Calibri" w:hAnsi="Calibri"/>
          <w:b/>
          <w:bCs/>
          <w:color w:val="13293D"/>
          <w:sz w:val="22"/>
          <w:szCs w:val="22"/>
        </w:rPr>
        <w:t xml:space="preserve">Las definiciones mandan: </w:t>
      </w:r>
      <w:r>
        <w:rPr>
          <w:rFonts w:ascii="Calibri" w:cs="Calibri" w:eastAsia="Calibri" w:hAnsi="Calibri"/>
          <w:color w:val="1A2733"/>
          <w:sz w:val="22"/>
          <w:szCs w:val="22"/>
        </w:rPr>
        <w:t xml:space="preserve">sobre el lenguaje común.</w:t>
      </w:r>
    </w:p>
    <w:p>
      <w:pPr>
        <w:pStyle w:val="ListParagraph"/>
        <w:numPr>
          <w:ilvl w:val="0"/>
          <w:numId w:val="3"/>
        </w:numPr>
        <w:spacing w:after="70" w:line="270"/>
      </w:pPr>
      <w:r>
        <w:rPr>
          <w:rFonts w:ascii="Calibri" w:cs="Calibri" w:eastAsia="Calibri" w:hAnsi="Calibri"/>
          <w:b/>
          <w:bCs/>
          <w:color w:val="13293D"/>
          <w:sz w:val="22"/>
          <w:szCs w:val="22"/>
        </w:rPr>
        <w:t xml:space="preserve">Lo específico vence a lo general: </w:t>
      </w:r>
      <w:r>
        <w:rPr>
          <w:rFonts w:ascii="Calibri" w:cs="Calibri" w:eastAsia="Calibri" w:hAnsi="Calibri"/>
          <w:color w:val="1A2733"/>
          <w:sz w:val="22"/>
          <w:szCs w:val="22"/>
        </w:rPr>
        <w:t xml:space="preserve">una regla específica de una partida vence a la regla general del capítulo.</w:t>
      </w:r>
    </w:p>
    <w:p>
      <w:pPr>
        <w:pStyle w:val="ListParagraph"/>
        <w:numPr>
          <w:ilvl w:val="0"/>
          <w:numId w:val="3"/>
        </w:numPr>
        <w:spacing w:after="70" w:line="270"/>
      </w:pPr>
      <w:r>
        <w:rPr>
          <w:rFonts w:ascii="Calibri" w:cs="Calibri" w:eastAsia="Calibri" w:hAnsi="Calibri"/>
          <w:b/>
          <w:bCs/>
          <w:color w:val="13293D"/>
          <w:sz w:val="22"/>
          <w:szCs w:val="22"/>
        </w:rPr>
        <w:t xml:space="preserve">El anexo precisa al artículo: </w:t>
      </w:r>
      <w:r>
        <w:rPr>
          <w:rFonts w:ascii="Calibri" w:cs="Calibri" w:eastAsia="Calibri" w:hAnsi="Calibri"/>
          <w:color w:val="1A2733"/>
          <w:sz w:val="22"/>
          <w:szCs w:val="22"/>
        </w:rPr>
        <w:t xml:space="preserve">no lo contradice; cuando hay tensión, se lee el conjunto buscando coherencia.</w:t>
      </w:r>
    </w:p>
    <w:p>
      <w:pPr>
        <w:pStyle w:val="Heading2"/>
        <w:spacing w:after="100" w:before="240"/>
      </w:pPr>
      <w:r>
        <w:rPr>
          <w:rFonts w:ascii="Georgia" w:cs="Georgia" w:eastAsia="Georgia" w:hAnsi="Georgia"/>
          <w:b/>
          <w:bCs/>
          <w:color w:val="1F5F6B"/>
          <w:sz w:val="25"/>
          <w:szCs w:val="25"/>
        </w:rPr>
        <w:t xml:space="preserve">6. Trampas comunes</w:t>
      </w:r>
    </w:p>
    <w:p>
      <w:pPr>
        <w:pStyle w:val="ListParagraph"/>
        <w:numPr>
          <w:ilvl w:val="0"/>
          <w:numId w:val="3"/>
        </w:numPr>
        <w:spacing w:after="70" w:line="270"/>
      </w:pPr>
      <w:r>
        <w:rPr>
          <w:rFonts w:ascii="Calibri" w:cs="Calibri" w:eastAsia="Calibri" w:hAnsi="Calibri"/>
          <w:color w:val="1A2733"/>
          <w:sz w:val="22"/>
          <w:szCs w:val="22"/>
        </w:rPr>
        <w:t xml:space="preserve">Leer el artículo e ignorar su anexo → respuesta incompleta.</w:t>
      </w:r>
    </w:p>
    <w:p>
      <w:pPr>
        <w:pStyle w:val="ListParagraph"/>
        <w:numPr>
          <w:ilvl w:val="0"/>
          <w:numId w:val="3"/>
        </w:numPr>
        <w:spacing w:after="70" w:line="270"/>
      </w:pPr>
      <w:r>
        <w:rPr>
          <w:rFonts w:ascii="Calibri" w:cs="Calibri" w:eastAsia="Calibri" w:hAnsi="Calibri"/>
          <w:color w:val="1A2733"/>
          <w:sz w:val="22"/>
          <w:szCs w:val="22"/>
        </w:rPr>
        <w:t xml:space="preserve">Usar el significado “de calle” de un término en vez de la definición del tratado.</w:t>
      </w:r>
    </w:p>
    <w:p>
      <w:pPr>
        <w:pStyle w:val="ListParagraph"/>
        <w:numPr>
          <w:ilvl w:val="0"/>
          <w:numId w:val="3"/>
        </w:numPr>
        <w:spacing w:after="70" w:line="270"/>
      </w:pPr>
      <w:r>
        <w:rPr>
          <w:rFonts w:ascii="Calibri" w:cs="Calibri" w:eastAsia="Calibri" w:hAnsi="Calibri"/>
          <w:color w:val="1A2733"/>
          <w:sz w:val="22"/>
          <w:szCs w:val="22"/>
        </w:rPr>
        <w:t xml:space="preserve">Asumir que “libre comercio” = “entra sin requisitos”.</w:t>
      </w:r>
    </w:p>
    <w:p>
      <w:pPr>
        <w:pStyle w:val="ListParagraph"/>
        <w:numPr>
          <w:ilvl w:val="0"/>
          <w:numId w:val="3"/>
        </w:numPr>
        <w:spacing w:after="70" w:line="270"/>
      </w:pPr>
      <w:r>
        <w:rPr>
          <w:rFonts w:ascii="Calibri" w:cs="Calibri" w:eastAsia="Calibri" w:hAnsi="Calibri"/>
          <w:color w:val="1A2733"/>
          <w:sz w:val="22"/>
          <w:szCs w:val="22"/>
        </w:rPr>
        <w:t xml:space="preserve">Aplicar la canasta de desgravación del país equivocado.</w:t>
      </w:r>
    </w:p>
    <w:p>
      <w:pPr>
        <w:pStyle w:val="ListParagraph"/>
        <w:numPr>
          <w:ilvl w:val="0"/>
          <w:numId w:val="3"/>
        </w:numPr>
        <w:spacing w:after="70" w:line="270"/>
      </w:pPr>
      <w:r>
        <w:rPr>
          <w:rFonts w:ascii="Calibri" w:cs="Calibri" w:eastAsia="Calibri" w:hAnsi="Calibri"/>
          <w:color w:val="1A2733"/>
          <w:sz w:val="22"/>
          <w:szCs w:val="22"/>
        </w:rPr>
        <w:t xml:space="preserve">Confundir lo que dice el tratado con cómo lo aplica la aduana dominicana.</w:t>
      </w:r>
    </w:p>
    <w:p>
      <w:pPr>
        <w:pStyle w:val="Heading2"/>
        <w:spacing w:after="100" w:before="240"/>
      </w:pPr>
      <w:r>
        <w:rPr>
          <w:rFonts w:ascii="Georgia" w:cs="Georgia" w:eastAsia="Georgia" w:hAnsi="Georgia"/>
          <w:b/>
          <w:bCs/>
          <w:color w:val="1F5F6B"/>
          <w:sz w:val="25"/>
          <w:szCs w:val="25"/>
        </w:rPr>
        <w:t xml:space="preserve">7. Glosario mínimo</w:t>
      </w:r>
    </w:p>
    <w:p>
      <w:pPr>
        <w:spacing w:after="60" w:line="264"/>
      </w:pPr>
      <w:r>
        <w:rPr>
          <w:rFonts w:ascii="Calibri" w:cs="Calibri" w:eastAsia="Calibri" w:hAnsi="Calibri"/>
          <w:color w:val="1A2733"/>
          <w:sz w:val="21"/>
          <w:szCs w:val="21"/>
        </w:rPr>
        <w:t xml:space="preserve">Parte / Estado Parte · Zona de libre comercio · Arancel · Desgravación · Canasta · Contingente arancelario · Mercancía originaria · Trato nacional · Nación más favorecida (NMF) · Anexo · Apéndice · Side letter · Depositario (la OEA custodia los textos originales del DR-CAFTA).</w:t>
      </w:r>
    </w:p>
    <w:p>
      <w:pPr>
        <w:pStyle w:val="Heading2"/>
        <w:spacing w:after="100" w:before="240"/>
      </w:pPr>
      <w:r>
        <w:rPr>
          <w:rFonts w:ascii="Georgia" w:cs="Georgia" w:eastAsia="Georgia" w:hAnsi="Georgia"/>
          <w:b/>
          <w:bCs/>
          <w:color w:val="1F5F6B"/>
          <w:sz w:val="25"/>
          <w:szCs w:val="25"/>
        </w:rPr>
        <w:t xml:space="preserve">8. Lectura guiada</w:t>
      </w:r>
    </w:p>
    <w:p>
      <w:pPr>
        <w:pStyle w:val="ListParagraph"/>
        <w:numPr>
          <w:ilvl w:val="0"/>
          <w:numId w:val="3"/>
        </w:numPr>
        <w:spacing w:after="70" w:line="270"/>
      </w:pPr>
      <w:r>
        <w:rPr>
          <w:rFonts w:ascii="Calibri" w:cs="Calibri" w:eastAsia="Calibri" w:hAnsi="Calibri"/>
          <w:color w:val="1A2733"/>
          <w:sz w:val="22"/>
          <w:szCs w:val="22"/>
        </w:rPr>
        <w:t xml:space="preserve">Preámbulo completo (es corto).</w:t>
      </w:r>
    </w:p>
    <w:p>
      <w:pPr>
        <w:pStyle w:val="ListParagraph"/>
        <w:numPr>
          <w:ilvl w:val="0"/>
          <w:numId w:val="3"/>
        </w:numPr>
        <w:spacing w:after="70" w:line="270"/>
      </w:pPr>
      <w:r>
        <w:rPr>
          <w:rFonts w:ascii="Calibri" w:cs="Calibri" w:eastAsia="Calibri" w:hAnsi="Calibri"/>
          <w:color w:val="1A2733"/>
          <w:sz w:val="22"/>
          <w:szCs w:val="22"/>
        </w:rPr>
        <w:t xml:space="preserve">Índice general — ver los 22 capítulos y sus anexos.</w:t>
      </w:r>
    </w:p>
    <w:p>
      <w:pPr>
        <w:pStyle w:val="ListParagraph"/>
        <w:numPr>
          <w:ilvl w:val="0"/>
          <w:numId w:val="3"/>
        </w:numPr>
        <w:spacing w:after="70" w:line="270"/>
      </w:pPr>
      <w:r>
        <w:rPr>
          <w:rFonts w:ascii="Calibri" w:cs="Calibri" w:eastAsia="Calibri" w:hAnsi="Calibri"/>
          <w:color w:val="1A2733"/>
          <w:sz w:val="22"/>
          <w:szCs w:val="22"/>
        </w:rPr>
        <w:t xml:space="preserve">Capítulo 1 (Disposiciones Iniciales) — hojearlo.</w:t>
      </w:r>
    </w:p>
    <w:p>
      <w:pPr>
        <w:pStyle w:val="ListParagraph"/>
        <w:numPr>
          <w:ilvl w:val="0"/>
          <w:numId w:val="3"/>
        </w:numPr>
        <w:spacing w:after="70" w:line="270"/>
      </w:pPr>
      <w:r>
        <w:rPr>
          <w:rFonts w:ascii="Calibri" w:cs="Calibri" w:eastAsia="Calibri" w:hAnsi="Calibri"/>
          <w:color w:val="1A2733"/>
          <w:sz w:val="22"/>
          <w:szCs w:val="22"/>
        </w:rPr>
        <w:t xml:space="preserve">Abrir un anexo cualquiera (ej. Anexo 3.3) solo para ver cómo luce.</w:t>
      </w:r>
    </w:p>
    <w:p>
      <w:pPr>
        <w:pStyle w:val="Heading2"/>
        <w:spacing w:after="100" w:before="240"/>
      </w:pPr>
      <w:r>
        <w:rPr>
          <w:rFonts w:ascii="Georgia" w:cs="Georgia" w:eastAsia="Georgia" w:hAnsi="Georgia"/>
          <w:b/>
          <w:bCs/>
          <w:color w:val="1F5F6B"/>
          <w:sz w:val="25"/>
          <w:szCs w:val="25"/>
        </w:rPr>
        <w:t xml:space="preserve">9. Entregable</w:t>
      </w:r>
    </w:p>
    <w:p>
      <w:pPr>
        <w:spacing w:after="120" w:line="276"/>
      </w:pPr>
      <w:r>
        <w:rPr>
          <w:rFonts w:ascii="Calibri" w:cs="Calibri" w:eastAsia="Calibri" w:hAnsi="Calibri"/>
          <w:color w:val="1A2733"/>
          <w:sz w:val="22"/>
          <w:szCs w:val="22"/>
        </w:rPr>
        <w:t xml:space="preserve">“Mapa del DR-CAFTA”: un esquema de una página con los 22 capítulos agrupados en los 5 bloques, marcando cuáles tienen anexos y cuáles son los 4 capítulos clave para aduanas. Se convierte en la herramienta de navegación para todo el curso.</w:t>
      </w:r>
    </w:p>
    <w:p>
      <w:r>
        <w:br w:type="page"/>
      </w:r>
    </w:p>
    <w:p>
      <w:pPr>
        <w:pStyle w:val="Heading1"/>
        <w:spacing w:after="160" w:before="120"/>
      </w:pPr>
      <w:r>
        <w:rPr>
          <w:rFonts w:ascii="Georgia" w:cs="Georgia" w:eastAsia="Georgia" w:hAnsi="Georgia"/>
          <w:b/>
          <w:bCs/>
          <w:color w:val="13293D"/>
          <w:sz w:val="32"/>
          <w:szCs w:val="32"/>
        </w:rPr>
        <w:t xml:space="preserve">Módulo 1 — Disposiciones Iniciales y Definiciones</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entenderá qué establece el tratado en su arranque (la zona de libre comercio y su relación con la OMC) y dominará el sistema de definiciones, entendiendo por qué un término mal interpretado invalida todo el análisis posterior. Sabrá localizar una definición, distinguir las generales de las específicas por capítulo, y detectar cuándo una definición vive en un anexo.</w:t>
      </w:r>
    </w:p>
    <w:p>
      <w:pPr>
        <w:pStyle w:val="Heading2"/>
        <w:spacing w:after="100" w:before="240"/>
      </w:pPr>
      <w:r>
        <w:rPr>
          <w:rFonts w:ascii="Georgia" w:cs="Georgia" w:eastAsia="Georgia" w:hAnsi="Georgia"/>
          <w:b/>
          <w:bCs/>
          <w:color w:val="1F5F6B"/>
          <w:sz w:val="25"/>
          <w:szCs w:val="25"/>
        </w:rPr>
        <w:t xml:space="preserve">Por qué este módulo existe</w:t>
      </w:r>
    </w:p>
    <w:p>
      <w:pPr>
        <w:spacing w:after="120" w:line="276"/>
      </w:pPr>
      <w:r>
        <w:rPr>
          <w:rFonts w:ascii="Calibri" w:cs="Calibri" w:eastAsia="Calibri" w:hAnsi="Calibri"/>
          <w:color w:val="1A2733"/>
          <w:sz w:val="22"/>
          <w:szCs w:val="22"/>
        </w:rPr>
        <w:t xml:space="preserve">Casi todo el mundo salta los Capítulos 1 y 2 pensando que son “trámite”. Error caro: el Capítulo 2 es el diccionario oficial del tratado, y ese diccionario vence al lenguaje común. Una definición mal leída invalida todo el análisis posterior. El módulo instala el reflejo de confirmar, antes de aplicar cualquier regla, cómo el tratado define los términos que se están usando.</w:t>
      </w:r>
    </w:p>
    <w:p>
      <w:pPr>
        <w:pStyle w:val="Heading2"/>
        <w:spacing w:after="100" w:before="240"/>
      </w:pPr>
      <w:r>
        <w:rPr>
          <w:rFonts w:ascii="Georgia" w:cs="Georgia" w:eastAsia="Georgia" w:hAnsi="Georgia"/>
          <w:b/>
          <w:bCs/>
          <w:color w:val="1F5F6B"/>
          <w:sz w:val="25"/>
          <w:szCs w:val="25"/>
        </w:rPr>
        <w:t xml:space="preserve">1. Capítulo 1 — Disposiciones Iniciales</w:t>
      </w:r>
    </w:p>
    <w:p>
      <w:pPr>
        <w:pStyle w:val="ListParagraph"/>
        <w:numPr>
          <w:ilvl w:val="0"/>
          <w:numId w:val="3"/>
        </w:numPr>
        <w:spacing w:after="70" w:line="270"/>
      </w:pPr>
      <w:r>
        <w:rPr>
          <w:rFonts w:ascii="Calibri" w:cs="Calibri" w:eastAsia="Calibri" w:hAnsi="Calibri"/>
          <w:b/>
          <w:bCs/>
          <w:color w:val="13293D"/>
          <w:sz w:val="22"/>
          <w:szCs w:val="22"/>
        </w:rPr>
        <w:t xml:space="preserve">Establece la zona de libre comercio: </w:t>
      </w:r>
      <w:r>
        <w:rPr>
          <w:rFonts w:ascii="Calibri" w:cs="Calibri" w:eastAsia="Calibri" w:hAnsi="Calibri"/>
          <w:color w:val="1A2733"/>
          <w:sz w:val="22"/>
          <w:szCs w:val="22"/>
        </w:rPr>
        <w:t xml:space="preserve">de conformidad con el Artículo XXIV del GATT de 1994 y el Artículo V del AGCS. El DR-CAFTA nace amparado en las reglas de la OMC.</w:t>
      </w:r>
    </w:p>
    <w:p>
      <w:pPr>
        <w:pStyle w:val="ListParagraph"/>
        <w:numPr>
          <w:ilvl w:val="0"/>
          <w:numId w:val="3"/>
        </w:numPr>
        <w:spacing w:after="70" w:line="270"/>
      </w:pPr>
      <w:r>
        <w:rPr>
          <w:rFonts w:ascii="Calibri" w:cs="Calibri" w:eastAsia="Calibri" w:hAnsi="Calibri"/>
          <w:b/>
          <w:bCs/>
          <w:color w:val="13293D"/>
          <w:sz w:val="22"/>
          <w:szCs w:val="22"/>
        </w:rPr>
        <w:t xml:space="preserve">Define la relación con otros acuerdos: </w:t>
      </w:r>
      <w:r>
        <w:rPr>
          <w:rFonts w:ascii="Calibri" w:cs="Calibri" w:eastAsia="Calibri" w:hAnsi="Calibri"/>
          <w:color w:val="1A2733"/>
          <w:sz w:val="22"/>
          <w:szCs w:val="22"/>
        </w:rPr>
        <w:t xml:space="preserve">confirma los derechos y obligaciones existentes bajo la OMC. El tratado no borra lo anterior: es un piso adicional, no un universo aislado.</w:t>
      </w:r>
    </w:p>
    <w:p>
      <w:pPr>
        <w:pStyle w:val="ListParagraph"/>
        <w:numPr>
          <w:ilvl w:val="0"/>
          <w:numId w:val="3"/>
        </w:numPr>
        <w:spacing w:after="70" w:line="270"/>
      </w:pPr>
      <w:r>
        <w:rPr>
          <w:rFonts w:ascii="Calibri" w:cs="Calibri" w:eastAsia="Calibri" w:hAnsi="Calibri"/>
          <w:b/>
          <w:bCs/>
          <w:color w:val="13293D"/>
          <w:sz w:val="22"/>
          <w:szCs w:val="22"/>
        </w:rPr>
        <w:t xml:space="preserve">Fija el ámbito y las Partes: </w:t>
      </w:r>
      <w:r>
        <w:rPr>
          <w:rFonts w:ascii="Calibri" w:cs="Calibri" w:eastAsia="Calibri" w:hAnsi="Calibri"/>
          <w:color w:val="1A2733"/>
          <w:sz w:val="22"/>
          <w:szCs w:val="22"/>
        </w:rPr>
        <w:t xml:space="preserve">Estados Unidos, Costa Rica, El Salvador, Guatemala, Honduras, Nicaragua y República Dominicana.</w:t>
      </w:r>
    </w:p>
    <w:p>
      <w:pPr>
        <w:pStyle w:val="Heading2"/>
        <w:spacing w:after="100" w:before="240"/>
      </w:pPr>
      <w:r>
        <w:rPr>
          <w:rFonts w:ascii="Georgia" w:cs="Georgia" w:eastAsia="Georgia" w:hAnsi="Georgia"/>
          <w:b/>
          <w:bCs/>
          <w:color w:val="1F5F6B"/>
          <w:sz w:val="25"/>
          <w:szCs w:val="25"/>
        </w:rPr>
        <w:t xml:space="preserve">2. Capítulo 2 — Definiciones Generales</w:t>
      </w:r>
    </w:p>
    <w:p>
      <w:pPr>
        <w:spacing w:after="120" w:line="276"/>
      </w:pPr>
      <w:r>
        <w:rPr>
          <w:rFonts w:ascii="Calibri" w:cs="Calibri" w:eastAsia="Calibri" w:hAnsi="Calibri"/>
          <w:color w:val="1A2733"/>
          <w:sz w:val="22"/>
          <w:szCs w:val="22"/>
        </w:rPr>
        <w:t xml:space="preserve">El Capítulo 2 aplica a todo el tratado, salvo que un capítulo defina algo distinto para su propio uso. El sistema tiene dos niveles: definiciones generales (Cap. 2), que valen en todo el tratado, y definiciones específicas de capítulo, que mandan dentro de ese capítulo. Regla de precedencia: si un capítulo define un término para sus fines, esa definición gana dentro de ese capítulo; si no, aplica la del Capítulo 2.</w:t>
      </w:r>
    </w:p>
    <w:p>
      <w:pPr>
        <w:pStyle w:val="Heading3"/>
        <w:spacing w:after="70" w:before="160"/>
      </w:pPr>
      <w:r>
        <w:rPr>
          <w:rFonts w:ascii="Georgia" w:cs="Georgia" w:eastAsia="Georgia" w:hAnsi="Georgia"/>
          <w:b/>
          <w:bCs/>
          <w:color w:val="13293D"/>
          <w:sz w:val="21"/>
          <w:szCs w:val="21"/>
        </w:rPr>
        <w:t xml:space="preserve">Términos de alto impacto</w:t>
      </w:r>
    </w:p>
    <w:p>
      <w:pPr>
        <w:pStyle w:val="ListParagraph"/>
        <w:numPr>
          <w:ilvl w:val="0"/>
          <w:numId w:val="3"/>
        </w:numPr>
        <w:spacing w:after="70" w:line="270"/>
      </w:pPr>
      <w:r>
        <w:rPr>
          <w:rFonts w:ascii="Calibri" w:cs="Calibri" w:eastAsia="Calibri" w:hAnsi="Calibri"/>
          <w:b/>
          <w:bCs/>
          <w:color w:val="13293D"/>
          <w:sz w:val="22"/>
          <w:szCs w:val="22"/>
        </w:rPr>
        <w:t xml:space="preserve">Territorio: </w:t>
      </w:r>
      <w:r>
        <w:rPr>
          <w:rFonts w:ascii="Calibri" w:cs="Calibri" w:eastAsia="Calibri" w:hAnsi="Calibri"/>
          <w:color w:val="1A2733"/>
          <w:sz w:val="22"/>
          <w:szCs w:val="22"/>
        </w:rPr>
        <w:t xml:space="preserve">definición país-específica que vive en el Anexo 2.1, no en el cuerpo del capítulo. Importa para zonas francas y mar territorial.</w:t>
      </w:r>
    </w:p>
    <w:p>
      <w:pPr>
        <w:pStyle w:val="ListParagraph"/>
        <w:numPr>
          <w:ilvl w:val="0"/>
          <w:numId w:val="3"/>
        </w:numPr>
        <w:spacing w:after="70" w:line="270"/>
      </w:pPr>
      <w:r>
        <w:rPr>
          <w:rFonts w:ascii="Calibri" w:cs="Calibri" w:eastAsia="Calibri" w:hAnsi="Calibri"/>
          <w:b/>
          <w:bCs/>
          <w:color w:val="13293D"/>
          <w:sz w:val="22"/>
          <w:szCs w:val="22"/>
        </w:rPr>
        <w:t xml:space="preserve">Mercancía originaria: </w:t>
      </w:r>
      <w:r>
        <w:rPr>
          <w:rFonts w:ascii="Calibri" w:cs="Calibri" w:eastAsia="Calibri" w:hAnsi="Calibri"/>
          <w:color w:val="1A2733"/>
          <w:sz w:val="22"/>
          <w:szCs w:val="22"/>
        </w:rPr>
        <w:t xml:space="preserve">el término más importante para la preferencia; su definición completa está en el Cap. 4.</w:t>
      </w:r>
    </w:p>
    <w:p>
      <w:pPr>
        <w:pStyle w:val="ListParagraph"/>
        <w:numPr>
          <w:ilvl w:val="0"/>
          <w:numId w:val="3"/>
        </w:numPr>
        <w:spacing w:after="70" w:line="270"/>
      </w:pPr>
      <w:r>
        <w:rPr>
          <w:rFonts w:ascii="Calibri" w:cs="Calibri" w:eastAsia="Calibri" w:hAnsi="Calibri"/>
          <w:b/>
          <w:bCs/>
          <w:color w:val="13293D"/>
          <w:sz w:val="22"/>
          <w:szCs w:val="22"/>
        </w:rPr>
        <w:t xml:space="preserve">Mercancías de una Parte: </w:t>
      </w:r>
      <w:r>
        <w:rPr>
          <w:rFonts w:ascii="Calibri" w:cs="Calibri" w:eastAsia="Calibri" w:hAnsi="Calibri"/>
          <w:color w:val="1A2733"/>
          <w:sz w:val="22"/>
          <w:szCs w:val="22"/>
        </w:rPr>
        <w:t xml:space="preserve">determina qué bienes “pertenecen” a una Parte para efectos del tratado.</w:t>
      </w:r>
    </w:p>
    <w:p>
      <w:pPr>
        <w:pStyle w:val="ListParagraph"/>
        <w:numPr>
          <w:ilvl w:val="0"/>
          <w:numId w:val="3"/>
        </w:numPr>
        <w:spacing w:after="70" w:line="270"/>
      </w:pPr>
      <w:r>
        <w:rPr>
          <w:rFonts w:ascii="Calibri" w:cs="Calibri" w:eastAsia="Calibri" w:hAnsi="Calibri"/>
          <w:b/>
          <w:bCs/>
          <w:color w:val="13293D"/>
          <w:sz w:val="22"/>
          <w:szCs w:val="22"/>
        </w:rPr>
        <w:t xml:space="preserve">Arancel aduanero: </w:t>
      </w:r>
      <w:r>
        <w:rPr>
          <w:rFonts w:ascii="Calibri" w:cs="Calibri" w:eastAsia="Calibri" w:hAnsi="Calibri"/>
          <w:color w:val="1A2733"/>
          <w:sz w:val="22"/>
          <w:szCs w:val="22"/>
        </w:rPr>
        <w:t xml:space="preserve">define qué cuenta como arancel y qué NO (ciertas tasas por servicios y antidumping suelen quedar fuera).</w:t>
      </w:r>
    </w:p>
    <w:p>
      <w:pPr>
        <w:pStyle w:val="ListParagraph"/>
        <w:numPr>
          <w:ilvl w:val="0"/>
          <w:numId w:val="3"/>
        </w:numPr>
        <w:spacing w:after="70" w:line="270"/>
      </w:pPr>
      <w:r>
        <w:rPr>
          <w:rFonts w:ascii="Calibri" w:cs="Calibri" w:eastAsia="Calibri" w:hAnsi="Calibri"/>
          <w:b/>
          <w:bCs/>
          <w:color w:val="13293D"/>
          <w:sz w:val="22"/>
          <w:szCs w:val="22"/>
        </w:rPr>
        <w:t xml:space="preserve">Sistema Armonizado (SA/HS): </w:t>
      </w:r>
      <w:r>
        <w:rPr>
          <w:rFonts w:ascii="Calibri" w:cs="Calibri" w:eastAsia="Calibri" w:hAnsi="Calibri"/>
          <w:color w:val="1A2733"/>
          <w:sz w:val="22"/>
          <w:szCs w:val="22"/>
        </w:rPr>
        <w:t xml:space="preserve">partida = 4 dígitos; subpartida = 6 dígitos. Toda la lógica de origen y desgravación se cuelga de la clasificación HS.</w:t>
      </w:r>
    </w:p>
    <w:p>
      <w:pPr>
        <w:pStyle w:val="ListParagraph"/>
        <w:numPr>
          <w:ilvl w:val="0"/>
          <w:numId w:val="3"/>
        </w:numPr>
        <w:spacing w:after="70" w:line="270"/>
      </w:pPr>
      <w:r>
        <w:rPr>
          <w:rFonts w:ascii="Calibri" w:cs="Calibri" w:eastAsia="Calibri" w:hAnsi="Calibri"/>
          <w:b/>
          <w:bCs/>
          <w:color w:val="13293D"/>
          <w:sz w:val="22"/>
          <w:szCs w:val="22"/>
        </w:rPr>
        <w:t xml:space="preserve">Persona / empresa / nacional: </w:t>
      </w:r>
      <w:r>
        <w:rPr>
          <w:rFonts w:ascii="Calibri" w:cs="Calibri" w:eastAsia="Calibri" w:hAnsi="Calibri"/>
          <w:color w:val="1A2733"/>
          <w:sz w:val="22"/>
          <w:szCs w:val="22"/>
        </w:rPr>
        <w:t xml:space="preserve">definen quién puede invocar derechos.</w:t>
      </w:r>
    </w:p>
    <w:p>
      <w:pPr>
        <w:pStyle w:val="ListParagraph"/>
        <w:numPr>
          <w:ilvl w:val="0"/>
          <w:numId w:val="3"/>
        </w:numPr>
        <w:spacing w:after="70" w:line="270"/>
      </w:pPr>
      <w:r>
        <w:rPr>
          <w:rFonts w:ascii="Calibri" w:cs="Calibri" w:eastAsia="Calibri" w:hAnsi="Calibri"/>
          <w:b/>
          <w:bCs/>
          <w:color w:val="13293D"/>
          <w:sz w:val="22"/>
          <w:szCs w:val="22"/>
        </w:rPr>
        <w:t xml:space="preserve">Medida: </w:t>
      </w:r>
      <w:r>
        <w:rPr>
          <w:rFonts w:ascii="Calibri" w:cs="Calibri" w:eastAsia="Calibri" w:hAnsi="Calibri"/>
          <w:color w:val="1A2733"/>
          <w:sz w:val="22"/>
          <w:szCs w:val="22"/>
        </w:rPr>
        <w:t xml:space="preserve">ley, reglamento, procedimiento, requisito o práctica; definición amplísima.</w:t>
      </w:r>
    </w:p>
    <w:p>
      <w:pPr>
        <w:pStyle w:val="ListParagraph"/>
        <w:numPr>
          <w:ilvl w:val="0"/>
          <w:numId w:val="3"/>
        </w:numPr>
        <w:spacing w:after="70" w:line="270"/>
      </w:pPr>
      <w:r>
        <w:rPr>
          <w:rFonts w:ascii="Calibri" w:cs="Calibri" w:eastAsia="Calibri" w:hAnsi="Calibri"/>
          <w:b/>
          <w:bCs/>
          <w:color w:val="13293D"/>
          <w:sz w:val="22"/>
          <w:szCs w:val="22"/>
        </w:rPr>
        <w:t xml:space="preserve">Días: </w:t>
      </w:r>
      <w:r>
        <w:rPr>
          <w:rFonts w:ascii="Calibri" w:cs="Calibri" w:eastAsia="Calibri" w:hAnsi="Calibri"/>
          <w:color w:val="1A2733"/>
          <w:sz w:val="22"/>
          <w:szCs w:val="22"/>
        </w:rPr>
        <w:t xml:space="preserve">salvo indicación, días calendario. Decide plazos de verificación y controversias.</w:t>
      </w:r>
    </w:p>
    <w:p>
      <w:pPr>
        <w:pStyle w:val="Heading2"/>
        <w:spacing w:after="100" w:before="240"/>
      </w:pPr>
      <w:r>
        <w:rPr>
          <w:rFonts w:ascii="Georgia" w:cs="Georgia" w:eastAsia="Georgia" w:hAnsi="Georgia"/>
          <w:b/>
          <w:bCs/>
          <w:color w:val="1F5F6B"/>
          <w:sz w:val="25"/>
          <w:szCs w:val="25"/>
        </w:rPr>
        <w:t xml:space="preserve">3. Método — usar las definiciones (4 pasos)</w:t>
      </w:r>
    </w:p>
    <w:p>
      <w:pPr>
        <w:pStyle w:val="ListParagraph"/>
        <w:numPr>
          <w:ilvl w:val="0"/>
          <w:numId w:val="2"/>
        </w:numPr>
        <w:spacing w:after="70" w:line="270"/>
      </w:pPr>
      <w:r>
        <w:rPr>
          <w:rFonts w:ascii="Calibri" w:cs="Calibri" w:eastAsia="Calibri" w:hAnsi="Calibri"/>
          <w:color w:val="1A2733"/>
          <w:sz w:val="22"/>
          <w:szCs w:val="22"/>
        </w:rPr>
        <w:t xml:space="preserve">Subraya los términos técnicos del artículo que estás leyendo.</w:t>
      </w:r>
    </w:p>
    <w:p>
      <w:pPr>
        <w:pStyle w:val="ListParagraph"/>
        <w:numPr>
          <w:ilvl w:val="0"/>
          <w:numId w:val="2"/>
        </w:numPr>
        <w:spacing w:after="70" w:line="270"/>
      </w:pPr>
      <w:r>
        <w:rPr>
          <w:rFonts w:ascii="Calibri" w:cs="Calibri" w:eastAsia="Calibri" w:hAnsi="Calibri"/>
          <w:color w:val="1A2733"/>
          <w:sz w:val="22"/>
          <w:szCs w:val="22"/>
        </w:rPr>
        <w:t xml:space="preserve">Búscalos primero en las definiciones del propio capítulo.</w:t>
      </w:r>
    </w:p>
    <w:p>
      <w:pPr>
        <w:pStyle w:val="ListParagraph"/>
        <w:numPr>
          <w:ilvl w:val="0"/>
          <w:numId w:val="2"/>
        </w:numPr>
        <w:spacing w:after="70" w:line="270"/>
      </w:pPr>
      <w:r>
        <w:rPr>
          <w:rFonts w:ascii="Calibri" w:cs="Calibri" w:eastAsia="Calibri" w:hAnsi="Calibri"/>
          <w:color w:val="1A2733"/>
          <w:sz w:val="22"/>
          <w:szCs w:val="22"/>
        </w:rPr>
        <w:t xml:space="preserve">Si no están, ve al Capítulo 2.</w:t>
      </w:r>
    </w:p>
    <w:p>
      <w:pPr>
        <w:pStyle w:val="ListParagraph"/>
        <w:numPr>
          <w:ilvl w:val="0"/>
          <w:numId w:val="2"/>
        </w:numPr>
        <w:spacing w:after="70" w:line="270"/>
      </w:pPr>
      <w:r>
        <w:rPr>
          <w:rFonts w:ascii="Calibri" w:cs="Calibri" w:eastAsia="Calibri" w:hAnsi="Calibri"/>
          <w:color w:val="1A2733"/>
          <w:sz w:val="22"/>
          <w:szCs w:val="22"/>
        </w:rPr>
        <w:t xml:space="preserve">Revisa si la definición remite a un anexo (Territorio → Anexo 2.1).</w:t>
      </w:r>
    </w:p>
    <w:p>
      <w:pPr>
        <w:pStyle w:val="Heading2"/>
        <w:spacing w:after="100" w:before="240"/>
      </w:pPr>
      <w:r>
        <w:rPr>
          <w:rFonts w:ascii="Georgia" w:cs="Georgia" w:eastAsia="Georgia" w:hAnsi="Georgia"/>
          <w:b/>
          <w:bCs/>
          <w:color w:val="1F5F6B"/>
          <w:sz w:val="25"/>
          <w:szCs w:val="25"/>
        </w:rPr>
        <w:t xml:space="preserve">4. Trampas comunes</w:t>
      </w:r>
    </w:p>
    <w:p>
      <w:pPr>
        <w:pStyle w:val="ListParagraph"/>
        <w:numPr>
          <w:ilvl w:val="0"/>
          <w:numId w:val="3"/>
        </w:numPr>
        <w:spacing w:after="70" w:line="270"/>
      </w:pPr>
      <w:r>
        <w:rPr>
          <w:rFonts w:ascii="Calibri" w:cs="Calibri" w:eastAsia="Calibri" w:hAnsi="Calibri"/>
          <w:color w:val="1A2733"/>
          <w:sz w:val="22"/>
          <w:szCs w:val="22"/>
        </w:rPr>
        <w:t xml:space="preserve">Saltar el Cap. 2 e interpretar términos con el diccionario común.</w:t>
      </w:r>
    </w:p>
    <w:p>
      <w:pPr>
        <w:pStyle w:val="ListParagraph"/>
        <w:numPr>
          <w:ilvl w:val="0"/>
          <w:numId w:val="3"/>
        </w:numPr>
        <w:spacing w:after="70" w:line="270"/>
      </w:pPr>
      <w:r>
        <w:rPr>
          <w:rFonts w:ascii="Calibri" w:cs="Calibri" w:eastAsia="Calibri" w:hAnsi="Calibri"/>
          <w:color w:val="1A2733"/>
          <w:sz w:val="22"/>
          <w:szCs w:val="22"/>
        </w:rPr>
        <w:t xml:space="preserve">Asumir que la definición está en el capítulo, cuando vive en un anexo (Territorio).</w:t>
      </w:r>
    </w:p>
    <w:p>
      <w:pPr>
        <w:pStyle w:val="ListParagraph"/>
        <w:numPr>
          <w:ilvl w:val="0"/>
          <w:numId w:val="3"/>
        </w:numPr>
        <w:spacing w:after="70" w:line="270"/>
      </w:pPr>
      <w:r>
        <w:rPr>
          <w:rFonts w:ascii="Calibri" w:cs="Calibri" w:eastAsia="Calibri" w:hAnsi="Calibri"/>
          <w:color w:val="1A2733"/>
          <w:sz w:val="22"/>
          <w:szCs w:val="22"/>
        </w:rPr>
        <w:t xml:space="preserve">Confundir “arancel aduanero” con todo cargo en frontera.</w:t>
      </w:r>
    </w:p>
    <w:p>
      <w:pPr>
        <w:pStyle w:val="ListParagraph"/>
        <w:numPr>
          <w:ilvl w:val="0"/>
          <w:numId w:val="3"/>
        </w:numPr>
        <w:spacing w:after="70" w:line="270"/>
      </w:pPr>
      <w:r>
        <w:rPr>
          <w:rFonts w:ascii="Calibri" w:cs="Calibri" w:eastAsia="Calibri" w:hAnsi="Calibri"/>
          <w:color w:val="1A2733"/>
          <w:sz w:val="22"/>
          <w:szCs w:val="22"/>
        </w:rPr>
        <w:t xml:space="preserve">Contar plazos en días hábiles cuando el tratado dice días calendario.</w:t>
      </w:r>
    </w:p>
    <w:p>
      <w:pPr>
        <w:pStyle w:val="ListParagraph"/>
        <w:numPr>
          <w:ilvl w:val="0"/>
          <w:numId w:val="3"/>
        </w:numPr>
        <w:spacing w:after="70" w:line="270"/>
      </w:pPr>
      <w:r>
        <w:rPr>
          <w:rFonts w:ascii="Calibri" w:cs="Calibri" w:eastAsia="Calibri" w:hAnsi="Calibri"/>
          <w:color w:val="1A2733"/>
          <w:sz w:val="22"/>
          <w:szCs w:val="22"/>
        </w:rPr>
        <w:t xml:space="preserve">Ignorar que un capítulo puede redefinir un término para sus propios fines.</w:t>
      </w:r>
    </w:p>
    <w:p>
      <w:pPr>
        <w:pStyle w:val="Heading2"/>
        <w:spacing w:after="100" w:before="240"/>
      </w:pPr>
      <w:r>
        <w:rPr>
          <w:rFonts w:ascii="Georgia" w:cs="Georgia" w:eastAsia="Georgia" w:hAnsi="Georgia"/>
          <w:b/>
          <w:bCs/>
          <w:color w:val="1F5F6B"/>
          <w:sz w:val="25"/>
          <w:szCs w:val="25"/>
        </w:rPr>
        <w:t xml:space="preserve">5. Glosario mínimo</w:t>
      </w:r>
    </w:p>
    <w:p>
      <w:pPr>
        <w:spacing w:after="60" w:line="264"/>
      </w:pPr>
      <w:r>
        <w:rPr>
          <w:rFonts w:ascii="Calibri" w:cs="Calibri" w:eastAsia="Calibri" w:hAnsi="Calibri"/>
          <w:color w:val="1A2733"/>
          <w:sz w:val="21"/>
          <w:szCs w:val="21"/>
        </w:rPr>
        <w:t xml:space="preserve">Parte · Territorio (Anexo 2.1) · Mercancía originaria · Mercancías de una Parte · Arancel aduanero · Sistema Armonizado (SA/HS) · Partida / Subpartida · Persona · Empresa · Nacional · Medida · Días · Comisión de Libre Comercio · Acuerdo OMC · Artículo XXIV del GATT / Artículo V del AGCS.</w:t>
      </w:r>
    </w:p>
    <w:p>
      <w:pPr>
        <w:pStyle w:val="Heading2"/>
        <w:spacing w:after="100" w:before="240"/>
      </w:pPr>
      <w:r>
        <w:rPr>
          <w:rFonts w:ascii="Georgia" w:cs="Georgia" w:eastAsia="Georgia" w:hAnsi="Georgia"/>
          <w:b/>
          <w:bCs/>
          <w:color w:val="1F5F6B"/>
          <w:sz w:val="25"/>
          <w:szCs w:val="25"/>
        </w:rPr>
        <w:t xml:space="preserve">6. Lectura guiada</w:t>
      </w:r>
    </w:p>
    <w:p>
      <w:pPr>
        <w:pStyle w:val="ListParagraph"/>
        <w:numPr>
          <w:ilvl w:val="0"/>
          <w:numId w:val="3"/>
        </w:numPr>
        <w:spacing w:after="70" w:line="270"/>
      </w:pPr>
      <w:r>
        <w:rPr>
          <w:rFonts w:ascii="Calibri" w:cs="Calibri" w:eastAsia="Calibri" w:hAnsi="Calibri"/>
          <w:color w:val="1A2733"/>
          <w:sz w:val="22"/>
          <w:szCs w:val="22"/>
        </w:rPr>
        <w:t xml:space="preserve">Capítulo 1 completo (es corto).</w:t>
      </w:r>
    </w:p>
    <w:p>
      <w:pPr>
        <w:pStyle w:val="ListParagraph"/>
        <w:numPr>
          <w:ilvl w:val="0"/>
          <w:numId w:val="3"/>
        </w:numPr>
        <w:spacing w:after="70" w:line="270"/>
      </w:pPr>
      <w:r>
        <w:rPr>
          <w:rFonts w:ascii="Calibri" w:cs="Calibri" w:eastAsia="Calibri" w:hAnsi="Calibri"/>
          <w:color w:val="1A2733"/>
          <w:sz w:val="22"/>
          <w:szCs w:val="22"/>
        </w:rPr>
        <w:t xml:space="preserve">Capítulo 2 completo — como quien hojea un diccionario.</w:t>
      </w:r>
    </w:p>
    <w:p>
      <w:pPr>
        <w:pStyle w:val="ListParagraph"/>
        <w:numPr>
          <w:ilvl w:val="0"/>
          <w:numId w:val="3"/>
        </w:numPr>
        <w:spacing w:after="70" w:line="270"/>
      </w:pPr>
      <w:r>
        <w:rPr>
          <w:rFonts w:ascii="Calibri" w:cs="Calibri" w:eastAsia="Calibri" w:hAnsi="Calibri"/>
          <w:color w:val="1A2733"/>
          <w:sz w:val="22"/>
          <w:szCs w:val="22"/>
        </w:rPr>
        <w:t xml:space="preserve">Anexo 2.1 (Territorio) — la definición para República Dominicana.</w:t>
      </w:r>
    </w:p>
    <w:p>
      <w:pPr>
        <w:pStyle w:val="Heading2"/>
        <w:spacing w:after="100" w:before="240"/>
      </w:pPr>
      <w:r>
        <w:rPr>
          <w:rFonts w:ascii="Georgia" w:cs="Georgia" w:eastAsia="Georgia" w:hAnsi="Georgia"/>
          <w:b/>
          <w:bCs/>
          <w:color w:val="1F5F6B"/>
          <w:sz w:val="25"/>
          <w:szCs w:val="25"/>
        </w:rPr>
        <w:t xml:space="preserve">7. Entregable</w:t>
      </w:r>
    </w:p>
    <w:p>
      <w:pPr>
        <w:spacing w:after="120" w:line="276"/>
      </w:pPr>
      <w:r>
        <w:rPr>
          <w:rFonts w:ascii="Calibri" w:cs="Calibri" w:eastAsia="Calibri" w:hAnsi="Calibri"/>
          <w:color w:val="1A2733"/>
          <w:sz w:val="22"/>
          <w:szCs w:val="22"/>
        </w:rPr>
        <w:t xml:space="preserve">“Ficha de 10 definiciones críticas”: una tabla con los 10 términos de alto impacto, cada uno con su definición según el tratado en palabras propias y una frase de por qué importa en la práctica aduanera. Se usa como referencia rápida durante el resto del curso.</w:t>
      </w:r>
    </w:p>
    <w:p>
      <w:r>
        <w:br w:type="page"/>
      </w:r>
    </w:p>
    <w:p>
      <w:pPr>
        <w:pStyle w:val="Heading1"/>
        <w:spacing w:after="160" w:before="120"/>
      </w:pPr>
      <w:r>
        <w:rPr>
          <w:rFonts w:ascii="Georgia" w:cs="Georgia" w:eastAsia="Georgia" w:hAnsi="Georgia"/>
          <w:b/>
          <w:bCs/>
          <w:color w:val="13293D"/>
          <w:sz w:val="32"/>
          <w:szCs w:val="32"/>
        </w:rPr>
        <w:t xml:space="preserve">Módulo 2 — Acceso a mercados y desgravación (Cap. 3)</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podrá tomar un producto, buscarlo en la lista de desgravación de un país y determinar el arancel preferencial que le aplica hoy bajo el DR-CAFTA. Entenderá el trato nacional, cómo funciona la eliminación gradual por canastas, qué es un contingente arancelario y por qué un producto puede no estar en 0% aunque el tratado ya esté vigente.</w:t>
      </w:r>
    </w:p>
    <w:p>
      <w:pPr>
        <w:pStyle w:val="Heading2"/>
        <w:spacing w:after="100" w:before="240"/>
      </w:pPr>
      <w:r>
        <w:rPr>
          <w:rFonts w:ascii="Georgia" w:cs="Georgia" w:eastAsia="Georgia" w:hAnsi="Georgia"/>
          <w:b/>
          <w:bCs/>
          <w:color w:val="1F5F6B"/>
          <w:sz w:val="25"/>
          <w:szCs w:val="25"/>
        </w:rPr>
        <w:t xml:space="preserve">Por qué este módulo existe</w:t>
      </w:r>
    </w:p>
    <w:p>
      <w:pPr>
        <w:spacing w:after="120" w:line="276"/>
      </w:pPr>
      <w:r>
        <w:rPr>
          <w:rFonts w:ascii="Calibri" w:cs="Calibri" w:eastAsia="Calibri" w:hAnsi="Calibri"/>
          <w:color w:val="1A2733"/>
          <w:sz w:val="22"/>
          <w:szCs w:val="22"/>
        </w:rPr>
        <w:t xml:space="preserve">Es el capítulo que la gente cree que es todo el tratado. En realidad es más fino: los aranceles no cayeron a cero de golpe, se eliminaron según cronogramas distintos por producto y por país, y algunos productos siguen con arancel, con cuota o excluidos. Nunca se asume 0%: se verifica en la lista.</w:t>
      </w:r>
    </w:p>
    <w:p>
      <w:pPr>
        <w:pStyle w:val="Heading2"/>
        <w:spacing w:after="100" w:before="240"/>
      </w:pPr>
      <w:r>
        <w:rPr>
          <w:rFonts w:ascii="Georgia" w:cs="Georgia" w:eastAsia="Georgia" w:hAnsi="Georgia"/>
          <w:b/>
          <w:bCs/>
          <w:color w:val="1F5F6B"/>
          <w:sz w:val="25"/>
          <w:szCs w:val="25"/>
        </w:rPr>
        <w:t xml:space="preserve">1. Trato Nacional (Art. 3.2)</w:t>
      </w:r>
    </w:p>
    <w:p>
      <w:pPr>
        <w:spacing w:after="120" w:line="276"/>
      </w:pPr>
      <w:r>
        <w:rPr>
          <w:rFonts w:ascii="Calibri" w:cs="Calibri" w:eastAsia="Calibri" w:hAnsi="Calibri"/>
          <w:color w:val="1A2733"/>
          <w:sz w:val="22"/>
          <w:szCs w:val="22"/>
        </w:rPr>
        <w:t xml:space="preserve">Una vez que una mercancía importada entró y pagó lo que debía, el país no puede tratarla peor que a un producto nacional equivalente: ni impuestos internos más altos, ni regulaciones de venta más gravosas. Evita que un país abra la puerta con el arancel y luego mate al producto importado por dentro. Aplica después del ingreso; en la frontera rigen las reglas propias del tratado. Se basa en el Artículo III del GATT.</w:t>
      </w:r>
    </w:p>
    <w:p>
      <w:pPr>
        <w:pStyle w:val="Heading2"/>
        <w:spacing w:after="100" w:before="240"/>
      </w:pPr>
      <w:r>
        <w:rPr>
          <w:rFonts w:ascii="Georgia" w:cs="Georgia" w:eastAsia="Georgia" w:hAnsi="Georgia"/>
          <w:b/>
          <w:bCs/>
          <w:color w:val="1F5F6B"/>
          <w:sz w:val="25"/>
          <w:szCs w:val="25"/>
        </w:rPr>
        <w:t xml:space="preserve">2. Eliminación de aranceles (Art. 3.3)</w:t>
      </w:r>
    </w:p>
    <w:p>
      <w:pPr>
        <w:spacing w:after="120" w:line="276"/>
      </w:pPr>
      <w:r>
        <w:rPr>
          <w:rFonts w:ascii="Calibri" w:cs="Calibri" w:eastAsia="Calibri" w:hAnsi="Calibri"/>
          <w:color w:val="1A2733"/>
          <w:sz w:val="22"/>
          <w:szCs w:val="22"/>
        </w:rPr>
        <w:t xml:space="preserve">El artículo es corto; toda la sustancia está en el Anexo 3.3 y en las Listas de cada país. Dos conceptos: la tasa base (el arancel que existía antes del tratado, desde el cual se descuenta hasta cero) y la eliminación gradual y desigual (no todos los productos llegaron a 0% al mismo tiempo; se agruparon en categorías o “canastas”).</w:t>
      </w:r>
    </w:p>
    <w:p>
      <w:pPr>
        <w:pStyle w:val="Heading2"/>
        <w:spacing w:after="100" w:before="240"/>
      </w:pPr>
      <w:r>
        <w:rPr>
          <w:rFonts w:ascii="Georgia" w:cs="Georgia" w:eastAsia="Georgia" w:hAnsi="Georgia"/>
          <w:b/>
          <w:bCs/>
          <w:color w:val="1F5F6B"/>
          <w:sz w:val="25"/>
          <w:szCs w:val="25"/>
        </w:rPr>
        <w:t xml:space="preserve">3. Las canastas de desgravación</w:t>
      </w:r>
    </w:p>
    <w:p>
      <w:pPr>
        <w:pStyle w:val="ListParagraph"/>
        <w:numPr>
          <w:ilvl w:val="0"/>
          <w:numId w:val="3"/>
        </w:numPr>
        <w:spacing w:after="70" w:line="270"/>
      </w:pPr>
      <w:r>
        <w:rPr>
          <w:rFonts w:ascii="Calibri" w:cs="Calibri" w:eastAsia="Calibri" w:hAnsi="Calibri"/>
          <w:b/>
          <w:bCs/>
          <w:color w:val="13293D"/>
          <w:sz w:val="22"/>
          <w:szCs w:val="22"/>
        </w:rPr>
        <w:t xml:space="preserve">Categoría A: </w:t>
      </w:r>
      <w:r>
        <w:rPr>
          <w:rFonts w:ascii="Calibri" w:cs="Calibri" w:eastAsia="Calibri" w:hAnsi="Calibri"/>
          <w:color w:val="1A2733"/>
          <w:sz w:val="22"/>
          <w:szCs w:val="22"/>
        </w:rPr>
        <w:t xml:space="preserve">libre de arancel inmediatamente al entrar en vigor el tratado.</w:t>
      </w:r>
    </w:p>
    <w:p>
      <w:pPr>
        <w:pStyle w:val="ListParagraph"/>
        <w:numPr>
          <w:ilvl w:val="0"/>
          <w:numId w:val="3"/>
        </w:numPr>
        <w:spacing w:after="70" w:line="270"/>
      </w:pPr>
      <w:r>
        <w:rPr>
          <w:rFonts w:ascii="Calibri" w:cs="Calibri" w:eastAsia="Calibri" w:hAnsi="Calibri"/>
          <w:b/>
          <w:bCs/>
          <w:color w:val="13293D"/>
          <w:sz w:val="22"/>
          <w:szCs w:val="22"/>
        </w:rPr>
        <w:t xml:space="preserve">Categorías B, C, D…: </w:t>
      </w:r>
      <w:r>
        <w:rPr>
          <w:rFonts w:ascii="Calibri" w:cs="Calibri" w:eastAsia="Calibri" w:hAnsi="Calibri"/>
          <w:color w:val="1A2733"/>
          <w:sz w:val="22"/>
          <w:szCs w:val="22"/>
        </w:rPr>
        <w:t xml:space="preserve">eliminación lineal en tramos anuales iguales: típicamente 5, 10, 15 o hasta 20 años.</w:t>
      </w:r>
    </w:p>
    <w:p>
      <w:pPr>
        <w:pStyle w:val="ListParagraph"/>
        <w:numPr>
          <w:ilvl w:val="0"/>
          <w:numId w:val="3"/>
        </w:numPr>
        <w:spacing w:after="70" w:line="270"/>
      </w:pPr>
      <w:r>
        <w:rPr>
          <w:rFonts w:ascii="Calibri" w:cs="Calibri" w:eastAsia="Calibri" w:hAnsi="Calibri"/>
          <w:b/>
          <w:bCs/>
          <w:color w:val="13293D"/>
          <w:sz w:val="22"/>
          <w:szCs w:val="22"/>
        </w:rPr>
        <w:t xml:space="preserve">Desgravación no lineal: </w:t>
      </w:r>
      <w:r>
        <w:rPr>
          <w:rFonts w:ascii="Calibri" w:cs="Calibri" w:eastAsia="Calibri" w:hAnsi="Calibri"/>
          <w:color w:val="1A2733"/>
          <w:sz w:val="22"/>
          <w:szCs w:val="22"/>
        </w:rPr>
        <w:t xml:space="preserve">algunos productos sensibles tienen períodos de gracia y luego caen.</w:t>
      </w:r>
    </w:p>
    <w:p>
      <w:pPr>
        <w:pStyle w:val="ListParagraph"/>
        <w:numPr>
          <w:ilvl w:val="0"/>
          <w:numId w:val="3"/>
        </w:numPr>
        <w:spacing w:after="70" w:line="270"/>
      </w:pPr>
      <w:r>
        <w:rPr>
          <w:rFonts w:ascii="Calibri" w:cs="Calibri" w:eastAsia="Calibri" w:hAnsi="Calibri"/>
          <w:b/>
          <w:bCs/>
          <w:color w:val="13293D"/>
          <w:sz w:val="22"/>
          <w:szCs w:val="22"/>
        </w:rPr>
        <w:t xml:space="preserve">Contingentes / tratamiento especial: </w:t>
      </w:r>
      <w:r>
        <w:rPr>
          <w:rFonts w:ascii="Calibri" w:cs="Calibri" w:eastAsia="Calibri" w:hAnsi="Calibri"/>
          <w:color w:val="1A2733"/>
          <w:sz w:val="22"/>
          <w:szCs w:val="22"/>
        </w:rPr>
        <w:t xml:space="preserve">los productos más sensibles (varios agrícolas).</w:t>
      </w:r>
    </w:p>
    <w:p>
      <w:pPr>
        <w:pStyle w:val="ListParagraph"/>
        <w:numPr>
          <w:ilvl w:val="0"/>
          <w:numId w:val="3"/>
        </w:numPr>
        <w:spacing w:after="70" w:line="270"/>
      </w:pPr>
      <w:r>
        <w:rPr>
          <w:rFonts w:ascii="Calibri" w:cs="Calibri" w:eastAsia="Calibri" w:hAnsi="Calibri"/>
          <w:b/>
          <w:bCs/>
          <w:color w:val="13293D"/>
          <w:sz w:val="22"/>
          <w:szCs w:val="22"/>
        </w:rPr>
        <w:t xml:space="preserve">Exclusiones: </w:t>
      </w:r>
      <w:r>
        <w:rPr>
          <w:rFonts w:ascii="Calibri" w:cs="Calibri" w:eastAsia="Calibri" w:hAnsi="Calibri"/>
          <w:color w:val="1A2733"/>
          <w:sz w:val="22"/>
          <w:szCs w:val="22"/>
        </w:rPr>
        <w:t xml:space="preserve">un número limitado de productos quedó fuera de la desgravación.</w:t>
      </w:r>
    </w:p>
    <w:p>
      <w:pPr>
        <w:spacing w:after="120" w:line="276"/>
      </w:pPr>
      <w:r>
        <w:rPr>
          <w:rFonts w:ascii="Calibri" w:cs="Calibri" w:eastAsia="Calibri" w:hAnsi="Calibri"/>
          <w:i/>
          <w:iCs/>
          <w:color w:val="5B6B78"/>
          <w:sz w:val="22"/>
          <w:szCs w:val="22"/>
        </w:rPr>
        <w:t xml:space="preserve">Como el tratado lleva años vigente, muchos productos ya están en 0%, pero los de cronograma largo (agrícolas sensibles) pueden seguir desgravándose o mantener cuotas. Nunca se asume 0%.</w:t>
      </w:r>
    </w:p>
    <w:p>
      <w:pPr>
        <w:pStyle w:val="Heading2"/>
        <w:spacing w:after="100" w:before="240"/>
      </w:pPr>
      <w:r>
        <w:rPr>
          <w:rFonts w:ascii="Georgia" w:cs="Georgia" w:eastAsia="Georgia" w:hAnsi="Georgia"/>
          <w:b/>
          <w:bCs/>
          <w:color w:val="1F5F6B"/>
          <w:sz w:val="25"/>
          <w:szCs w:val="25"/>
        </w:rPr>
        <w:t xml:space="preserve">4. Contingentes arancelarios (TRQ)</w:t>
      </w:r>
    </w:p>
    <w:p>
      <w:pPr>
        <w:spacing w:after="120" w:line="276"/>
      </w:pPr>
      <w:r>
        <w:rPr>
          <w:rFonts w:ascii="Calibri" w:cs="Calibri" w:eastAsia="Calibri" w:hAnsi="Calibri"/>
          <w:color w:val="1A2733"/>
          <w:sz w:val="22"/>
          <w:szCs w:val="22"/>
        </w:rPr>
        <w:t xml:space="preserve">Mecanismo de doble nivel para productos sensibles: dentro de la cuota, una cantidad determinada (ej. X toneladas al año) entra con arancel preferencial, a menudo 0%; fuera de la cuota, todo lo que exceda paga un arancel mayor. Un cliente puede tener un trato buenísimo hasta que se agota la cuota del año. En RD, los contingentes se administran conforme al Reglamento 505-10 y sus modificaciones.</w:t>
      </w:r>
    </w:p>
    <w:p>
      <w:pPr>
        <w:pStyle w:val="Heading2"/>
        <w:spacing w:after="100" w:before="240"/>
      </w:pPr>
      <w:r>
        <w:rPr>
          <w:rFonts w:ascii="Georgia" w:cs="Georgia" w:eastAsia="Georgia" w:hAnsi="Georgia"/>
          <w:b/>
          <w:bCs/>
          <w:color w:val="1F5F6B"/>
          <w:sz w:val="25"/>
          <w:szCs w:val="25"/>
        </w:rPr>
        <w:t xml:space="preserve">5. Otras disposiciones del capítulo</w:t>
      </w:r>
    </w:p>
    <w:p>
      <w:pPr>
        <w:pStyle w:val="ListParagraph"/>
        <w:numPr>
          <w:ilvl w:val="0"/>
          <w:numId w:val="3"/>
        </w:numPr>
        <w:spacing w:after="70" w:line="270"/>
      </w:pPr>
      <w:r>
        <w:rPr>
          <w:rFonts w:ascii="Calibri" w:cs="Calibri" w:eastAsia="Calibri" w:hAnsi="Calibri"/>
          <w:color w:val="1A2733"/>
          <w:sz w:val="22"/>
          <w:szCs w:val="22"/>
        </w:rPr>
        <w:t xml:space="preserve">Prohibición de crear nuevos aranceles o subir los existentes sobre mercancías originarias.</w:t>
      </w:r>
    </w:p>
    <w:p>
      <w:pPr>
        <w:pStyle w:val="ListParagraph"/>
        <w:numPr>
          <w:ilvl w:val="0"/>
          <w:numId w:val="3"/>
        </w:numPr>
        <w:spacing w:after="70" w:line="270"/>
      </w:pPr>
      <w:r>
        <w:rPr>
          <w:rFonts w:ascii="Calibri" w:cs="Calibri" w:eastAsia="Calibri" w:hAnsi="Calibri"/>
          <w:color w:val="1A2733"/>
          <w:sz w:val="22"/>
          <w:szCs w:val="22"/>
        </w:rPr>
        <w:t xml:space="preserve">Admisión temporal de mercancías (muestras, equipo profesional, bienes de exhibición).</w:t>
      </w:r>
    </w:p>
    <w:p>
      <w:pPr>
        <w:pStyle w:val="ListParagraph"/>
        <w:numPr>
          <w:ilvl w:val="0"/>
          <w:numId w:val="3"/>
        </w:numPr>
        <w:spacing w:after="70" w:line="270"/>
      </w:pPr>
      <w:r>
        <w:rPr>
          <w:rFonts w:ascii="Calibri" w:cs="Calibri" w:eastAsia="Calibri" w:hAnsi="Calibri"/>
          <w:color w:val="1A2733"/>
          <w:sz w:val="22"/>
          <w:szCs w:val="22"/>
        </w:rPr>
        <w:t xml:space="preserve">Mercancías reimportadas después de reparación o alteración.</w:t>
      </w:r>
    </w:p>
    <w:p>
      <w:pPr>
        <w:pStyle w:val="ListParagraph"/>
        <w:numPr>
          <w:ilvl w:val="0"/>
          <w:numId w:val="3"/>
        </w:numPr>
        <w:spacing w:after="70" w:line="270"/>
      </w:pPr>
      <w:r>
        <w:rPr>
          <w:rFonts w:ascii="Calibri" w:cs="Calibri" w:eastAsia="Calibri" w:hAnsi="Calibri"/>
          <w:color w:val="1A2733"/>
          <w:sz w:val="22"/>
          <w:szCs w:val="22"/>
        </w:rPr>
        <w:t xml:space="preserve">Exención o devolución de aranceles (drawback), con límites acordados.</w:t>
      </w:r>
    </w:p>
    <w:p>
      <w:pPr>
        <w:pStyle w:val="ListParagraph"/>
        <w:numPr>
          <w:ilvl w:val="0"/>
          <w:numId w:val="3"/>
        </w:numPr>
        <w:spacing w:after="70" w:line="270"/>
      </w:pPr>
      <w:r>
        <w:rPr>
          <w:rFonts w:ascii="Calibri" w:cs="Calibri" w:eastAsia="Calibri" w:hAnsi="Calibri"/>
          <w:color w:val="1A2733"/>
          <w:sz w:val="22"/>
          <w:szCs w:val="22"/>
        </w:rPr>
        <w:t xml:space="preserve">Eliminación de restricciones cuantitativas (cuotas), salvo excepciones.</w:t>
      </w:r>
    </w:p>
    <w:p>
      <w:pPr>
        <w:pStyle w:val="ListParagraph"/>
        <w:numPr>
          <w:ilvl w:val="0"/>
          <w:numId w:val="3"/>
        </w:numPr>
        <w:spacing w:after="70" w:line="270"/>
      </w:pPr>
      <w:r>
        <w:rPr>
          <w:rFonts w:ascii="Calibri" w:cs="Calibri" w:eastAsia="Calibri" w:hAnsi="Calibri"/>
          <w:color w:val="1A2733"/>
          <w:sz w:val="22"/>
          <w:szCs w:val="22"/>
        </w:rPr>
        <w:t xml:space="preserve">Salvaguardia agrícola especial: permite subir temporalmente el arancel si las importaciones de ciertos agrícolas superan umbrales.</w:t>
      </w:r>
    </w:p>
    <w:p>
      <w:pPr>
        <w:pStyle w:val="Heading2"/>
        <w:spacing w:after="100" w:before="240"/>
      </w:pPr>
      <w:r>
        <w:rPr>
          <w:rFonts w:ascii="Georgia" w:cs="Georgia" w:eastAsia="Georgia" w:hAnsi="Georgia"/>
          <w:b/>
          <w:bCs/>
          <w:color w:val="1F5F6B"/>
          <w:sz w:val="25"/>
          <w:szCs w:val="25"/>
        </w:rPr>
        <w:t xml:space="preserve">6. Método — determinar el arancel preferencial</w:t>
      </w:r>
    </w:p>
    <w:p>
      <w:pPr>
        <w:pStyle w:val="ListParagraph"/>
        <w:numPr>
          <w:ilvl w:val="0"/>
          <w:numId w:val="2"/>
        </w:numPr>
        <w:spacing w:after="70" w:line="270"/>
      </w:pPr>
      <w:r>
        <w:rPr>
          <w:rFonts w:ascii="Calibri" w:cs="Calibri" w:eastAsia="Calibri" w:hAnsi="Calibri"/>
          <w:color w:val="1A2733"/>
          <w:sz w:val="22"/>
          <w:szCs w:val="22"/>
        </w:rPr>
        <w:t xml:space="preserve">Clasifica el producto (código HS).</w:t>
      </w:r>
    </w:p>
    <w:p>
      <w:pPr>
        <w:pStyle w:val="ListParagraph"/>
        <w:numPr>
          <w:ilvl w:val="0"/>
          <w:numId w:val="2"/>
        </w:numPr>
        <w:spacing w:after="70" w:line="270"/>
      </w:pPr>
      <w:r>
        <w:rPr>
          <w:rFonts w:ascii="Calibri" w:cs="Calibri" w:eastAsia="Calibri" w:hAnsi="Calibri"/>
          <w:color w:val="1A2733"/>
          <w:sz w:val="22"/>
          <w:szCs w:val="22"/>
        </w:rPr>
        <w:t xml:space="preserve">Confirma que es originario (Cap. 4); sin origen no hay preferencia.</w:t>
      </w:r>
    </w:p>
    <w:p>
      <w:pPr>
        <w:pStyle w:val="ListParagraph"/>
        <w:numPr>
          <w:ilvl w:val="0"/>
          <w:numId w:val="2"/>
        </w:numPr>
        <w:spacing w:after="70" w:line="270"/>
      </w:pPr>
      <w:r>
        <w:rPr>
          <w:rFonts w:ascii="Calibri" w:cs="Calibri" w:eastAsia="Calibri" w:hAnsi="Calibri"/>
          <w:color w:val="1A2733"/>
          <w:sz w:val="22"/>
          <w:szCs w:val="22"/>
        </w:rPr>
        <w:t xml:space="preserve">Abre la Lista del país importador en el Anexo 3.3.</w:t>
      </w:r>
    </w:p>
    <w:p>
      <w:pPr>
        <w:pStyle w:val="ListParagraph"/>
        <w:numPr>
          <w:ilvl w:val="0"/>
          <w:numId w:val="2"/>
        </w:numPr>
        <w:spacing w:after="70" w:line="270"/>
      </w:pPr>
      <w:r>
        <w:rPr>
          <w:rFonts w:ascii="Calibri" w:cs="Calibri" w:eastAsia="Calibri" w:hAnsi="Calibri"/>
          <w:color w:val="1A2733"/>
          <w:sz w:val="22"/>
          <w:szCs w:val="22"/>
        </w:rPr>
        <w:t xml:space="preserve">Localiza el producto por su HS y lee su categoría de desgravación.</w:t>
      </w:r>
    </w:p>
    <w:p>
      <w:pPr>
        <w:pStyle w:val="ListParagraph"/>
        <w:numPr>
          <w:ilvl w:val="0"/>
          <w:numId w:val="2"/>
        </w:numPr>
        <w:spacing w:after="70" w:line="270"/>
      </w:pPr>
      <w:r>
        <w:rPr>
          <w:rFonts w:ascii="Calibri" w:cs="Calibri" w:eastAsia="Calibri" w:hAnsi="Calibri"/>
          <w:color w:val="1A2733"/>
          <w:sz w:val="22"/>
          <w:szCs w:val="22"/>
        </w:rPr>
        <w:t xml:space="preserve">Calcula el arancel de este año según la categoría y los años transcurridos.</w:t>
      </w:r>
    </w:p>
    <w:p>
      <w:pPr>
        <w:pStyle w:val="ListParagraph"/>
        <w:numPr>
          <w:ilvl w:val="0"/>
          <w:numId w:val="2"/>
        </w:numPr>
        <w:spacing w:after="70" w:line="270"/>
      </w:pPr>
      <w:r>
        <w:rPr>
          <w:rFonts w:ascii="Calibri" w:cs="Calibri" w:eastAsia="Calibri" w:hAnsi="Calibri"/>
          <w:color w:val="1A2733"/>
          <w:sz w:val="22"/>
          <w:szCs w:val="22"/>
        </w:rPr>
        <w:t xml:space="preserve">Verifica si hay contingente (dentro o fuera de la cuota).</w:t>
      </w:r>
    </w:p>
    <w:p>
      <w:pPr>
        <w:pStyle w:val="ListParagraph"/>
        <w:numPr>
          <w:ilvl w:val="0"/>
          <w:numId w:val="2"/>
        </w:numPr>
        <w:spacing w:after="70" w:line="270"/>
      </w:pPr>
      <w:r>
        <w:rPr>
          <w:rFonts w:ascii="Calibri" w:cs="Calibri" w:eastAsia="Calibri" w:hAnsi="Calibri"/>
          <w:color w:val="1A2733"/>
          <w:sz w:val="22"/>
          <w:szCs w:val="22"/>
        </w:rPr>
        <w:t xml:space="preserve">Contrasta con el arancel nacional vigente (DGA).</w:t>
      </w:r>
    </w:p>
    <w:p>
      <w:pPr>
        <w:pStyle w:val="Heading2"/>
        <w:spacing w:after="100" w:before="240"/>
      </w:pPr>
      <w:r>
        <w:rPr>
          <w:rFonts w:ascii="Georgia" w:cs="Georgia" w:eastAsia="Georgia" w:hAnsi="Georgia"/>
          <w:b/>
          <w:bCs/>
          <w:color w:val="1F5F6B"/>
          <w:sz w:val="25"/>
          <w:szCs w:val="25"/>
        </w:rPr>
        <w:t xml:space="preserve">7. Trampas comunes</w:t>
      </w:r>
    </w:p>
    <w:p>
      <w:pPr>
        <w:pStyle w:val="ListParagraph"/>
        <w:numPr>
          <w:ilvl w:val="0"/>
          <w:numId w:val="3"/>
        </w:numPr>
        <w:spacing w:after="70" w:line="270"/>
      </w:pPr>
      <w:r>
        <w:rPr>
          <w:rFonts w:ascii="Calibri" w:cs="Calibri" w:eastAsia="Calibri" w:hAnsi="Calibri"/>
          <w:color w:val="1A2733"/>
          <w:sz w:val="22"/>
          <w:szCs w:val="22"/>
        </w:rPr>
        <w:t xml:space="preserve">Asumir 0% automático; los de cronograma largo o con cuota, no.</w:t>
      </w:r>
    </w:p>
    <w:p>
      <w:pPr>
        <w:pStyle w:val="ListParagraph"/>
        <w:numPr>
          <w:ilvl w:val="0"/>
          <w:numId w:val="3"/>
        </w:numPr>
        <w:spacing w:after="70" w:line="270"/>
      </w:pPr>
      <w:r>
        <w:rPr>
          <w:rFonts w:ascii="Calibri" w:cs="Calibri" w:eastAsia="Calibri" w:hAnsi="Calibri"/>
          <w:color w:val="1A2733"/>
          <w:sz w:val="22"/>
          <w:szCs w:val="22"/>
        </w:rPr>
        <w:t xml:space="preserve">Leer el Art. 3.3 e ignorar el Anexo 3.3 y la Lista.</w:t>
      </w:r>
    </w:p>
    <w:p>
      <w:pPr>
        <w:pStyle w:val="ListParagraph"/>
        <w:numPr>
          <w:ilvl w:val="0"/>
          <w:numId w:val="3"/>
        </w:numPr>
        <w:spacing w:after="70" w:line="270"/>
      </w:pPr>
      <w:r>
        <w:rPr>
          <w:rFonts w:ascii="Calibri" w:cs="Calibri" w:eastAsia="Calibri" w:hAnsi="Calibri"/>
          <w:color w:val="1A2733"/>
          <w:sz w:val="22"/>
          <w:szCs w:val="22"/>
        </w:rPr>
        <w:t xml:space="preserve">Usar la Lista del país equivocado — cada país tiene la suya.</w:t>
      </w:r>
    </w:p>
    <w:p>
      <w:pPr>
        <w:pStyle w:val="ListParagraph"/>
        <w:numPr>
          <w:ilvl w:val="0"/>
          <w:numId w:val="3"/>
        </w:numPr>
        <w:spacing w:after="70" w:line="270"/>
      </w:pPr>
      <w:r>
        <w:rPr>
          <w:rFonts w:ascii="Calibri" w:cs="Calibri" w:eastAsia="Calibri" w:hAnsi="Calibri"/>
          <w:color w:val="1A2733"/>
          <w:sz w:val="22"/>
          <w:szCs w:val="22"/>
        </w:rPr>
        <w:t xml:space="preserve">Olvidar el requisito de origen: la preferencia no aplica solo por venir de un miembro.</w:t>
      </w:r>
    </w:p>
    <w:p>
      <w:pPr>
        <w:pStyle w:val="ListParagraph"/>
        <w:numPr>
          <w:ilvl w:val="0"/>
          <w:numId w:val="3"/>
        </w:numPr>
        <w:spacing w:after="70" w:line="270"/>
      </w:pPr>
      <w:r>
        <w:rPr>
          <w:rFonts w:ascii="Calibri" w:cs="Calibri" w:eastAsia="Calibri" w:hAnsi="Calibri"/>
          <w:color w:val="1A2733"/>
          <w:sz w:val="22"/>
          <w:szCs w:val="22"/>
        </w:rPr>
        <w:t xml:space="preserve">Prometer 0% sin verificar si el contingente está disponible.</w:t>
      </w:r>
    </w:p>
    <w:p>
      <w:pPr>
        <w:pStyle w:val="Heading2"/>
        <w:spacing w:after="100" w:before="240"/>
      </w:pPr>
      <w:r>
        <w:rPr>
          <w:rFonts w:ascii="Georgia" w:cs="Georgia" w:eastAsia="Georgia" w:hAnsi="Georgia"/>
          <w:b/>
          <w:bCs/>
          <w:color w:val="1F5F6B"/>
          <w:sz w:val="25"/>
          <w:szCs w:val="25"/>
        </w:rPr>
        <w:t xml:space="preserve">8. Glosario mínimo</w:t>
      </w:r>
    </w:p>
    <w:p>
      <w:pPr>
        <w:spacing w:after="60" w:line="264"/>
      </w:pPr>
      <w:r>
        <w:rPr>
          <w:rFonts w:ascii="Calibri" w:cs="Calibri" w:eastAsia="Calibri" w:hAnsi="Calibri"/>
          <w:color w:val="1A2733"/>
          <w:sz w:val="21"/>
          <w:szCs w:val="21"/>
        </w:rPr>
        <w:t xml:space="preserve">Trato nacional · Desgravación arancelaria · Tasa base · Canasta / Categoría · Cronograma · Contingente arancelario (TRQ) · Dentro / fuera de cuota · Admisión temporal · Drawback · Restricción cuantitativa · Salvaguardia agrícola especial · Lista (Schedule) · Anexo 3.3.</w:t>
      </w:r>
    </w:p>
    <w:p>
      <w:pPr>
        <w:pStyle w:val="Heading2"/>
        <w:spacing w:after="100" w:before="240"/>
      </w:pPr>
      <w:r>
        <w:rPr>
          <w:rFonts w:ascii="Georgia" w:cs="Georgia" w:eastAsia="Georgia" w:hAnsi="Georgia"/>
          <w:b/>
          <w:bCs/>
          <w:color w:val="1F5F6B"/>
          <w:sz w:val="25"/>
          <w:szCs w:val="25"/>
        </w:rPr>
        <w:t xml:space="preserve">9. Lectura guiada</w:t>
      </w:r>
    </w:p>
    <w:p>
      <w:pPr>
        <w:pStyle w:val="ListParagraph"/>
        <w:numPr>
          <w:ilvl w:val="0"/>
          <w:numId w:val="3"/>
        </w:numPr>
        <w:spacing w:after="70" w:line="270"/>
      </w:pPr>
      <w:r>
        <w:rPr>
          <w:rFonts w:ascii="Calibri" w:cs="Calibri" w:eastAsia="Calibri" w:hAnsi="Calibri"/>
          <w:color w:val="1A2733"/>
          <w:sz w:val="22"/>
          <w:szCs w:val="22"/>
        </w:rPr>
        <w:t xml:space="preserve">Capítulo 3: trato nacional (3.2), desgravación (3.3) y disposiciones.</w:t>
      </w:r>
    </w:p>
    <w:p>
      <w:pPr>
        <w:pStyle w:val="ListParagraph"/>
        <w:numPr>
          <w:ilvl w:val="0"/>
          <w:numId w:val="3"/>
        </w:numPr>
        <w:spacing w:after="70" w:line="270"/>
      </w:pPr>
      <w:r>
        <w:rPr>
          <w:rFonts w:ascii="Calibri" w:cs="Calibri" w:eastAsia="Calibri" w:hAnsi="Calibri"/>
          <w:color w:val="1A2733"/>
          <w:sz w:val="22"/>
          <w:szCs w:val="22"/>
        </w:rPr>
        <w:t xml:space="preserve">Anexo 3.3 y la Lista de RD — este es el foco; aprende el formato: HS, descripción, tasa base y categoría.</w:t>
      </w:r>
    </w:p>
    <w:p>
      <w:pPr>
        <w:pStyle w:val="ListParagraph"/>
        <w:numPr>
          <w:ilvl w:val="0"/>
          <w:numId w:val="3"/>
        </w:numPr>
        <w:spacing w:after="70" w:line="270"/>
      </w:pPr>
      <w:r>
        <w:rPr>
          <w:rFonts w:ascii="Calibri" w:cs="Calibri" w:eastAsia="Calibri" w:hAnsi="Calibri"/>
          <w:color w:val="1A2733"/>
          <w:sz w:val="22"/>
          <w:szCs w:val="22"/>
        </w:rPr>
        <w:t xml:space="preserve">Localiza un producto de categoría A y uno con contingente.</w:t>
      </w:r>
    </w:p>
    <w:p>
      <w:pPr>
        <w:pStyle w:val="Heading2"/>
        <w:spacing w:after="100" w:before="240"/>
      </w:pPr>
      <w:r>
        <w:rPr>
          <w:rFonts w:ascii="Georgia" w:cs="Georgia" w:eastAsia="Georgia" w:hAnsi="Georgia"/>
          <w:b/>
          <w:bCs/>
          <w:color w:val="1F5F6B"/>
          <w:sz w:val="25"/>
          <w:szCs w:val="25"/>
        </w:rPr>
        <w:t xml:space="preserve">10. Entregable</w:t>
      </w:r>
    </w:p>
    <w:p>
      <w:pPr>
        <w:spacing w:after="120" w:line="276"/>
      </w:pPr>
      <w:r>
        <w:rPr>
          <w:rFonts w:ascii="Calibri" w:cs="Calibri" w:eastAsia="Calibri" w:hAnsi="Calibri"/>
          <w:color w:val="1A2733"/>
          <w:sz w:val="22"/>
          <w:szCs w:val="22"/>
        </w:rPr>
        <w:t xml:space="preserve">“Ficha de arancel preferencial de 3 productos”: para cada uno, código HS, categoría en la Lista de RD, arancel preferencial vigente este año, si tiene contingente, y el arancel NMF para comparar el ahorro.</w:t>
      </w:r>
    </w:p>
    <w:p>
      <w:r>
        <w:br w:type="page"/>
      </w:r>
    </w:p>
    <w:p>
      <w:pPr>
        <w:pStyle w:val="Heading1"/>
        <w:spacing w:after="160" w:before="120"/>
      </w:pPr>
      <w:r>
        <w:rPr>
          <w:rFonts w:ascii="Georgia" w:cs="Georgia" w:eastAsia="Georgia" w:hAnsi="Georgia"/>
          <w:b/>
          <w:bCs/>
          <w:color w:val="13293D"/>
          <w:sz w:val="32"/>
          <w:szCs w:val="32"/>
        </w:rPr>
        <w:t xml:space="preserve">Módulo 3 — Reglas de Origen: el corazón del tratado (Cap. 4)</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podrá tomar un producto y determinar si califica como “originario” bajo el DR-CAFTA, aplicando el criterio correcto (totalmente obtenido, cambio de clasificación arancelaria, valor de contenido regional o de minimis) y sabiendo leer la regla específica de su partida HS. Es el músculo técnico que separa al que conoce el tratado del que lo aplica de verdad.</w:t>
      </w:r>
    </w:p>
    <w:p>
      <w:pPr>
        <w:pStyle w:val="Heading2"/>
        <w:spacing w:after="100" w:before="240"/>
      </w:pPr>
      <w:r>
        <w:rPr>
          <w:rFonts w:ascii="Georgia" w:cs="Georgia" w:eastAsia="Georgia" w:hAnsi="Georgia"/>
          <w:b/>
          <w:bCs/>
          <w:color w:val="1F5F6B"/>
          <w:sz w:val="25"/>
          <w:szCs w:val="25"/>
        </w:rPr>
        <w:t xml:space="preserve">Por qué este módulo existe</w:t>
      </w:r>
    </w:p>
    <w:p>
      <w:pPr>
        <w:spacing w:after="120" w:line="276"/>
      </w:pPr>
      <w:r>
        <w:rPr>
          <w:rFonts w:ascii="Calibri" w:cs="Calibri" w:eastAsia="Calibri" w:hAnsi="Calibri"/>
          <w:color w:val="1A2733"/>
          <w:sz w:val="22"/>
          <w:szCs w:val="22"/>
        </w:rPr>
        <w:t xml:space="preserve">Un producto viene de un país miembro… ¿pero califica para el arancel preferencial? No basta con que venga de la zona: tiene que ser originario, y “originario” tiene una definición técnica precisa. Ejemplo: camisas cosidas en un país del DR-CAFTA pero con tela e hilo comprados en Asia probablemente no califican; si se reclamó la preferencia sin verificarlo, en una verificación cobran los aranceles no pagados más sanciones. Todo cuelga de la clasificación HS.</w:t>
      </w:r>
    </w:p>
    <w:p>
      <w:pPr>
        <w:pBdr>
          <w:top w:val="single" w:color="E6DCC2" w:sz="4" w:space="8"/>
          <w:bottom w:val="single" w:color="E6DCC2" w:sz="4" w:space="8"/>
          <w:left w:val="single" w:color="B07D18" w:sz="18" w:space="14"/>
          <w:right w:val="single" w:color="E6DCC2" w:sz="4" w:space="8"/>
        </w:pBdr>
        <w:shd w:fill="F4EFE0" w:color="auto" w:val="clear"/>
        <w:spacing w:after="150" w:before="120" w:line="276"/>
      </w:pPr>
      <w:r>
        <w:rPr>
          <w:rFonts w:ascii="Calibri" w:cs="Calibri" w:eastAsia="Calibri" w:hAnsi="Calibri"/>
          <w:b/>
          <w:bCs/>
          <w:color w:val="B07D18"/>
          <w:sz w:val="22"/>
          <w:szCs w:val="22"/>
        </w:rPr>
        <w:t xml:space="preserve">La idea que lo cambia todo:  </w:t>
      </w:r>
      <w:r>
        <w:rPr>
          <w:rFonts w:ascii="Calibri" w:cs="Calibri" w:eastAsia="Calibri" w:hAnsi="Calibri"/>
          <w:color w:val="1A2733"/>
          <w:sz w:val="22"/>
          <w:szCs w:val="22"/>
        </w:rPr>
        <w:t xml:space="preserve">venir de un país miembro NO es lo mismo que ser originario. El arancel preferencial no aplica solo por venir de un país miembro; el producto debe calificar como originario. Es el error más caro del comercio preferencial.</w:t>
      </w:r>
    </w:p>
    <w:p>
      <w:pPr>
        <w:pStyle w:val="Heading2"/>
        <w:spacing w:after="100" w:before="240"/>
      </w:pPr>
      <w:r>
        <w:rPr>
          <w:rFonts w:ascii="Georgia" w:cs="Georgia" w:eastAsia="Georgia" w:hAnsi="Georgia"/>
          <w:b/>
          <w:bCs/>
          <w:color w:val="1F5F6B"/>
          <w:sz w:val="25"/>
          <w:szCs w:val="25"/>
        </w:rPr>
        <w:t xml:space="preserve">1. Los tres caminos para ser originario (Art. 4.1)</w:t>
      </w:r>
    </w:p>
    <w:p>
      <w:pPr>
        <w:pStyle w:val="ListParagraph"/>
        <w:numPr>
          <w:ilvl w:val="0"/>
          <w:numId w:val="3"/>
        </w:numPr>
        <w:spacing w:after="70" w:line="270"/>
      </w:pPr>
      <w:r>
        <w:rPr>
          <w:rFonts w:ascii="Calibri" w:cs="Calibri" w:eastAsia="Calibri" w:hAnsi="Calibri"/>
          <w:b/>
          <w:bCs/>
          <w:color w:val="13293D"/>
          <w:sz w:val="22"/>
          <w:szCs w:val="22"/>
        </w:rPr>
        <w:t xml:space="preserve">Totalmente obtenido: </w:t>
      </w:r>
      <w:r>
        <w:rPr>
          <w:rFonts w:ascii="Calibri" w:cs="Calibri" w:eastAsia="Calibri" w:hAnsi="Calibri"/>
          <w:color w:val="1A2733"/>
          <w:sz w:val="22"/>
          <w:szCs w:val="22"/>
        </w:rPr>
        <w:t xml:space="preserve">obtenido o producido enteramente en la zona: minerales extraídos, plantas cosechadas, animales criados, pesca de sus aguas. Sin insumos de fuera.</w:t>
      </w:r>
    </w:p>
    <w:p>
      <w:pPr>
        <w:pStyle w:val="ListParagraph"/>
        <w:numPr>
          <w:ilvl w:val="0"/>
          <w:numId w:val="3"/>
        </w:numPr>
        <w:spacing w:after="70" w:line="270"/>
      </w:pPr>
      <w:r>
        <w:rPr>
          <w:rFonts w:ascii="Calibri" w:cs="Calibri" w:eastAsia="Calibri" w:hAnsi="Calibri"/>
          <w:b/>
          <w:bCs/>
          <w:color w:val="13293D"/>
          <w:sz w:val="22"/>
          <w:szCs w:val="22"/>
        </w:rPr>
        <w:t xml:space="preserve">Producido con materiales originarios: </w:t>
      </w:r>
      <w:r>
        <w:rPr>
          <w:rFonts w:ascii="Calibri" w:cs="Calibri" w:eastAsia="Calibri" w:hAnsi="Calibri"/>
          <w:color w:val="1A2733"/>
          <w:sz w:val="22"/>
          <w:szCs w:val="22"/>
        </w:rPr>
        <w:t xml:space="preserve">fabricado enteramente a partir de materiales que ya son originarios de las Partes.</w:t>
      </w:r>
    </w:p>
    <w:p>
      <w:pPr>
        <w:pStyle w:val="ListParagraph"/>
        <w:numPr>
          <w:ilvl w:val="0"/>
          <w:numId w:val="3"/>
        </w:numPr>
        <w:spacing w:after="70" w:line="270"/>
      </w:pPr>
      <w:r>
        <w:rPr>
          <w:rFonts w:ascii="Calibri" w:cs="Calibri" w:eastAsia="Calibri" w:hAnsi="Calibri"/>
          <w:b/>
          <w:bCs/>
          <w:color w:val="13293D"/>
          <w:sz w:val="22"/>
          <w:szCs w:val="22"/>
        </w:rPr>
        <w:t xml:space="preserve">Transformación sustancial: </w:t>
      </w:r>
      <w:r>
        <w:rPr>
          <w:rFonts w:ascii="Calibri" w:cs="Calibri" w:eastAsia="Calibri" w:hAnsi="Calibri"/>
          <w:color w:val="1A2733"/>
          <w:sz w:val="22"/>
          <w:szCs w:val="22"/>
        </w:rPr>
        <w:t xml:space="preserve">contiene insumos no originarios, pero transformados lo suficiente en la zona como para “cambiar de nacionalidad”. Es el 90% de los casos reales.</w:t>
      </w:r>
    </w:p>
    <w:p>
      <w:pPr>
        <w:pStyle w:val="Heading2"/>
        <w:spacing w:after="100" w:before="240"/>
      </w:pPr>
      <w:r>
        <w:rPr>
          <w:rFonts w:ascii="Georgia" w:cs="Georgia" w:eastAsia="Georgia" w:hAnsi="Georgia"/>
          <w:b/>
          <w:bCs/>
          <w:color w:val="1F5F6B"/>
          <w:sz w:val="25"/>
          <w:szCs w:val="25"/>
        </w:rPr>
        <w:t xml:space="preserve">2. Los criterios de transformación sustancial</w:t>
      </w:r>
    </w:p>
    <w:p>
      <w:pPr>
        <w:pStyle w:val="Heading3"/>
        <w:spacing w:after="70" w:before="160"/>
      </w:pPr>
      <w:r>
        <w:rPr>
          <w:rFonts w:ascii="Georgia" w:cs="Georgia" w:eastAsia="Georgia" w:hAnsi="Georgia"/>
          <w:b/>
          <w:bCs/>
          <w:color w:val="13293D"/>
          <w:sz w:val="21"/>
          <w:szCs w:val="21"/>
        </w:rPr>
        <w:t xml:space="preserve">a) Cambio de Clasificación Arancelaria (CTC)</w:t>
      </w:r>
    </w:p>
    <w:p>
      <w:pPr>
        <w:spacing w:after="120" w:line="276"/>
      </w:pPr>
      <w:r>
        <w:rPr>
          <w:rFonts w:ascii="Calibri" w:cs="Calibri" w:eastAsia="Calibri" w:hAnsi="Calibri"/>
          <w:color w:val="1A2733"/>
          <w:sz w:val="22"/>
          <w:szCs w:val="22"/>
        </w:rPr>
        <w:t xml:space="preserve">El insumo no originario debe “saltar” de código HS al incorporarse al producto. CC = cambio de capítulo (2 dígitos, el más exigente); CTH = cambio de partida (4 dígitos, el más común); CTSH = cambio de subpartida (6 dígitos, el más flexible). Ejemplo: pan (partida 19.05) con harina importada (partida 11.01): la harina saltó de 11.01 a 19.05 → hay cambio de partida; si la regla pide CTH, se cumple.</w:t>
      </w:r>
    </w:p>
    <w:p>
      <w:pPr>
        <w:pStyle w:val="Heading3"/>
        <w:spacing w:after="70" w:before="160"/>
      </w:pPr>
      <w:r>
        <w:rPr>
          <w:rFonts w:ascii="Georgia" w:cs="Georgia" w:eastAsia="Georgia" w:hAnsi="Georgia"/>
          <w:b/>
          <w:bCs/>
          <w:color w:val="13293D"/>
          <w:sz w:val="21"/>
          <w:szCs w:val="21"/>
        </w:rPr>
        <w:t xml:space="preserve">b) Valor de Contenido Regional (VCR)</w:t>
      </w:r>
    </w:p>
    <w:p>
      <w:pPr>
        <w:spacing w:after="120" w:line="276"/>
      </w:pPr>
      <w:r>
        <w:rPr>
          <w:rFonts w:ascii="Calibri" w:cs="Calibri" w:eastAsia="Calibri" w:hAnsi="Calibri"/>
          <w:color w:val="1A2733"/>
          <w:sz w:val="22"/>
          <w:szCs w:val="22"/>
        </w:rPr>
        <w:t xml:space="preserve">Un porcentaje mínimo del valor del producto debe originarse en la zona. Se calcula por el método de aumento del valor (build-up, parte del valor de los materiales originarios) o el de reducción del valor (build-down, parte del valor total menos el de los no originarios). Fórmula build-down: VCR = [(Valor Ajustado − Valor de Materiales No Originarios) / Valor Ajustado] × 100. Si la regla exige, por ejemplo, 45% build-down, el producto debe alcanzar ese umbral.</w:t>
      </w:r>
    </w:p>
    <w:p>
      <w:pPr>
        <w:pStyle w:val="Heading3"/>
        <w:spacing w:after="70" w:before="160"/>
      </w:pPr>
      <w:r>
        <w:rPr>
          <w:rFonts w:ascii="Georgia" w:cs="Georgia" w:eastAsia="Georgia" w:hAnsi="Georgia"/>
          <w:b/>
          <w:bCs/>
          <w:color w:val="13293D"/>
          <w:sz w:val="21"/>
          <w:szCs w:val="21"/>
        </w:rPr>
        <w:t xml:space="preserve">c) CTC + VCR combinados</w:t>
      </w:r>
    </w:p>
    <w:p>
      <w:pPr>
        <w:spacing w:after="120" w:line="276"/>
      </w:pPr>
      <w:r>
        <w:rPr>
          <w:rFonts w:ascii="Calibri" w:cs="Calibri" w:eastAsia="Calibri" w:hAnsi="Calibri"/>
          <w:color w:val="1A2733"/>
          <w:sz w:val="22"/>
          <w:szCs w:val="22"/>
        </w:rPr>
        <w:t xml:space="preserve">Muchas reglas exigen ambos: cambio de clasificación y además cierto VCR. Hay que cumplir los dos.</w:t>
      </w:r>
    </w:p>
    <w:p>
      <w:pPr>
        <w:pStyle w:val="Heading3"/>
        <w:spacing w:after="70" w:before="160"/>
      </w:pPr>
      <w:r>
        <w:rPr>
          <w:rFonts w:ascii="Georgia" w:cs="Georgia" w:eastAsia="Georgia" w:hAnsi="Georgia"/>
          <w:b/>
          <w:bCs/>
          <w:color w:val="13293D"/>
          <w:sz w:val="21"/>
          <w:szCs w:val="21"/>
        </w:rPr>
        <w:t xml:space="preserve">d) Requisito de proceso específico</w:t>
      </w:r>
    </w:p>
    <w:p>
      <w:pPr>
        <w:spacing w:after="120" w:line="276"/>
      </w:pPr>
      <w:r>
        <w:rPr>
          <w:rFonts w:ascii="Calibri" w:cs="Calibri" w:eastAsia="Calibri" w:hAnsi="Calibri"/>
          <w:color w:val="1A2733"/>
          <w:sz w:val="22"/>
          <w:szCs w:val="22"/>
        </w:rPr>
        <w:t xml:space="preserve">Para ciertos sectores (notablemente textiles y confección) la regla no habla de saltos de código, sino de un proceso que debe ocurrir en la zona. El caso emblemático es la regla “hilaza en adelante” (yarn forward): el hilo debe producirse en la zona, la tela tejerse en la zona y la prenda confeccionarse en la zona. Por eso la camisa con tela asiática no califica: la tela no se tejió en la zona.</w:t>
      </w:r>
    </w:p>
    <w:p>
      <w:pPr>
        <w:pStyle w:val="Heading2"/>
        <w:spacing w:after="100" w:before="240"/>
      </w:pPr>
      <w:r>
        <w:rPr>
          <w:rFonts w:ascii="Georgia" w:cs="Georgia" w:eastAsia="Georgia" w:hAnsi="Georgia"/>
          <w:b/>
          <w:bCs/>
          <w:color w:val="1F5F6B"/>
          <w:sz w:val="25"/>
          <w:szCs w:val="25"/>
        </w:rPr>
        <w:t xml:space="preserve">3. Reglas de apoyo</w:t>
      </w:r>
    </w:p>
    <w:p>
      <w:pPr>
        <w:pStyle w:val="ListParagraph"/>
        <w:numPr>
          <w:ilvl w:val="0"/>
          <w:numId w:val="3"/>
        </w:numPr>
        <w:spacing w:after="70" w:line="270"/>
      </w:pPr>
      <w:r>
        <w:rPr>
          <w:rFonts w:ascii="Calibri" w:cs="Calibri" w:eastAsia="Calibri" w:hAnsi="Calibri"/>
          <w:b/>
          <w:bCs/>
          <w:color w:val="13293D"/>
          <w:sz w:val="22"/>
          <w:szCs w:val="22"/>
        </w:rPr>
        <w:t xml:space="preserve">De minimis: </w:t>
      </w:r>
      <w:r>
        <w:rPr>
          <w:rFonts w:ascii="Calibri" w:cs="Calibri" w:eastAsia="Calibri" w:hAnsi="Calibri"/>
          <w:color w:val="1A2733"/>
          <w:sz w:val="22"/>
          <w:szCs w:val="22"/>
        </w:rPr>
        <w:t xml:space="preserve">si el valor de los materiales no originarios que no cumplieron el cambio de clasificación no supera cierto porcentaje del producto (típicamente 10%), el producto igual califica.</w:t>
      </w:r>
    </w:p>
    <w:p>
      <w:pPr>
        <w:pStyle w:val="ListParagraph"/>
        <w:numPr>
          <w:ilvl w:val="0"/>
          <w:numId w:val="3"/>
        </w:numPr>
        <w:spacing w:after="70" w:line="270"/>
      </w:pPr>
      <w:r>
        <w:rPr>
          <w:rFonts w:ascii="Calibri" w:cs="Calibri" w:eastAsia="Calibri" w:hAnsi="Calibri"/>
          <w:b/>
          <w:bCs/>
          <w:color w:val="13293D"/>
          <w:sz w:val="22"/>
          <w:szCs w:val="22"/>
        </w:rPr>
        <w:t xml:space="preserve">Acumulación: </w:t>
      </w:r>
      <w:r>
        <w:rPr>
          <w:rFonts w:ascii="Calibri" w:cs="Calibri" w:eastAsia="Calibri" w:hAnsi="Calibri"/>
          <w:color w:val="1A2733"/>
          <w:sz w:val="22"/>
          <w:szCs w:val="22"/>
        </w:rPr>
        <w:t xml:space="preserve">los materiales originarios de cualquier Parte cuentan como propios. Hace funcionar la zona como bloque.</w:t>
      </w:r>
    </w:p>
    <w:p>
      <w:pPr>
        <w:pStyle w:val="ListParagraph"/>
        <w:numPr>
          <w:ilvl w:val="0"/>
          <w:numId w:val="3"/>
        </w:numPr>
        <w:spacing w:after="70" w:line="270"/>
      </w:pPr>
      <w:r>
        <w:rPr>
          <w:rFonts w:ascii="Calibri" w:cs="Calibri" w:eastAsia="Calibri" w:hAnsi="Calibri"/>
          <w:b/>
          <w:bCs/>
          <w:color w:val="13293D"/>
          <w:sz w:val="22"/>
          <w:szCs w:val="22"/>
        </w:rPr>
        <w:t xml:space="preserve">Materiales indirectos: </w:t>
      </w:r>
      <w:r>
        <w:rPr>
          <w:rFonts w:ascii="Calibri" w:cs="Calibri" w:eastAsia="Calibri" w:hAnsi="Calibri"/>
          <w:color w:val="1A2733"/>
          <w:sz w:val="22"/>
          <w:szCs w:val="22"/>
        </w:rPr>
        <w:t xml:space="preserve">energía, combustible, catalizadores, guantes: se consideran originarios sin importar su procedencia.</w:t>
      </w:r>
    </w:p>
    <w:p>
      <w:pPr>
        <w:pStyle w:val="ListParagraph"/>
        <w:numPr>
          <w:ilvl w:val="0"/>
          <w:numId w:val="3"/>
        </w:numPr>
        <w:spacing w:after="70" w:line="270"/>
      </w:pPr>
      <w:r>
        <w:rPr>
          <w:rFonts w:ascii="Calibri" w:cs="Calibri" w:eastAsia="Calibri" w:hAnsi="Calibri"/>
          <w:b/>
          <w:bCs/>
          <w:color w:val="13293D"/>
          <w:sz w:val="22"/>
          <w:szCs w:val="22"/>
        </w:rPr>
        <w:t xml:space="preserve">Materiales fungibles: </w:t>
      </w:r>
      <w:r>
        <w:rPr>
          <w:rFonts w:ascii="Calibri" w:cs="Calibri" w:eastAsia="Calibri" w:hAnsi="Calibri"/>
          <w:color w:val="1A2733"/>
          <w:sz w:val="22"/>
          <w:szCs w:val="22"/>
        </w:rPr>
        <w:t xml:space="preserve">insumos idénticos e intercambiables mezclados en inventario, asignados con métodos contables.</w:t>
      </w:r>
    </w:p>
    <w:p>
      <w:pPr>
        <w:pStyle w:val="ListParagraph"/>
        <w:numPr>
          <w:ilvl w:val="0"/>
          <w:numId w:val="3"/>
        </w:numPr>
        <w:spacing w:after="70" w:line="270"/>
      </w:pPr>
      <w:r>
        <w:rPr>
          <w:rFonts w:ascii="Calibri" w:cs="Calibri" w:eastAsia="Calibri" w:hAnsi="Calibri"/>
          <w:b/>
          <w:bCs/>
          <w:color w:val="13293D"/>
          <w:sz w:val="22"/>
          <w:szCs w:val="22"/>
        </w:rPr>
        <w:t xml:space="preserve">Juegos, accesorios, repuestos y envases: </w:t>
      </w:r>
      <w:r>
        <w:rPr>
          <w:rFonts w:ascii="Calibri" w:cs="Calibri" w:eastAsia="Calibri" w:hAnsi="Calibri"/>
          <w:color w:val="1A2733"/>
          <w:sz w:val="22"/>
          <w:szCs w:val="22"/>
        </w:rPr>
        <w:t xml:space="preserve">reglas para sets, y para accesorios/empaque que siguen el origen del producto principal.</w:t>
      </w:r>
    </w:p>
    <w:p>
      <w:pPr>
        <w:pStyle w:val="ListParagraph"/>
        <w:numPr>
          <w:ilvl w:val="0"/>
          <w:numId w:val="3"/>
        </w:numPr>
        <w:spacing w:after="70" w:line="270"/>
      </w:pPr>
      <w:r>
        <w:rPr>
          <w:rFonts w:ascii="Calibri" w:cs="Calibri" w:eastAsia="Calibri" w:hAnsi="Calibri"/>
          <w:b/>
          <w:bCs/>
          <w:color w:val="13293D"/>
          <w:sz w:val="22"/>
          <w:szCs w:val="22"/>
        </w:rPr>
        <w:t xml:space="preserve">Expedición directa (tránsito y transbordo): </w:t>
      </w:r>
      <w:r>
        <w:rPr>
          <w:rFonts w:ascii="Calibri" w:cs="Calibri" w:eastAsia="Calibri" w:hAnsi="Calibri"/>
          <w:color w:val="1A2733"/>
          <w:sz w:val="22"/>
          <w:szCs w:val="22"/>
        </w:rPr>
        <w:t xml:space="preserve">el producto pierde el origen si, camino al país importador, sufre operaciones fuera de la zona más allá de descarga, recarga o conservación.</w:t>
      </w:r>
    </w:p>
    <w:p>
      <w:pPr>
        <w:pStyle w:val="Heading2"/>
        <w:spacing w:after="100" w:before="240"/>
      </w:pPr>
      <w:r>
        <w:rPr>
          <w:rFonts w:ascii="Georgia" w:cs="Georgia" w:eastAsia="Georgia" w:hAnsi="Georgia"/>
          <w:b/>
          <w:bCs/>
          <w:color w:val="1F5F6B"/>
          <w:sz w:val="25"/>
          <w:szCs w:val="25"/>
        </w:rPr>
        <w:t xml:space="preserve">4. Método — determinar el origen (9 pasos)</w:t>
      </w:r>
    </w:p>
    <w:p>
      <w:pPr>
        <w:pStyle w:val="ListParagraph"/>
        <w:numPr>
          <w:ilvl w:val="0"/>
          <w:numId w:val="2"/>
        </w:numPr>
        <w:spacing w:after="70" w:line="270"/>
      </w:pPr>
      <w:r>
        <w:rPr>
          <w:rFonts w:ascii="Calibri" w:cs="Calibri" w:eastAsia="Calibri" w:hAnsi="Calibri"/>
          <w:color w:val="1A2733"/>
          <w:sz w:val="22"/>
          <w:szCs w:val="22"/>
        </w:rPr>
        <w:t xml:space="preserve">Clasifica el producto final (código HS).</w:t>
      </w:r>
    </w:p>
    <w:p>
      <w:pPr>
        <w:pStyle w:val="ListParagraph"/>
        <w:numPr>
          <w:ilvl w:val="0"/>
          <w:numId w:val="2"/>
        </w:numPr>
        <w:spacing w:after="70" w:line="270"/>
      </w:pPr>
      <w:r>
        <w:rPr>
          <w:rFonts w:ascii="Calibri" w:cs="Calibri" w:eastAsia="Calibri" w:hAnsi="Calibri"/>
          <w:color w:val="1A2733"/>
          <w:sz w:val="22"/>
          <w:szCs w:val="22"/>
        </w:rPr>
        <w:t xml:space="preserve">¿Totalmente obtenido o hecho solo con materiales originarios? Si sí → originario.</w:t>
      </w:r>
    </w:p>
    <w:p>
      <w:pPr>
        <w:pStyle w:val="ListParagraph"/>
        <w:numPr>
          <w:ilvl w:val="0"/>
          <w:numId w:val="2"/>
        </w:numPr>
        <w:spacing w:after="70" w:line="270"/>
      </w:pPr>
      <w:r>
        <w:rPr>
          <w:rFonts w:ascii="Calibri" w:cs="Calibri" w:eastAsia="Calibri" w:hAnsi="Calibri"/>
          <w:color w:val="1A2733"/>
          <w:sz w:val="22"/>
          <w:szCs w:val="22"/>
        </w:rPr>
        <w:t xml:space="preserve">Si tiene insumos no originarios → ve al Anexo 4.1.</w:t>
      </w:r>
    </w:p>
    <w:p>
      <w:pPr>
        <w:pStyle w:val="ListParagraph"/>
        <w:numPr>
          <w:ilvl w:val="0"/>
          <w:numId w:val="2"/>
        </w:numPr>
        <w:spacing w:after="70" w:line="270"/>
      </w:pPr>
      <w:r>
        <w:rPr>
          <w:rFonts w:ascii="Calibri" w:cs="Calibri" w:eastAsia="Calibri" w:hAnsi="Calibri"/>
          <w:color w:val="1A2733"/>
          <w:sz w:val="22"/>
          <w:szCs w:val="22"/>
        </w:rPr>
        <w:t xml:space="preserve">Localiza la regla específica de la partida del producto.</w:t>
      </w:r>
    </w:p>
    <w:p>
      <w:pPr>
        <w:pStyle w:val="ListParagraph"/>
        <w:numPr>
          <w:ilvl w:val="0"/>
          <w:numId w:val="2"/>
        </w:numPr>
        <w:spacing w:after="70" w:line="270"/>
      </w:pPr>
      <w:r>
        <w:rPr>
          <w:rFonts w:ascii="Calibri" w:cs="Calibri" w:eastAsia="Calibri" w:hAnsi="Calibri"/>
          <w:color w:val="1A2733"/>
          <w:sz w:val="22"/>
          <w:szCs w:val="22"/>
        </w:rPr>
        <w:t xml:space="preserve">Lee qué exige: ¿CTC? ¿VCR? ¿ambos? ¿proceso específico?</w:t>
      </w:r>
    </w:p>
    <w:p>
      <w:pPr>
        <w:pStyle w:val="ListParagraph"/>
        <w:numPr>
          <w:ilvl w:val="0"/>
          <w:numId w:val="2"/>
        </w:numPr>
        <w:spacing w:after="70" w:line="270"/>
      </w:pPr>
      <w:r>
        <w:rPr>
          <w:rFonts w:ascii="Calibri" w:cs="Calibri" w:eastAsia="Calibri" w:hAnsi="Calibri"/>
          <w:color w:val="1A2733"/>
          <w:sz w:val="22"/>
          <w:szCs w:val="22"/>
        </w:rPr>
        <w:t xml:space="preserve">Verifica el criterio (salto de código o cálculo de VCR).</w:t>
      </w:r>
    </w:p>
    <w:p>
      <w:pPr>
        <w:pStyle w:val="ListParagraph"/>
        <w:numPr>
          <w:ilvl w:val="0"/>
          <w:numId w:val="2"/>
        </w:numPr>
        <w:spacing w:after="70" w:line="270"/>
      </w:pPr>
      <w:r>
        <w:rPr>
          <w:rFonts w:ascii="Calibri" w:cs="Calibri" w:eastAsia="Calibri" w:hAnsi="Calibri"/>
          <w:color w:val="1A2733"/>
          <w:sz w:val="22"/>
          <w:szCs w:val="22"/>
        </w:rPr>
        <w:t xml:space="preserve">¿Algún insumo no cumplió el CTC? Aplica de minimis.</w:t>
      </w:r>
    </w:p>
    <w:p>
      <w:pPr>
        <w:pStyle w:val="ListParagraph"/>
        <w:numPr>
          <w:ilvl w:val="0"/>
          <w:numId w:val="2"/>
        </w:numPr>
        <w:spacing w:after="70" w:line="270"/>
      </w:pPr>
      <w:r>
        <w:rPr>
          <w:rFonts w:ascii="Calibri" w:cs="Calibri" w:eastAsia="Calibri" w:hAnsi="Calibri"/>
          <w:color w:val="1A2733"/>
          <w:sz w:val="22"/>
          <w:szCs w:val="22"/>
        </w:rPr>
        <w:t xml:space="preserve">¿Puedes usar acumulación? Revisa insumos de otras Partes.</w:t>
      </w:r>
    </w:p>
    <w:p>
      <w:pPr>
        <w:pStyle w:val="ListParagraph"/>
        <w:numPr>
          <w:ilvl w:val="0"/>
          <w:numId w:val="2"/>
        </w:numPr>
        <w:spacing w:after="70" w:line="270"/>
      </w:pPr>
      <w:r>
        <w:rPr>
          <w:rFonts w:ascii="Calibri" w:cs="Calibri" w:eastAsia="Calibri" w:hAnsi="Calibri"/>
          <w:color w:val="1A2733"/>
          <w:sz w:val="22"/>
          <w:szCs w:val="22"/>
        </w:rPr>
        <w:t xml:space="preserve">Verifica la expedición directa; concluye y documenta el criterio.</w:t>
      </w:r>
    </w:p>
    <w:p>
      <w:pPr>
        <w:pStyle w:val="Heading2"/>
        <w:spacing w:after="100" w:before="240"/>
      </w:pPr>
      <w:r>
        <w:rPr>
          <w:rFonts w:ascii="Georgia" w:cs="Georgia" w:eastAsia="Georgia" w:hAnsi="Georgia"/>
          <w:b/>
          <w:bCs/>
          <w:color w:val="1F5F6B"/>
          <w:sz w:val="25"/>
          <w:szCs w:val="25"/>
        </w:rPr>
        <w:t xml:space="preserve">5. Ejemplos aplicados</w:t>
      </w:r>
    </w:p>
    <w:p>
      <w:pPr>
        <w:pStyle w:val="ListParagraph"/>
        <w:numPr>
          <w:ilvl w:val="0"/>
          <w:numId w:val="3"/>
        </w:numPr>
        <w:spacing w:after="70" w:line="270"/>
      </w:pPr>
      <w:r>
        <w:rPr>
          <w:rFonts w:ascii="Calibri" w:cs="Calibri" w:eastAsia="Calibri" w:hAnsi="Calibri"/>
          <w:color w:val="1A2733"/>
          <w:sz w:val="22"/>
          <w:szCs w:val="22"/>
        </w:rPr>
        <w:t xml:space="preserve">Pan con harina importada: si la regla de la partida 19.05 pide CTH, la harina (11.01) cumple. Originario.</w:t>
      </w:r>
    </w:p>
    <w:p>
      <w:pPr>
        <w:pStyle w:val="ListParagraph"/>
        <w:numPr>
          <w:ilvl w:val="0"/>
          <w:numId w:val="3"/>
        </w:numPr>
        <w:spacing w:after="70" w:line="270"/>
      </w:pPr>
      <w:r>
        <w:rPr>
          <w:rFonts w:ascii="Calibri" w:cs="Calibri" w:eastAsia="Calibri" w:hAnsi="Calibri"/>
          <w:color w:val="1A2733"/>
          <w:sz w:val="22"/>
          <w:szCs w:val="22"/>
        </w:rPr>
        <w:t xml:space="preserve">Camisa con tela asiática: regla “yarn forward”; la tela no se tejió en la zona → no originaria, aunque se cosió aquí.</w:t>
      </w:r>
    </w:p>
    <w:p>
      <w:pPr>
        <w:pStyle w:val="ListParagraph"/>
        <w:numPr>
          <w:ilvl w:val="0"/>
          <w:numId w:val="3"/>
        </w:numPr>
        <w:spacing w:after="70" w:line="270"/>
      </w:pPr>
      <w:r>
        <w:rPr>
          <w:rFonts w:ascii="Calibri" w:cs="Calibri" w:eastAsia="Calibri" w:hAnsi="Calibri"/>
          <w:color w:val="1A2733"/>
          <w:sz w:val="22"/>
          <w:szCs w:val="22"/>
        </w:rPr>
        <w:t xml:space="preserve">Producto ensamblado con VCR: se calcula el VCR build-down y se compara con el umbral; si un componente menor rompe el CTC pero es &lt;10% del valor, de minimis lo salva.</w:t>
      </w:r>
    </w:p>
    <w:p>
      <w:pPr>
        <w:pStyle w:val="Heading2"/>
        <w:spacing w:after="100" w:before="240"/>
      </w:pPr>
      <w:r>
        <w:rPr>
          <w:rFonts w:ascii="Georgia" w:cs="Georgia" w:eastAsia="Georgia" w:hAnsi="Georgia"/>
          <w:b/>
          <w:bCs/>
          <w:color w:val="1F5F6B"/>
          <w:sz w:val="25"/>
          <w:szCs w:val="25"/>
        </w:rPr>
        <w:t xml:space="preserve">6. Trampas comunes</w:t>
      </w:r>
    </w:p>
    <w:p>
      <w:pPr>
        <w:pStyle w:val="ListParagraph"/>
        <w:numPr>
          <w:ilvl w:val="0"/>
          <w:numId w:val="3"/>
        </w:numPr>
        <w:spacing w:after="70" w:line="270"/>
      </w:pPr>
      <w:r>
        <w:rPr>
          <w:rFonts w:ascii="Calibri" w:cs="Calibri" w:eastAsia="Calibri" w:hAnsi="Calibri"/>
          <w:color w:val="1A2733"/>
          <w:sz w:val="22"/>
          <w:szCs w:val="22"/>
        </w:rPr>
        <w:t xml:space="preserve">Confundir “viene de un país miembro” con “es originario”.</w:t>
      </w:r>
    </w:p>
    <w:p>
      <w:pPr>
        <w:pStyle w:val="ListParagraph"/>
        <w:numPr>
          <w:ilvl w:val="0"/>
          <w:numId w:val="3"/>
        </w:numPr>
        <w:spacing w:after="70" w:line="270"/>
      </w:pPr>
      <w:r>
        <w:rPr>
          <w:rFonts w:ascii="Calibri" w:cs="Calibri" w:eastAsia="Calibri" w:hAnsi="Calibri"/>
          <w:color w:val="1A2733"/>
          <w:sz w:val="22"/>
          <w:szCs w:val="22"/>
        </w:rPr>
        <w:t xml:space="preserve">No clasificar bien el producto o los insumos → regla y origen equivocados.</w:t>
      </w:r>
    </w:p>
    <w:p>
      <w:pPr>
        <w:pStyle w:val="ListParagraph"/>
        <w:numPr>
          <w:ilvl w:val="0"/>
          <w:numId w:val="3"/>
        </w:numPr>
        <w:spacing w:after="70" w:line="270"/>
      </w:pPr>
      <w:r>
        <w:rPr>
          <w:rFonts w:ascii="Calibri" w:cs="Calibri" w:eastAsia="Calibri" w:hAnsi="Calibri"/>
          <w:color w:val="1A2733"/>
          <w:sz w:val="22"/>
          <w:szCs w:val="22"/>
        </w:rPr>
        <w:t xml:space="preserve">Aplicar la regla general cuando existe una regla específica de partida.</w:t>
      </w:r>
    </w:p>
    <w:p>
      <w:pPr>
        <w:pStyle w:val="ListParagraph"/>
        <w:numPr>
          <w:ilvl w:val="0"/>
          <w:numId w:val="3"/>
        </w:numPr>
        <w:spacing w:after="70" w:line="270"/>
      </w:pPr>
      <w:r>
        <w:rPr>
          <w:rFonts w:ascii="Calibri" w:cs="Calibri" w:eastAsia="Calibri" w:hAnsi="Calibri"/>
          <w:color w:val="1A2733"/>
          <w:sz w:val="22"/>
          <w:szCs w:val="22"/>
        </w:rPr>
        <w:t xml:space="preserve">Olvidar de minimis y acumulación → declarar “no originario” lo que sí calificaba.</w:t>
      </w:r>
    </w:p>
    <w:p>
      <w:pPr>
        <w:pStyle w:val="ListParagraph"/>
        <w:numPr>
          <w:ilvl w:val="0"/>
          <w:numId w:val="3"/>
        </w:numPr>
        <w:spacing w:after="70" w:line="270"/>
      </w:pPr>
      <w:r>
        <w:rPr>
          <w:rFonts w:ascii="Calibri" w:cs="Calibri" w:eastAsia="Calibri" w:hAnsi="Calibri"/>
          <w:color w:val="1A2733"/>
          <w:sz w:val="22"/>
          <w:szCs w:val="22"/>
        </w:rPr>
        <w:t xml:space="preserve">Ignorar la expedición directa → un transbordo que rompe el origen.</w:t>
      </w:r>
    </w:p>
    <w:p>
      <w:pPr>
        <w:pStyle w:val="Heading2"/>
        <w:spacing w:after="100" w:before="240"/>
      </w:pPr>
      <w:r>
        <w:rPr>
          <w:rFonts w:ascii="Georgia" w:cs="Georgia" w:eastAsia="Georgia" w:hAnsi="Georgia"/>
          <w:b/>
          <w:bCs/>
          <w:color w:val="1F5F6B"/>
          <w:sz w:val="25"/>
          <w:szCs w:val="25"/>
        </w:rPr>
        <w:t xml:space="preserve">7. Glosario mínimo</w:t>
      </w:r>
    </w:p>
    <w:p>
      <w:pPr>
        <w:spacing w:after="60" w:line="264"/>
      </w:pPr>
      <w:r>
        <w:rPr>
          <w:rFonts w:ascii="Calibri" w:cs="Calibri" w:eastAsia="Calibri" w:hAnsi="Calibri"/>
          <w:color w:val="1A2733"/>
          <w:sz w:val="21"/>
          <w:szCs w:val="21"/>
        </w:rPr>
        <w:t xml:space="preserve">Originario · Totalmente obtenido · Transformación sustancial · Regla específica de origen · CTC (CC / CTH / CTSH) · Valor de contenido regional (VCR) · Build-up / Build-down · De minimis · Acumulación · Materiales indirectos · Materiales fungibles · Yarn forward · Expedición directa / transbordo · Anexo 4.1.</w:t>
      </w:r>
    </w:p>
    <w:p>
      <w:pPr>
        <w:pStyle w:val="Heading2"/>
        <w:spacing w:after="100" w:before="240"/>
      </w:pPr>
      <w:r>
        <w:rPr>
          <w:rFonts w:ascii="Georgia" w:cs="Georgia" w:eastAsia="Georgia" w:hAnsi="Georgia"/>
          <w:b/>
          <w:bCs/>
          <w:color w:val="1F5F6B"/>
          <w:sz w:val="25"/>
          <w:szCs w:val="25"/>
        </w:rPr>
        <w:t xml:space="preserve">8. Lectura guiada</w:t>
      </w:r>
    </w:p>
    <w:p>
      <w:pPr>
        <w:pStyle w:val="ListParagraph"/>
        <w:numPr>
          <w:ilvl w:val="0"/>
          <w:numId w:val="3"/>
        </w:numPr>
        <w:spacing w:after="70" w:line="270"/>
      </w:pPr>
      <w:r>
        <w:rPr>
          <w:rFonts w:ascii="Calibri" w:cs="Calibri" w:eastAsia="Calibri" w:hAnsi="Calibri"/>
          <w:color w:val="1A2733"/>
          <w:sz w:val="22"/>
          <w:szCs w:val="22"/>
        </w:rPr>
        <w:t xml:space="preserve">Capítulo 4, sección de reglas de origen (Art. 4.1 a ~4.15).</w:t>
      </w:r>
    </w:p>
    <w:p>
      <w:pPr>
        <w:pStyle w:val="ListParagraph"/>
        <w:numPr>
          <w:ilvl w:val="0"/>
          <w:numId w:val="3"/>
        </w:numPr>
        <w:spacing w:after="70" w:line="270"/>
      </w:pPr>
      <w:r>
        <w:rPr>
          <w:rFonts w:ascii="Calibri" w:cs="Calibri" w:eastAsia="Calibri" w:hAnsi="Calibri"/>
          <w:color w:val="1A2733"/>
          <w:sz w:val="22"/>
          <w:szCs w:val="22"/>
        </w:rPr>
        <w:t xml:space="preserve">Anexo 4.1 (Reglas Específicas de Origen) — el anexo más importante para tu trabajo; se ordena por partida HS.</w:t>
      </w:r>
    </w:p>
    <w:p>
      <w:pPr>
        <w:pStyle w:val="ListParagraph"/>
        <w:numPr>
          <w:ilvl w:val="0"/>
          <w:numId w:val="3"/>
        </w:numPr>
        <w:spacing w:after="70" w:line="270"/>
      </w:pPr>
      <w:r>
        <w:rPr>
          <w:rFonts w:ascii="Calibri" w:cs="Calibri" w:eastAsia="Calibri" w:hAnsi="Calibri"/>
          <w:color w:val="1A2733"/>
          <w:sz w:val="22"/>
          <w:szCs w:val="22"/>
        </w:rPr>
        <w:t xml:space="preserve">Localiza la regla de 2 productos de tu interés.</w:t>
      </w:r>
    </w:p>
    <w:p>
      <w:pPr>
        <w:pStyle w:val="Heading2"/>
        <w:spacing w:after="100" w:before="240"/>
      </w:pPr>
      <w:r>
        <w:rPr>
          <w:rFonts w:ascii="Georgia" w:cs="Georgia" w:eastAsia="Georgia" w:hAnsi="Georgia"/>
          <w:b/>
          <w:bCs/>
          <w:color w:val="1F5F6B"/>
          <w:sz w:val="25"/>
          <w:szCs w:val="25"/>
        </w:rPr>
        <w:t xml:space="preserve">9. Entregable</w:t>
      </w:r>
    </w:p>
    <w:p>
      <w:pPr>
        <w:spacing w:after="120" w:line="276"/>
      </w:pPr>
      <w:r>
        <w:rPr>
          <w:rFonts w:ascii="Calibri" w:cs="Calibri" w:eastAsia="Calibri" w:hAnsi="Calibri"/>
          <w:color w:val="1A2733"/>
          <w:sz w:val="22"/>
          <w:szCs w:val="22"/>
        </w:rPr>
        <w:t xml:space="preserve">“Dictamen de origen de 2 productos”: para cada producto con insumos importados, HS del producto y de sus insumos, regla del Anexo 4.1, criterio aplicado (CTC/VCR/proceso), cálculo de VCR o de minimis si corresponde, y conclusión razonada. Es, literalmente, el servicio profesional que se vende.</w:t>
      </w:r>
    </w:p>
    <w:p>
      <w:r>
        <w:br w:type="page"/>
      </w:r>
    </w:p>
    <w:p>
      <w:pPr>
        <w:pStyle w:val="Heading1"/>
        <w:spacing w:after="160" w:before="120"/>
      </w:pPr>
      <w:r>
        <w:rPr>
          <w:rFonts w:ascii="Georgia" w:cs="Georgia" w:eastAsia="Georgia" w:hAnsi="Georgia"/>
          <w:b/>
          <w:bCs/>
          <w:color w:val="13293D"/>
          <w:sz w:val="32"/>
          <w:szCs w:val="32"/>
        </w:rPr>
        <w:t xml:space="preserve">Módulo 4 — Procedimientos y certificación de origen (Cap. 4)</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podrá certificar correctamente el origen de una mercancía, saber qué información exige el tratado, qué obligaciones asume cada actor y cómo enfrentar y defender una verificación de origen de la aduana. Es el paso que convierte el dictamen técnico del Módulo 3 en un documento con efectos legales.</w:t>
      </w:r>
    </w:p>
    <w:p>
      <w:pPr>
        <w:pStyle w:val="Heading2"/>
        <w:spacing w:after="100" w:before="240"/>
      </w:pPr>
      <w:r>
        <w:rPr>
          <w:rFonts w:ascii="Georgia" w:cs="Georgia" w:eastAsia="Georgia" w:hAnsi="Georgia"/>
          <w:b/>
          <w:bCs/>
          <w:color w:val="1F5F6B"/>
          <w:sz w:val="25"/>
          <w:szCs w:val="25"/>
        </w:rPr>
        <w:t xml:space="preserve">Por qué este módulo existe</w:t>
      </w:r>
    </w:p>
    <w:p>
      <w:pPr>
        <w:spacing w:after="120" w:line="276"/>
      </w:pPr>
      <w:r>
        <w:rPr>
          <w:rFonts w:ascii="Calibri" w:cs="Calibri" w:eastAsia="Calibri" w:hAnsi="Calibri"/>
          <w:color w:val="1A2733"/>
          <w:sz w:val="22"/>
          <w:szCs w:val="22"/>
        </w:rPr>
        <w:t xml:space="preserve">El arancel preferencial no se otorga porque tú sepas que el producto es originario, sino porque lo declaraste y lo puedes probar. Un cliente que pierde una verificación paga los aranceles no cobrados más intereses y sanciones, retroactivamente. Aquí es donde de verdad te contratan: por certificar sin errores y por defender al cliente cuando llega la verificación.</w:t>
      </w:r>
    </w:p>
    <w:p>
      <w:pPr>
        <w:pStyle w:val="Heading2"/>
        <w:spacing w:after="100" w:before="240"/>
      </w:pPr>
      <w:r>
        <w:rPr>
          <w:rFonts w:ascii="Georgia" w:cs="Georgia" w:eastAsia="Georgia" w:hAnsi="Georgia"/>
          <w:b/>
          <w:bCs/>
          <w:color w:val="1F5F6B"/>
          <w:sz w:val="25"/>
          <w:szCs w:val="25"/>
        </w:rPr>
        <w:t xml:space="preserve">1. Cómo se solicita la preferencia — auto-certificación</w:t>
      </w:r>
    </w:p>
    <w:p>
      <w:pPr>
        <w:spacing w:after="120" w:line="276"/>
      </w:pPr>
      <w:r>
        <w:rPr>
          <w:rFonts w:ascii="Calibri" w:cs="Calibri" w:eastAsia="Calibri" w:hAnsi="Calibri"/>
          <w:color w:val="1A2733"/>
          <w:sz w:val="22"/>
          <w:szCs w:val="22"/>
        </w:rPr>
        <w:t xml:space="preserve">El DR-CAFTA usa auto-certificación: no hace falta un sello de una entidad gubernamental que “apruebe” el origen. La certificación puede emitirla el importador, el exportador o el productor, bajo su responsabilidad. No hay un formato oficial único obligatorio, pero sí debe contener cierta información mínima; puede ir en la factura o en documento aparte. Puede amparar un solo embarque o múltiples embarques de mercancías idénticas dentro de un período de hasta 12 meses (certificación general).</w:t>
      </w:r>
    </w:p>
    <w:p>
      <w:pPr>
        <w:pStyle w:val="Heading2"/>
        <w:spacing w:after="100" w:before="240"/>
      </w:pPr>
      <w:r>
        <w:rPr>
          <w:rFonts w:ascii="Georgia" w:cs="Georgia" w:eastAsia="Georgia" w:hAnsi="Georgia"/>
          <w:b/>
          <w:bCs/>
          <w:color w:val="1F5F6B"/>
          <w:sz w:val="25"/>
          <w:szCs w:val="25"/>
        </w:rPr>
        <w:t xml:space="preserve">2. Elementos mínimos de la certificación</w:t>
      </w:r>
    </w:p>
    <w:p>
      <w:pPr>
        <w:pStyle w:val="ListParagraph"/>
        <w:numPr>
          <w:ilvl w:val="0"/>
          <w:numId w:val="3"/>
        </w:numPr>
        <w:spacing w:after="70" w:line="270"/>
      </w:pPr>
      <w:r>
        <w:rPr>
          <w:rFonts w:ascii="Calibri" w:cs="Calibri" w:eastAsia="Calibri" w:hAnsi="Calibri"/>
          <w:color w:val="1A2733"/>
          <w:sz w:val="22"/>
          <w:szCs w:val="22"/>
        </w:rPr>
        <w:t xml:space="preserve">Datos de quien certifica (importador, exportador o productor).</w:t>
      </w:r>
    </w:p>
    <w:p>
      <w:pPr>
        <w:pStyle w:val="ListParagraph"/>
        <w:numPr>
          <w:ilvl w:val="0"/>
          <w:numId w:val="3"/>
        </w:numPr>
        <w:spacing w:after="70" w:line="270"/>
      </w:pPr>
      <w:r>
        <w:rPr>
          <w:rFonts w:ascii="Calibri" w:cs="Calibri" w:eastAsia="Calibri" w:hAnsi="Calibri"/>
          <w:color w:val="1A2733"/>
          <w:sz w:val="22"/>
          <w:szCs w:val="22"/>
        </w:rPr>
        <w:t xml:space="preserve">Datos del exportador y del productor, si son distintos (o si se desconoce).</w:t>
      </w:r>
    </w:p>
    <w:p>
      <w:pPr>
        <w:pStyle w:val="ListParagraph"/>
        <w:numPr>
          <w:ilvl w:val="0"/>
          <w:numId w:val="3"/>
        </w:numPr>
        <w:spacing w:after="70" w:line="270"/>
      </w:pPr>
      <w:r>
        <w:rPr>
          <w:rFonts w:ascii="Calibri" w:cs="Calibri" w:eastAsia="Calibri" w:hAnsi="Calibri"/>
          <w:color w:val="1A2733"/>
          <w:sz w:val="22"/>
          <w:szCs w:val="22"/>
        </w:rPr>
        <w:t xml:space="preserve">Datos del importador, si se conoce.</w:t>
      </w:r>
    </w:p>
    <w:p>
      <w:pPr>
        <w:pStyle w:val="ListParagraph"/>
        <w:numPr>
          <w:ilvl w:val="0"/>
          <w:numId w:val="3"/>
        </w:numPr>
        <w:spacing w:after="70" w:line="270"/>
      </w:pPr>
      <w:r>
        <w:rPr>
          <w:rFonts w:ascii="Calibri" w:cs="Calibri" w:eastAsia="Calibri" w:hAnsi="Calibri"/>
          <w:color w:val="1A2733"/>
          <w:sz w:val="22"/>
          <w:szCs w:val="22"/>
        </w:rPr>
        <w:t xml:space="preserve">Descripción de la mercancía y su clasificación arancelaria (HS).</w:t>
      </w:r>
    </w:p>
    <w:p>
      <w:pPr>
        <w:pStyle w:val="ListParagraph"/>
        <w:numPr>
          <w:ilvl w:val="0"/>
          <w:numId w:val="3"/>
        </w:numPr>
        <w:spacing w:after="70" w:line="270"/>
      </w:pPr>
      <w:r>
        <w:rPr>
          <w:rFonts w:ascii="Calibri" w:cs="Calibri" w:eastAsia="Calibri" w:hAnsi="Calibri"/>
          <w:color w:val="1A2733"/>
          <w:sz w:val="22"/>
          <w:szCs w:val="22"/>
        </w:rPr>
        <w:t xml:space="preserve">Criterio de origen con el que califica (del Módulo 3).</w:t>
      </w:r>
    </w:p>
    <w:p>
      <w:pPr>
        <w:pStyle w:val="ListParagraph"/>
        <w:numPr>
          <w:ilvl w:val="0"/>
          <w:numId w:val="3"/>
        </w:numPr>
        <w:spacing w:after="70" w:line="270"/>
      </w:pPr>
      <w:r>
        <w:rPr>
          <w:rFonts w:ascii="Calibri" w:cs="Calibri" w:eastAsia="Calibri" w:hAnsi="Calibri"/>
          <w:color w:val="1A2733"/>
          <w:sz w:val="22"/>
          <w:szCs w:val="22"/>
        </w:rPr>
        <w:t xml:space="preserve">Período cubierto, si es una certificación general (hasta 12 meses).</w:t>
      </w:r>
    </w:p>
    <w:p>
      <w:pPr>
        <w:pStyle w:val="ListParagraph"/>
        <w:numPr>
          <w:ilvl w:val="0"/>
          <w:numId w:val="3"/>
        </w:numPr>
        <w:spacing w:after="70" w:line="270"/>
      </w:pPr>
      <w:r>
        <w:rPr>
          <w:rFonts w:ascii="Calibri" w:cs="Calibri" w:eastAsia="Calibri" w:hAnsi="Calibri"/>
          <w:color w:val="1A2733"/>
          <w:sz w:val="22"/>
          <w:szCs w:val="22"/>
        </w:rPr>
        <w:t xml:space="preserve">Fecha, firma y declaración de que la información es verdadera.</w:t>
      </w:r>
    </w:p>
    <w:p>
      <w:pPr>
        <w:pStyle w:val="Heading2"/>
        <w:spacing w:after="100" w:before="240"/>
      </w:pPr>
      <w:r>
        <w:rPr>
          <w:rFonts w:ascii="Georgia" w:cs="Georgia" w:eastAsia="Georgia" w:hAnsi="Georgia"/>
          <w:b/>
          <w:bCs/>
          <w:color w:val="1F5F6B"/>
          <w:sz w:val="25"/>
          <w:szCs w:val="25"/>
        </w:rPr>
        <w:t xml:space="preserve">3. Obligaciones de cada actor</w:t>
      </w:r>
    </w:p>
    <w:p>
      <w:pPr>
        <w:pStyle w:val="Heading3"/>
        <w:spacing w:after="70" w:before="160"/>
      </w:pPr>
      <w:r>
        <w:rPr>
          <w:rFonts w:ascii="Georgia" w:cs="Georgia" w:eastAsia="Georgia" w:hAnsi="Georgia"/>
          <w:b/>
          <w:bCs/>
          <w:color w:val="13293D"/>
          <w:sz w:val="21"/>
          <w:szCs w:val="21"/>
        </w:rPr>
        <w:t xml:space="preserve">Del importador</w:t>
      </w:r>
    </w:p>
    <w:p>
      <w:pPr>
        <w:pStyle w:val="ListParagraph"/>
        <w:numPr>
          <w:ilvl w:val="0"/>
          <w:numId w:val="3"/>
        </w:numPr>
        <w:spacing w:after="70" w:line="270"/>
      </w:pPr>
      <w:r>
        <w:rPr>
          <w:rFonts w:ascii="Calibri" w:cs="Calibri" w:eastAsia="Calibri" w:hAnsi="Calibri"/>
          <w:color w:val="1A2733"/>
          <w:sz w:val="22"/>
          <w:szCs w:val="22"/>
        </w:rPr>
        <w:t xml:space="preserve">Solicitar el trato preferencial y declarar por escrito que la mercancía es originaria.</w:t>
      </w:r>
    </w:p>
    <w:p>
      <w:pPr>
        <w:pStyle w:val="ListParagraph"/>
        <w:numPr>
          <w:ilvl w:val="0"/>
          <w:numId w:val="3"/>
        </w:numPr>
        <w:spacing w:after="70" w:line="270"/>
      </w:pPr>
      <w:r>
        <w:rPr>
          <w:rFonts w:ascii="Calibri" w:cs="Calibri" w:eastAsia="Calibri" w:hAnsi="Calibri"/>
          <w:color w:val="1A2733"/>
          <w:sz w:val="22"/>
          <w:szCs w:val="22"/>
        </w:rPr>
        <w:t xml:space="preserve">Tener la certificación en su poder al momento de la declaración.</w:t>
      </w:r>
    </w:p>
    <w:p>
      <w:pPr>
        <w:pStyle w:val="ListParagraph"/>
        <w:numPr>
          <w:ilvl w:val="0"/>
          <w:numId w:val="3"/>
        </w:numPr>
        <w:spacing w:after="70" w:line="270"/>
      </w:pPr>
      <w:r>
        <w:rPr>
          <w:rFonts w:ascii="Calibri" w:cs="Calibri" w:eastAsia="Calibri" w:hAnsi="Calibri"/>
          <w:color w:val="1A2733"/>
          <w:sz w:val="22"/>
          <w:szCs w:val="22"/>
        </w:rPr>
        <w:t xml:space="preserve">Conservar la certificación y los registros (mínimo 5 años).</w:t>
      </w:r>
    </w:p>
    <w:p>
      <w:pPr>
        <w:pStyle w:val="ListParagraph"/>
        <w:numPr>
          <w:ilvl w:val="0"/>
          <w:numId w:val="3"/>
        </w:numPr>
        <w:spacing w:after="70" w:line="270"/>
      </w:pPr>
      <w:r>
        <w:rPr>
          <w:rFonts w:ascii="Calibri" w:cs="Calibri" w:eastAsia="Calibri" w:hAnsi="Calibri"/>
          <w:color w:val="1A2733"/>
          <w:sz w:val="22"/>
          <w:szCs w:val="22"/>
        </w:rPr>
        <w:t xml:space="preserve">Presentar la certificación si la aduana la requiere; corregir la declaración y pagar lo debido si era incorrecta.</w:t>
      </w:r>
    </w:p>
    <w:p>
      <w:pPr>
        <w:pStyle w:val="Heading3"/>
        <w:spacing w:after="70" w:before="160"/>
      </w:pPr>
      <w:r>
        <w:rPr>
          <w:rFonts w:ascii="Georgia" w:cs="Georgia" w:eastAsia="Georgia" w:hAnsi="Georgia"/>
          <w:b/>
          <w:bCs/>
          <w:color w:val="13293D"/>
          <w:sz w:val="21"/>
          <w:szCs w:val="21"/>
        </w:rPr>
        <w:t xml:space="preserve">Del exportador o productor</w:t>
      </w:r>
    </w:p>
    <w:p>
      <w:pPr>
        <w:pStyle w:val="ListParagraph"/>
        <w:numPr>
          <w:ilvl w:val="0"/>
          <w:numId w:val="3"/>
        </w:numPr>
        <w:spacing w:after="70" w:line="270"/>
      </w:pPr>
      <w:r>
        <w:rPr>
          <w:rFonts w:ascii="Calibri" w:cs="Calibri" w:eastAsia="Calibri" w:hAnsi="Calibri"/>
          <w:color w:val="1A2733"/>
          <w:sz w:val="22"/>
          <w:szCs w:val="22"/>
        </w:rPr>
        <w:t xml:space="preserve">Emitir la certificación de buena fe y conservar los soportes del origen (costos, insumos, procesos).</w:t>
      </w:r>
    </w:p>
    <w:p>
      <w:pPr>
        <w:pStyle w:val="ListParagraph"/>
        <w:numPr>
          <w:ilvl w:val="0"/>
          <w:numId w:val="3"/>
        </w:numPr>
        <w:spacing w:after="70" w:line="270"/>
      </w:pPr>
      <w:r>
        <w:rPr>
          <w:rFonts w:ascii="Calibri" w:cs="Calibri" w:eastAsia="Calibri" w:hAnsi="Calibri"/>
          <w:color w:val="1A2733"/>
          <w:sz w:val="22"/>
          <w:szCs w:val="22"/>
        </w:rPr>
        <w:t xml:space="preserve">Notificar a quien recibió la certificación si descubre que era incorrecta.</w:t>
      </w:r>
    </w:p>
    <w:p>
      <w:pPr>
        <w:pStyle w:val="ListParagraph"/>
        <w:numPr>
          <w:ilvl w:val="0"/>
          <w:numId w:val="3"/>
        </w:numPr>
        <w:spacing w:after="70" w:line="270"/>
      </w:pPr>
      <w:r>
        <w:rPr>
          <w:rFonts w:ascii="Calibri" w:cs="Calibri" w:eastAsia="Calibri" w:hAnsi="Calibri"/>
          <w:color w:val="1A2733"/>
          <w:sz w:val="22"/>
          <w:szCs w:val="22"/>
        </w:rPr>
        <w:t xml:space="preserve">Cooperar en una verificación.</w:t>
      </w:r>
    </w:p>
    <w:p>
      <w:pPr>
        <w:pBdr>
          <w:top w:val="single" w:color="E6DCC2" w:sz="4" w:space="8"/>
          <w:bottom w:val="single" w:color="E6DCC2" w:sz="4" w:space="8"/>
          <w:left w:val="single" w:color="B07D18" w:sz="18" w:space="14"/>
          <w:right w:val="single" w:color="E6DCC2" w:sz="4" w:space="8"/>
        </w:pBdr>
        <w:shd w:fill="F4EFE0" w:color="auto" w:val="clear"/>
        <w:spacing w:after="150" w:before="120" w:line="276"/>
      </w:pPr>
      <w:r>
        <w:rPr>
          <w:rFonts w:ascii="Calibri" w:cs="Calibri" w:eastAsia="Calibri" w:hAnsi="Calibri"/>
          <w:b/>
          <w:bCs/>
          <w:color w:val="B07D18"/>
          <w:sz w:val="22"/>
          <w:szCs w:val="22"/>
        </w:rPr>
        <w:t xml:space="preserve">Responsabilidad por certificación falsa:  </w:t>
      </w:r>
      <w:r>
        <w:rPr>
          <w:rFonts w:ascii="Calibri" w:cs="Calibri" w:eastAsia="Calibri" w:hAnsi="Calibri"/>
          <w:color w:val="1A2733"/>
          <w:sz w:val="22"/>
          <w:szCs w:val="22"/>
        </w:rPr>
        <w:t xml:space="preserve">recae en quien firma. La auto-certificación traslada el riesgo al que la emite.</w:t>
      </w:r>
    </w:p>
    <w:p>
      <w:pPr>
        <w:pStyle w:val="Heading2"/>
        <w:spacing w:after="100" w:before="240"/>
      </w:pPr>
      <w:r>
        <w:rPr>
          <w:rFonts w:ascii="Georgia" w:cs="Georgia" w:eastAsia="Georgia" w:hAnsi="Georgia"/>
          <w:b/>
          <w:bCs/>
          <w:color w:val="1F5F6B"/>
          <w:sz w:val="25"/>
          <w:szCs w:val="25"/>
        </w:rPr>
        <w:t xml:space="preserve">4. La verificación de origen</w:t>
      </w:r>
    </w:p>
    <w:p>
      <w:pPr>
        <w:spacing w:after="120" w:line="276"/>
      </w:pPr>
      <w:r>
        <w:rPr>
          <w:rFonts w:ascii="Calibri" w:cs="Calibri" w:eastAsia="Calibri" w:hAnsi="Calibri"/>
          <w:color w:val="1A2733"/>
          <w:sz w:val="22"/>
          <w:szCs w:val="22"/>
        </w:rPr>
        <w:t xml:space="preserve">La aduana del país importador puede verificar el origen mediante solicitudes de información escritas, cuestionarios al exportador o productor, y visitas de verificación a sus instalaciones (con consentimiento y notificación previa). El proceso, en concepto: notifica → solicita información o programa visita → da un plazo (recordar que los días son calendario) → evalúa → resuelve, confirmando o negando la preferencia.</w:t>
      </w:r>
    </w:p>
    <w:p>
      <w:pPr>
        <w:pStyle w:val="Heading3"/>
        <w:spacing w:after="70" w:before="160"/>
      </w:pPr>
      <w:r>
        <w:rPr>
          <w:rFonts w:ascii="Georgia" w:cs="Georgia" w:eastAsia="Georgia" w:hAnsi="Georgia"/>
          <w:b/>
          <w:bCs/>
          <w:color w:val="13293D"/>
          <w:sz w:val="21"/>
          <w:szCs w:val="21"/>
        </w:rPr>
        <w:t xml:space="preserve">Consecuencias de una verificación negativa</w:t>
      </w:r>
    </w:p>
    <w:p>
      <w:pPr>
        <w:spacing w:after="120" w:line="276"/>
      </w:pPr>
      <w:r>
        <w:rPr>
          <w:rFonts w:ascii="Calibri" w:cs="Calibri" w:eastAsia="Calibri" w:hAnsi="Calibri"/>
          <w:color w:val="1A2733"/>
          <w:sz w:val="22"/>
          <w:szCs w:val="22"/>
        </w:rPr>
        <w:t xml:space="preserve">Se niega el trato preferencial y se cobran los aranceles que no se pagaron, con posibles intereses y sanciones, de forma retroactiva. Si hay un patrón de conducta de certificaciones falsas de un exportador, la aduana puede negar preferencias futuras a esas mercancías. Casi siempre se pierde por lo mismo: no conservar registros, certificar con criterio equivocado, no responder a tiempo o calcular el VCR sin soporte.</w:t>
      </w:r>
    </w:p>
    <w:p>
      <w:pPr>
        <w:pStyle w:val="Heading2"/>
        <w:spacing w:after="100" w:before="240"/>
      </w:pPr>
      <w:r>
        <w:rPr>
          <w:rFonts w:ascii="Georgia" w:cs="Georgia" w:eastAsia="Georgia" w:hAnsi="Georgia"/>
          <w:b/>
          <w:bCs/>
          <w:color w:val="1F5F6B"/>
          <w:sz w:val="25"/>
          <w:szCs w:val="25"/>
        </w:rPr>
        <w:t xml:space="preserve">5. Resoluciones anticipadas</w:t>
      </w:r>
    </w:p>
    <w:p>
      <w:pPr>
        <w:spacing w:after="120" w:line="276"/>
      </w:pPr>
      <w:r>
        <w:rPr>
          <w:rFonts w:ascii="Calibri" w:cs="Calibri" w:eastAsia="Calibri" w:hAnsi="Calibri"/>
          <w:color w:val="1A2733"/>
          <w:sz w:val="22"/>
          <w:szCs w:val="22"/>
        </w:rPr>
        <w:t xml:space="preserve">Antes de importar, el interesado puede pedir a la aduana un pronunciamiento vinculante sobre, por ejemplo, si una mercancía es originaria o cómo se clasifica. Da certeza previa, es vinculante para la aduana que la emite y reduce el riesgo de una verificación adversa. Solicitarlas bien fundamentadas es un servicio profesional de alto valor.</w:t>
      </w:r>
    </w:p>
    <w:p>
      <w:pPr>
        <w:pStyle w:val="Heading2"/>
        <w:spacing w:after="100" w:before="240"/>
      </w:pPr>
      <w:r>
        <w:rPr>
          <w:rFonts w:ascii="Georgia" w:cs="Georgia" w:eastAsia="Georgia" w:hAnsi="Georgia"/>
          <w:b/>
          <w:bCs/>
          <w:color w:val="1F5F6B"/>
          <w:sz w:val="25"/>
          <w:szCs w:val="25"/>
        </w:rPr>
        <w:t xml:space="preserve">6. Método — certificar y blindar una operación (8 pasos)</w:t>
      </w:r>
    </w:p>
    <w:p>
      <w:pPr>
        <w:pStyle w:val="ListParagraph"/>
        <w:numPr>
          <w:ilvl w:val="0"/>
          <w:numId w:val="2"/>
        </w:numPr>
        <w:spacing w:after="70" w:line="270"/>
      </w:pPr>
      <w:r>
        <w:rPr>
          <w:rFonts w:ascii="Calibri" w:cs="Calibri" w:eastAsia="Calibri" w:hAnsi="Calibri"/>
          <w:color w:val="1A2733"/>
          <w:sz w:val="22"/>
          <w:szCs w:val="22"/>
        </w:rPr>
        <w:t xml:space="preserve">Parte del dictamen de origen (Módulo 3): criterio y HS ya determinados.</w:t>
      </w:r>
    </w:p>
    <w:p>
      <w:pPr>
        <w:pStyle w:val="ListParagraph"/>
        <w:numPr>
          <w:ilvl w:val="0"/>
          <w:numId w:val="2"/>
        </w:numPr>
        <w:spacing w:after="70" w:line="270"/>
      </w:pPr>
      <w:r>
        <w:rPr>
          <w:rFonts w:ascii="Calibri" w:cs="Calibri" w:eastAsia="Calibri" w:hAnsi="Calibri"/>
          <w:color w:val="1A2733"/>
          <w:sz w:val="22"/>
          <w:szCs w:val="22"/>
        </w:rPr>
        <w:t xml:space="preserve">Reúne los soportes (facturas de insumos, hoja de costos para VCR, descripción del proceso).</w:t>
      </w:r>
    </w:p>
    <w:p>
      <w:pPr>
        <w:pStyle w:val="ListParagraph"/>
        <w:numPr>
          <w:ilvl w:val="0"/>
          <w:numId w:val="2"/>
        </w:numPr>
        <w:spacing w:after="70" w:line="270"/>
      </w:pPr>
      <w:r>
        <w:rPr>
          <w:rFonts w:ascii="Calibri" w:cs="Calibri" w:eastAsia="Calibri" w:hAnsi="Calibri"/>
          <w:color w:val="1A2733"/>
          <w:sz w:val="22"/>
          <w:szCs w:val="22"/>
        </w:rPr>
        <w:t xml:space="preserve">Redacta la certificación con todos los elementos mínimos.</w:t>
      </w:r>
    </w:p>
    <w:p>
      <w:pPr>
        <w:pStyle w:val="ListParagraph"/>
        <w:numPr>
          <w:ilvl w:val="0"/>
          <w:numId w:val="2"/>
        </w:numPr>
        <w:spacing w:after="70" w:line="270"/>
      </w:pPr>
      <w:r>
        <w:rPr>
          <w:rFonts w:ascii="Calibri" w:cs="Calibri" w:eastAsia="Calibri" w:hAnsi="Calibri"/>
          <w:color w:val="1A2733"/>
          <w:sz w:val="22"/>
          <w:szCs w:val="22"/>
        </w:rPr>
        <w:t xml:space="preserve">Decide el alcance: embarque único o certificación general (hasta 12 meses).</w:t>
      </w:r>
    </w:p>
    <w:p>
      <w:pPr>
        <w:pStyle w:val="ListParagraph"/>
        <w:numPr>
          <w:ilvl w:val="0"/>
          <w:numId w:val="2"/>
        </w:numPr>
        <w:spacing w:after="70" w:line="270"/>
      </w:pPr>
      <w:r>
        <w:rPr>
          <w:rFonts w:ascii="Calibri" w:cs="Calibri" w:eastAsia="Calibri" w:hAnsi="Calibri"/>
          <w:color w:val="1A2733"/>
          <w:sz w:val="22"/>
          <w:szCs w:val="22"/>
        </w:rPr>
        <w:t xml:space="preserve">Verifica la consistencia entre certificación, factura y demás documentos.</w:t>
      </w:r>
    </w:p>
    <w:p>
      <w:pPr>
        <w:pStyle w:val="ListParagraph"/>
        <w:numPr>
          <w:ilvl w:val="0"/>
          <w:numId w:val="2"/>
        </w:numPr>
        <w:spacing w:after="70" w:line="270"/>
      </w:pPr>
      <w:r>
        <w:rPr>
          <w:rFonts w:ascii="Calibri" w:cs="Calibri" w:eastAsia="Calibri" w:hAnsi="Calibri"/>
          <w:color w:val="1A2733"/>
          <w:sz w:val="22"/>
          <w:szCs w:val="22"/>
        </w:rPr>
        <w:t xml:space="preserve">Archiva todo por el período legal (mínimo 5 años), de forma recuperable.</w:t>
      </w:r>
    </w:p>
    <w:p>
      <w:pPr>
        <w:pStyle w:val="ListParagraph"/>
        <w:numPr>
          <w:ilvl w:val="0"/>
          <w:numId w:val="2"/>
        </w:numPr>
        <w:spacing w:after="70" w:line="270"/>
      </w:pPr>
      <w:r>
        <w:rPr>
          <w:rFonts w:ascii="Calibri" w:cs="Calibri" w:eastAsia="Calibri" w:hAnsi="Calibri"/>
          <w:color w:val="1A2733"/>
          <w:sz w:val="22"/>
          <w:szCs w:val="22"/>
        </w:rPr>
        <w:t xml:space="preserve">Si hay duda o alto riesgo, evalúa pedir una resolución anticipada.</w:t>
      </w:r>
    </w:p>
    <w:p>
      <w:pPr>
        <w:pStyle w:val="ListParagraph"/>
        <w:numPr>
          <w:ilvl w:val="0"/>
          <w:numId w:val="2"/>
        </w:numPr>
        <w:spacing w:after="70" w:line="270"/>
      </w:pPr>
      <w:r>
        <w:rPr>
          <w:rFonts w:ascii="Calibri" w:cs="Calibri" w:eastAsia="Calibri" w:hAnsi="Calibri"/>
          <w:color w:val="1A2733"/>
          <w:sz w:val="22"/>
          <w:szCs w:val="22"/>
        </w:rPr>
        <w:t xml:space="preserve">Prepara el expediente de defensa por si llega una verificación.</w:t>
      </w:r>
    </w:p>
    <w:p>
      <w:pPr>
        <w:pStyle w:val="Heading2"/>
        <w:spacing w:after="100" w:before="240"/>
      </w:pPr>
      <w:r>
        <w:rPr>
          <w:rFonts w:ascii="Georgia" w:cs="Georgia" w:eastAsia="Georgia" w:hAnsi="Georgia"/>
          <w:b/>
          <w:bCs/>
          <w:color w:val="1F5F6B"/>
          <w:sz w:val="25"/>
          <w:szCs w:val="25"/>
        </w:rPr>
        <w:t xml:space="preserve">7. Trampas comunes</w:t>
      </w:r>
    </w:p>
    <w:p>
      <w:pPr>
        <w:pStyle w:val="ListParagraph"/>
        <w:numPr>
          <w:ilvl w:val="0"/>
          <w:numId w:val="3"/>
        </w:numPr>
        <w:spacing w:after="70" w:line="270"/>
      </w:pPr>
      <w:r>
        <w:rPr>
          <w:rFonts w:ascii="Calibri" w:cs="Calibri" w:eastAsia="Calibri" w:hAnsi="Calibri"/>
          <w:color w:val="1A2733"/>
          <w:sz w:val="22"/>
          <w:szCs w:val="22"/>
        </w:rPr>
        <w:t xml:space="preserve">Certificar sin conservar los soportes → nada que mostrar en la verificación.</w:t>
      </w:r>
    </w:p>
    <w:p>
      <w:pPr>
        <w:pStyle w:val="ListParagraph"/>
        <w:numPr>
          <w:ilvl w:val="0"/>
          <w:numId w:val="3"/>
        </w:numPr>
        <w:spacing w:after="70" w:line="270"/>
      </w:pPr>
      <w:r>
        <w:rPr>
          <w:rFonts w:ascii="Calibri" w:cs="Calibri" w:eastAsia="Calibri" w:hAnsi="Calibri"/>
          <w:color w:val="1A2733"/>
          <w:sz w:val="22"/>
          <w:szCs w:val="22"/>
        </w:rPr>
        <w:t xml:space="preserve">Criterio de origen mal declarado (arrastra un error del Módulo 3).</w:t>
      </w:r>
    </w:p>
    <w:p>
      <w:pPr>
        <w:pStyle w:val="ListParagraph"/>
        <w:numPr>
          <w:ilvl w:val="0"/>
          <w:numId w:val="3"/>
        </w:numPr>
        <w:spacing w:after="70" w:line="270"/>
      </w:pPr>
      <w:r>
        <w:rPr>
          <w:rFonts w:ascii="Calibri" w:cs="Calibri" w:eastAsia="Calibri" w:hAnsi="Calibri"/>
          <w:color w:val="1A2733"/>
          <w:sz w:val="22"/>
          <w:szCs w:val="22"/>
        </w:rPr>
        <w:t xml:space="preserve">Incoherencia: HS o descripción distintos entre certificación y factura.</w:t>
      </w:r>
    </w:p>
    <w:p>
      <w:pPr>
        <w:pStyle w:val="ListParagraph"/>
        <w:numPr>
          <w:ilvl w:val="0"/>
          <w:numId w:val="3"/>
        </w:numPr>
        <w:spacing w:after="70" w:line="270"/>
      </w:pPr>
      <w:r>
        <w:rPr>
          <w:rFonts w:ascii="Calibri" w:cs="Calibri" w:eastAsia="Calibri" w:hAnsi="Calibri"/>
          <w:color w:val="1A2733"/>
          <w:sz w:val="22"/>
          <w:szCs w:val="22"/>
        </w:rPr>
        <w:t xml:space="preserve">Usar una certificación general fuera de su período de 12 meses.</w:t>
      </w:r>
    </w:p>
    <w:p>
      <w:pPr>
        <w:pStyle w:val="ListParagraph"/>
        <w:numPr>
          <w:ilvl w:val="0"/>
          <w:numId w:val="3"/>
        </w:numPr>
        <w:spacing w:after="70" w:line="270"/>
      </w:pPr>
      <w:r>
        <w:rPr>
          <w:rFonts w:ascii="Calibri" w:cs="Calibri" w:eastAsia="Calibri" w:hAnsi="Calibri"/>
          <w:color w:val="1A2733"/>
          <w:sz w:val="22"/>
          <w:szCs w:val="22"/>
        </w:rPr>
        <w:t xml:space="preserve">Ignorar los plazos de respuesta (días calendario) en la verificación.</w:t>
      </w:r>
    </w:p>
    <w:p>
      <w:pPr>
        <w:pStyle w:val="Heading2"/>
        <w:spacing w:after="100" w:before="240"/>
      </w:pPr>
      <w:r>
        <w:rPr>
          <w:rFonts w:ascii="Georgia" w:cs="Georgia" w:eastAsia="Georgia" w:hAnsi="Georgia"/>
          <w:b/>
          <w:bCs/>
          <w:color w:val="1F5F6B"/>
          <w:sz w:val="25"/>
          <w:szCs w:val="25"/>
        </w:rPr>
        <w:t xml:space="preserve">8. Glosario mínimo</w:t>
      </w:r>
    </w:p>
    <w:p>
      <w:pPr>
        <w:spacing w:after="60" w:line="264"/>
      </w:pPr>
      <w:r>
        <w:rPr>
          <w:rFonts w:ascii="Calibri" w:cs="Calibri" w:eastAsia="Calibri" w:hAnsi="Calibri"/>
          <w:color w:val="1A2733"/>
          <w:sz w:val="21"/>
          <w:szCs w:val="21"/>
        </w:rPr>
        <w:t xml:space="preserve">Auto-certificación · Certificación de origen · Certificación general (blanket) · Trato arancelario preferencial · Conservación de registros · Verificación de origen · Cuestionario · Visita de verificación · Denegación de preferencia · Patrón de conducta · Resolución anticipada · Intereses y sanciones.</w:t>
      </w:r>
    </w:p>
    <w:p>
      <w:pPr>
        <w:pStyle w:val="Heading2"/>
        <w:spacing w:after="100" w:before="240"/>
      </w:pPr>
      <w:r>
        <w:rPr>
          <w:rFonts w:ascii="Georgia" w:cs="Georgia" w:eastAsia="Georgia" w:hAnsi="Georgia"/>
          <w:b/>
          <w:bCs/>
          <w:color w:val="1F5F6B"/>
          <w:sz w:val="25"/>
          <w:szCs w:val="25"/>
        </w:rPr>
        <w:t xml:space="preserve">9. Lectura guiada</w:t>
      </w:r>
    </w:p>
    <w:p>
      <w:pPr>
        <w:pStyle w:val="ListParagraph"/>
        <w:numPr>
          <w:ilvl w:val="0"/>
          <w:numId w:val="3"/>
        </w:numPr>
        <w:spacing w:after="70" w:line="270"/>
      </w:pPr>
      <w:r>
        <w:rPr>
          <w:rFonts w:ascii="Calibri" w:cs="Calibri" w:eastAsia="Calibri" w:hAnsi="Calibri"/>
          <w:color w:val="1A2733"/>
          <w:sz w:val="22"/>
          <w:szCs w:val="22"/>
        </w:rPr>
        <w:t xml:space="preserve">Capítulo 4, sección de Procedimientos de Origen (aprox. Art. 4.16 en adelante).</w:t>
      </w:r>
    </w:p>
    <w:p>
      <w:pPr>
        <w:pStyle w:val="ListParagraph"/>
        <w:numPr>
          <w:ilvl w:val="0"/>
          <w:numId w:val="3"/>
        </w:numPr>
        <w:spacing w:after="70" w:line="270"/>
      </w:pPr>
      <w:r>
        <w:rPr>
          <w:rFonts w:ascii="Calibri" w:cs="Calibri" w:eastAsia="Calibri" w:hAnsi="Calibri"/>
          <w:color w:val="1A2733"/>
          <w:sz w:val="22"/>
          <w:szCs w:val="22"/>
        </w:rPr>
        <w:t xml:space="preserve">La certificación y su contenido; obligaciones, conservación de registros, verificación y resoluciones anticipadas.</w:t>
      </w:r>
    </w:p>
    <w:p>
      <w:pPr>
        <w:pStyle w:val="ListParagraph"/>
        <w:numPr>
          <w:ilvl w:val="0"/>
          <w:numId w:val="3"/>
        </w:numPr>
        <w:spacing w:after="70" w:line="270"/>
      </w:pPr>
      <w:r>
        <w:rPr>
          <w:rFonts w:ascii="Calibri" w:cs="Calibri" w:eastAsia="Calibri" w:hAnsi="Calibri"/>
          <w:color w:val="1A2733"/>
          <w:sz w:val="22"/>
          <w:szCs w:val="22"/>
        </w:rPr>
        <w:t xml:space="preserve">Nota: el DR-CAFTA no exige un certificado de formato oficial (auto-certificación).</w:t>
      </w:r>
    </w:p>
    <w:p>
      <w:pPr>
        <w:pStyle w:val="Heading2"/>
        <w:spacing w:after="100" w:before="240"/>
      </w:pPr>
      <w:r>
        <w:rPr>
          <w:rFonts w:ascii="Georgia" w:cs="Georgia" w:eastAsia="Georgia" w:hAnsi="Georgia"/>
          <w:b/>
          <w:bCs/>
          <w:color w:val="1F5F6B"/>
          <w:sz w:val="25"/>
          <w:szCs w:val="25"/>
        </w:rPr>
        <w:t xml:space="preserve">10. Entregable</w:t>
      </w:r>
    </w:p>
    <w:p>
      <w:pPr>
        <w:spacing w:after="120" w:line="276"/>
      </w:pPr>
      <w:r>
        <w:rPr>
          <w:rFonts w:ascii="Calibri" w:cs="Calibri" w:eastAsia="Calibri" w:hAnsi="Calibri"/>
          <w:color w:val="1A2733"/>
          <w:sz w:val="22"/>
          <w:szCs w:val="22"/>
        </w:rPr>
        <w:t xml:space="preserve">“Expediente de origen completo de 1 producto”: la certificación redactada con todos los elementos mínimos, la lista de soportes que la respaldan, el cálculo de VCR documentado si aplica, y una hoja de defensa con cómo responder a una verificación.</w:t>
      </w:r>
    </w:p>
    <w:p>
      <w:r>
        <w:br w:type="page"/>
      </w:r>
    </w:p>
    <w:p>
      <w:pPr>
        <w:pStyle w:val="Heading1"/>
        <w:spacing w:after="160" w:before="120"/>
      </w:pPr>
      <w:r>
        <w:rPr>
          <w:rFonts w:ascii="Georgia" w:cs="Georgia" w:eastAsia="Georgia" w:hAnsi="Georgia"/>
          <w:b/>
          <w:bCs/>
          <w:color w:val="13293D"/>
          <w:sz w:val="32"/>
          <w:szCs w:val="32"/>
        </w:rPr>
        <w:t xml:space="preserve">Módulo 5 — Administración aduanera y facilitación (Cap. 5)</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entenderá los compromisos que el DR-CAFTA impone a las aduanas para que el comercio fluya rápido y predecible: despacho ágil, transparencia, gestión de riesgo, procedimientos especiales para envíos expresos, y el derecho del importador a impugnar decisiones aduaneras.</w:t>
      </w:r>
    </w:p>
    <w:p>
      <w:pPr>
        <w:pStyle w:val="Heading2"/>
        <w:spacing w:after="100" w:before="240"/>
      </w:pPr>
      <w:r>
        <w:rPr>
          <w:rFonts w:ascii="Georgia" w:cs="Georgia" w:eastAsia="Georgia" w:hAnsi="Georgia"/>
          <w:b/>
          <w:bCs/>
          <w:color w:val="1F5F6B"/>
          <w:sz w:val="25"/>
          <w:szCs w:val="25"/>
        </w:rPr>
        <w:t xml:space="preserve">Por qué este módulo existe</w:t>
      </w:r>
    </w:p>
    <w:p>
      <w:pPr>
        <w:spacing w:after="120" w:line="276"/>
      </w:pPr>
      <w:r>
        <w:rPr>
          <w:rFonts w:ascii="Calibri" w:cs="Calibri" w:eastAsia="Calibri" w:hAnsi="Calibri"/>
          <w:color w:val="1A2733"/>
          <w:sz w:val="22"/>
          <w:szCs w:val="22"/>
        </w:rPr>
        <w:t xml:space="preserve">Los Capítulos 3 y 4 dan el arancel y el origen, pero de nada sirve una preferencia si la mercancía se atasca en aduana. El Capítulo 5 dice cómo deben comportarse las aduanas para que el beneficio se materialice, y contiene las reglas de envíos expresos que rigen el negocio courier.</w:t>
      </w:r>
    </w:p>
    <w:p>
      <w:pPr>
        <w:pStyle w:val="Heading2"/>
        <w:spacing w:after="100" w:before="240"/>
      </w:pPr>
      <w:r>
        <w:rPr>
          <w:rFonts w:ascii="Georgia" w:cs="Georgia" w:eastAsia="Georgia" w:hAnsi="Georgia"/>
          <w:b/>
          <w:bCs/>
          <w:color w:val="1F5F6B"/>
          <w:sz w:val="25"/>
          <w:szCs w:val="25"/>
        </w:rPr>
        <w:t xml:space="preserve">1. Transparencia y despacho</w:t>
      </w:r>
    </w:p>
    <w:p>
      <w:pPr>
        <w:spacing w:after="120" w:line="276"/>
      </w:pPr>
      <w:r>
        <w:rPr>
          <w:rFonts w:ascii="Calibri" w:cs="Calibri" w:eastAsia="Calibri" w:hAnsi="Calibri"/>
          <w:color w:val="1A2733"/>
          <w:sz w:val="22"/>
          <w:szCs w:val="22"/>
        </w:rPr>
        <w:t xml:space="preserve">Las aduanas deben publicar su normativa (incluso en internet), designar puntos de contacto, dar oportunidad de comentar antes de nuevas reglas y publicar con antelación. En cuanto al despacho, se comprometen a despacharlo en un plazo breve (en lo posible dentro de las 48 horas), permitir el despacho en el punto de llegada, permitir el retiro con garantía antes de la determinación final, y usar procedimientos simplificados con presentación electrónica anticipada.</w:t>
      </w:r>
    </w:p>
    <w:p>
      <w:pPr>
        <w:pStyle w:val="Heading2"/>
        <w:spacing w:after="100" w:before="240"/>
      </w:pPr>
      <w:r>
        <w:rPr>
          <w:rFonts w:ascii="Georgia" w:cs="Georgia" w:eastAsia="Georgia" w:hAnsi="Georgia"/>
          <w:b/>
          <w:bCs/>
          <w:color w:val="1F5F6B"/>
          <w:sz w:val="25"/>
          <w:szCs w:val="25"/>
        </w:rPr>
        <w:t xml:space="preserve">2. Automatización y gestión de riesgo</w:t>
      </w:r>
    </w:p>
    <w:p>
      <w:pPr>
        <w:spacing w:after="120" w:line="276"/>
      </w:pPr>
      <w:r>
        <w:rPr>
          <w:rFonts w:ascii="Calibri" w:cs="Calibri" w:eastAsia="Calibri" w:hAnsi="Calibri"/>
          <w:color w:val="1A2733"/>
          <w:sz w:val="22"/>
          <w:szCs w:val="22"/>
        </w:rPr>
        <w:t xml:space="preserve">El capítulo promueve el uso de sistemas electrónicos y la administración de riesgo: en lugar de revisar todo, la aduana concentra la inspección en los envíos de alto riesgo y agiliza los de bajo riesgo (canal verde/amarillo/rojo). Un buen expediente y un historial de cumplimiento bajan el perfil de riesgo del cliente y aceleran su despacho. En RD es la lógica del SIGA.</w:t>
      </w:r>
    </w:p>
    <w:p>
      <w:pPr>
        <w:pStyle w:val="Heading2"/>
        <w:spacing w:after="100" w:before="240"/>
      </w:pPr>
      <w:r>
        <w:rPr>
          <w:rFonts w:ascii="Georgia" w:cs="Georgia" w:eastAsia="Georgia" w:hAnsi="Georgia"/>
          <w:b/>
          <w:bCs/>
          <w:color w:val="1F5F6B"/>
          <w:sz w:val="25"/>
          <w:szCs w:val="25"/>
        </w:rPr>
        <w:t xml:space="preserve">3. Envíos expresos (courier)</w:t>
      </w:r>
    </w:p>
    <w:p>
      <w:pPr>
        <w:spacing w:after="120" w:line="276"/>
      </w:pPr>
      <w:r>
        <w:rPr>
          <w:rFonts w:ascii="Calibri" w:cs="Calibri" w:eastAsia="Calibri" w:hAnsi="Calibri"/>
          <w:color w:val="1A2733"/>
          <w:sz w:val="22"/>
          <w:szCs w:val="22"/>
        </w:rPr>
        <w:t xml:space="preserve">El tratado obliga a mantener procedimientos acelerados para envíos de entrega rápida, sin renunciar al control: despacho expedito (en lo posible dentro de 6 horas tras la documentación), documentación simplificada electrónica y anticipada, un solo manifiesto para todos los envíos de la empresa, y un umbral de minimis (valor por debajo del cual no se cobran aranceles). El monto exacto del minimis lo fija la normativa de cada país.</w:t>
      </w:r>
    </w:p>
    <w:p>
      <w:pPr>
        <w:pStyle w:val="Heading2"/>
        <w:spacing w:after="100" w:before="240"/>
      </w:pPr>
      <w:r>
        <w:rPr>
          <w:rFonts w:ascii="Georgia" w:cs="Georgia" w:eastAsia="Georgia" w:hAnsi="Georgia"/>
          <w:b/>
          <w:bCs/>
          <w:color w:val="1F5F6B"/>
          <w:sz w:val="25"/>
          <w:szCs w:val="25"/>
        </w:rPr>
        <w:t xml:space="preserve">4. Certeza y defensa del operador</w:t>
      </w:r>
    </w:p>
    <w:p>
      <w:pPr>
        <w:pStyle w:val="ListParagraph"/>
        <w:numPr>
          <w:ilvl w:val="0"/>
          <w:numId w:val="3"/>
        </w:numPr>
        <w:spacing w:after="70" w:line="270"/>
      </w:pPr>
      <w:r>
        <w:rPr>
          <w:rFonts w:ascii="Calibri" w:cs="Calibri" w:eastAsia="Calibri" w:hAnsi="Calibri"/>
          <w:b/>
          <w:bCs/>
          <w:color w:val="13293D"/>
          <w:sz w:val="22"/>
          <w:szCs w:val="22"/>
        </w:rPr>
        <w:t xml:space="preserve">Resoluciones anticipadas: </w:t>
      </w:r>
      <w:r>
        <w:rPr>
          <w:rFonts w:ascii="Calibri" w:cs="Calibri" w:eastAsia="Calibri" w:hAnsi="Calibri"/>
          <w:color w:val="1A2733"/>
          <w:sz w:val="22"/>
          <w:szCs w:val="22"/>
        </w:rPr>
        <w:t xml:space="preserve">pronunciamiento vinculante antes de importar sobre clasificación y valoración.</w:t>
      </w:r>
    </w:p>
    <w:p>
      <w:pPr>
        <w:pStyle w:val="ListParagraph"/>
        <w:numPr>
          <w:ilvl w:val="0"/>
          <w:numId w:val="3"/>
        </w:numPr>
        <w:spacing w:after="70" w:line="270"/>
      </w:pPr>
      <w:r>
        <w:rPr>
          <w:rFonts w:ascii="Calibri" w:cs="Calibri" w:eastAsia="Calibri" w:hAnsi="Calibri"/>
          <w:b/>
          <w:bCs/>
          <w:color w:val="13293D"/>
          <w:sz w:val="22"/>
          <w:szCs w:val="22"/>
        </w:rPr>
        <w:t xml:space="preserve">Revisión y apelación: </w:t>
      </w:r>
      <w:r>
        <w:rPr>
          <w:rFonts w:ascii="Calibri" w:cs="Calibri" w:eastAsia="Calibri" w:hAnsi="Calibri"/>
          <w:color w:val="1A2733"/>
          <w:sz w:val="22"/>
          <w:szCs w:val="22"/>
        </w:rPr>
        <w:t xml:space="preserve">toda determinación aduanera puede impugnarse: instancia administrativa y luego revisión judicial o independiente.</w:t>
      </w:r>
    </w:p>
    <w:p>
      <w:pPr>
        <w:pStyle w:val="ListParagraph"/>
        <w:numPr>
          <w:ilvl w:val="0"/>
          <w:numId w:val="3"/>
        </w:numPr>
        <w:spacing w:after="70" w:line="270"/>
      </w:pPr>
      <w:r>
        <w:rPr>
          <w:rFonts w:ascii="Calibri" w:cs="Calibri" w:eastAsia="Calibri" w:hAnsi="Calibri"/>
          <w:b/>
          <w:bCs/>
          <w:color w:val="13293D"/>
          <w:sz w:val="22"/>
          <w:szCs w:val="22"/>
        </w:rPr>
        <w:t xml:space="preserve">Sanciones proporcionales: </w:t>
      </w:r>
      <w:r>
        <w:rPr>
          <w:rFonts w:ascii="Calibri" w:cs="Calibri" w:eastAsia="Calibri" w:hAnsi="Calibri"/>
          <w:color w:val="1A2733"/>
          <w:sz w:val="22"/>
          <w:szCs w:val="22"/>
        </w:rPr>
        <w:t xml:space="preserve">deben aplicarse de forma proporcional y no arbitraria.</w:t>
      </w:r>
    </w:p>
    <w:p>
      <w:pPr>
        <w:pStyle w:val="ListParagraph"/>
        <w:numPr>
          <w:ilvl w:val="0"/>
          <w:numId w:val="3"/>
        </w:numPr>
        <w:spacing w:after="70" w:line="270"/>
      </w:pPr>
      <w:r>
        <w:rPr>
          <w:rFonts w:ascii="Calibri" w:cs="Calibri" w:eastAsia="Calibri" w:hAnsi="Calibri"/>
          <w:b/>
          <w:bCs/>
          <w:color w:val="13293D"/>
          <w:sz w:val="22"/>
          <w:szCs w:val="22"/>
        </w:rPr>
        <w:t xml:space="preserve">Confidencialidad: </w:t>
      </w:r>
      <w:r>
        <w:rPr>
          <w:rFonts w:ascii="Calibri" w:cs="Calibri" w:eastAsia="Calibri" w:hAnsi="Calibri"/>
          <w:color w:val="1A2733"/>
          <w:sz w:val="22"/>
          <w:szCs w:val="22"/>
        </w:rPr>
        <w:t xml:space="preserve">la información comercial entregada a la aduana debe protegerse.</w:t>
      </w:r>
    </w:p>
    <w:p>
      <w:pPr>
        <w:pStyle w:val="Heading2"/>
        <w:spacing w:after="100" w:before="240"/>
      </w:pPr>
      <w:r>
        <w:rPr>
          <w:rFonts w:ascii="Georgia" w:cs="Georgia" w:eastAsia="Georgia" w:hAnsi="Georgia"/>
          <w:b/>
          <w:bCs/>
          <w:color w:val="1F5F6B"/>
          <w:sz w:val="25"/>
          <w:szCs w:val="25"/>
        </w:rPr>
        <w:t xml:space="preserve">5. Cooperación aduanera</w:t>
      </w:r>
    </w:p>
    <w:p>
      <w:pPr>
        <w:spacing w:after="120" w:line="276"/>
      </w:pPr>
      <w:r>
        <w:rPr>
          <w:rFonts w:ascii="Calibri" w:cs="Calibri" w:eastAsia="Calibri" w:hAnsi="Calibri"/>
          <w:color w:val="1A2733"/>
          <w:sz w:val="22"/>
          <w:szCs w:val="22"/>
        </w:rPr>
        <w:t xml:space="preserve">Las aduanas de las Partes cooperan e intercambian información, incluyendo asistencia para verificar origen y combatir el fraude, y hay creación de capacidades (asistencia técnica). Es el canal por el que, en una verificación de origen, la aduana de RD puede pedir información a la aduana de otro país miembro.</w:t>
      </w:r>
    </w:p>
    <w:p>
      <w:pPr>
        <w:pStyle w:val="Heading2"/>
        <w:spacing w:after="100" w:before="240"/>
      </w:pPr>
      <w:r>
        <w:rPr>
          <w:rFonts w:ascii="Georgia" w:cs="Georgia" w:eastAsia="Georgia" w:hAnsi="Georgia"/>
          <w:b/>
          <w:bCs/>
          <w:color w:val="1F5F6B"/>
          <w:sz w:val="25"/>
          <w:szCs w:val="25"/>
        </w:rPr>
        <w:t xml:space="preserve">6. Método — lente operativo</w:t>
      </w:r>
    </w:p>
    <w:p>
      <w:pPr>
        <w:pStyle w:val="ListParagraph"/>
        <w:numPr>
          <w:ilvl w:val="0"/>
          <w:numId w:val="2"/>
        </w:numPr>
        <w:spacing w:after="70" w:line="270"/>
      </w:pPr>
      <w:r>
        <w:rPr>
          <w:rFonts w:ascii="Calibri" w:cs="Calibri" w:eastAsia="Calibri" w:hAnsi="Calibri"/>
          <w:color w:val="1A2733"/>
          <w:sz w:val="22"/>
          <w:szCs w:val="22"/>
        </w:rPr>
        <w:t xml:space="preserve">Identifica la vía de ingreso (carga general vs. envío expreso).</w:t>
      </w:r>
    </w:p>
    <w:p>
      <w:pPr>
        <w:pStyle w:val="ListParagraph"/>
        <w:numPr>
          <w:ilvl w:val="0"/>
          <w:numId w:val="2"/>
        </w:numPr>
        <w:spacing w:after="70" w:line="270"/>
      </w:pPr>
      <w:r>
        <w:rPr>
          <w:rFonts w:ascii="Calibri" w:cs="Calibri" w:eastAsia="Calibri" w:hAnsi="Calibri"/>
          <w:color w:val="1A2733"/>
          <w:sz w:val="22"/>
          <w:szCs w:val="22"/>
        </w:rPr>
        <w:t xml:space="preserve">Verifica el umbral de minimis si es courier.</w:t>
      </w:r>
    </w:p>
    <w:p>
      <w:pPr>
        <w:pStyle w:val="ListParagraph"/>
        <w:numPr>
          <w:ilvl w:val="0"/>
          <w:numId w:val="2"/>
        </w:numPr>
        <w:spacing w:after="70" w:line="270"/>
      </w:pPr>
      <w:r>
        <w:rPr>
          <w:rFonts w:ascii="Calibri" w:cs="Calibri" w:eastAsia="Calibri" w:hAnsi="Calibri"/>
          <w:color w:val="1A2733"/>
          <w:sz w:val="22"/>
          <w:szCs w:val="22"/>
        </w:rPr>
        <w:t xml:space="preserve">Prepara documentación anticipada y electrónica.</w:t>
      </w:r>
    </w:p>
    <w:p>
      <w:pPr>
        <w:pStyle w:val="ListParagraph"/>
        <w:numPr>
          <w:ilvl w:val="0"/>
          <w:numId w:val="2"/>
        </w:numPr>
        <w:spacing w:after="70" w:line="270"/>
      </w:pPr>
      <w:r>
        <w:rPr>
          <w:rFonts w:ascii="Calibri" w:cs="Calibri" w:eastAsia="Calibri" w:hAnsi="Calibri"/>
          <w:color w:val="1A2733"/>
          <w:sz w:val="22"/>
          <w:szCs w:val="22"/>
        </w:rPr>
        <w:t xml:space="preserve">Evalúa el perfil de riesgo del cliente/embarque.</w:t>
      </w:r>
    </w:p>
    <w:p>
      <w:pPr>
        <w:pStyle w:val="ListParagraph"/>
        <w:numPr>
          <w:ilvl w:val="0"/>
          <w:numId w:val="2"/>
        </w:numPr>
        <w:spacing w:after="70" w:line="270"/>
      </w:pPr>
      <w:r>
        <w:rPr>
          <w:rFonts w:ascii="Calibri" w:cs="Calibri" w:eastAsia="Calibri" w:hAnsi="Calibri"/>
          <w:color w:val="1A2733"/>
          <w:sz w:val="22"/>
          <w:szCs w:val="22"/>
        </w:rPr>
        <w:t xml:space="preserve">Considera una resolución anticipada si hay duda de clasificación o valor.</w:t>
      </w:r>
    </w:p>
    <w:p>
      <w:pPr>
        <w:pStyle w:val="ListParagraph"/>
        <w:numPr>
          <w:ilvl w:val="0"/>
          <w:numId w:val="2"/>
        </w:numPr>
        <w:spacing w:after="70" w:line="270"/>
      </w:pPr>
      <w:r>
        <w:rPr>
          <w:rFonts w:ascii="Calibri" w:cs="Calibri" w:eastAsia="Calibri" w:hAnsi="Calibri"/>
          <w:color w:val="1A2733"/>
          <w:sz w:val="22"/>
          <w:szCs w:val="22"/>
        </w:rPr>
        <w:t xml:space="preserve">Si la determinación es adversa, apela (administrativa y luego judicial), en plazo.</w:t>
      </w:r>
    </w:p>
    <w:p>
      <w:pPr>
        <w:pStyle w:val="Heading2"/>
        <w:spacing w:after="100" w:before="240"/>
      </w:pPr>
      <w:r>
        <w:rPr>
          <w:rFonts w:ascii="Georgia" w:cs="Georgia" w:eastAsia="Georgia" w:hAnsi="Georgia"/>
          <w:b/>
          <w:bCs/>
          <w:color w:val="1F5F6B"/>
          <w:sz w:val="25"/>
          <w:szCs w:val="25"/>
        </w:rPr>
        <w:t xml:space="preserve">7. Trampas comunes</w:t>
      </w:r>
    </w:p>
    <w:p>
      <w:pPr>
        <w:pStyle w:val="ListParagraph"/>
        <w:numPr>
          <w:ilvl w:val="0"/>
          <w:numId w:val="3"/>
        </w:numPr>
        <w:spacing w:after="70" w:line="270"/>
      </w:pPr>
      <w:r>
        <w:rPr>
          <w:rFonts w:ascii="Calibri" w:cs="Calibri" w:eastAsia="Calibri" w:hAnsi="Calibri"/>
          <w:color w:val="1A2733"/>
          <w:sz w:val="22"/>
          <w:szCs w:val="22"/>
        </w:rPr>
        <w:t xml:space="preserve">No presentar información anticipada y perder el despacho rápido.</w:t>
      </w:r>
    </w:p>
    <w:p>
      <w:pPr>
        <w:pStyle w:val="ListParagraph"/>
        <w:numPr>
          <w:ilvl w:val="0"/>
          <w:numId w:val="3"/>
        </w:numPr>
        <w:spacing w:after="70" w:line="270"/>
      </w:pPr>
      <w:r>
        <w:rPr>
          <w:rFonts w:ascii="Calibri" w:cs="Calibri" w:eastAsia="Calibri" w:hAnsi="Calibri"/>
          <w:color w:val="1A2733"/>
          <w:sz w:val="22"/>
          <w:szCs w:val="22"/>
        </w:rPr>
        <w:t xml:space="preserve">Desconocer el umbral de minimis vigente → cobrar o pagar de más.</w:t>
      </w:r>
    </w:p>
    <w:p>
      <w:pPr>
        <w:pStyle w:val="ListParagraph"/>
        <w:numPr>
          <w:ilvl w:val="0"/>
          <w:numId w:val="3"/>
        </w:numPr>
        <w:spacing w:after="70" w:line="270"/>
      </w:pPr>
      <w:r>
        <w:rPr>
          <w:rFonts w:ascii="Calibri" w:cs="Calibri" w:eastAsia="Calibri" w:hAnsi="Calibri"/>
          <w:color w:val="1A2733"/>
          <w:sz w:val="22"/>
          <w:szCs w:val="22"/>
        </w:rPr>
        <w:t xml:space="preserve">Aceptar una reclasificación o ajuste de valor sin apelar.</w:t>
      </w:r>
    </w:p>
    <w:p>
      <w:pPr>
        <w:pStyle w:val="ListParagraph"/>
        <w:numPr>
          <w:ilvl w:val="0"/>
          <w:numId w:val="3"/>
        </w:numPr>
        <w:spacing w:after="70" w:line="270"/>
      </w:pPr>
      <w:r>
        <w:rPr>
          <w:rFonts w:ascii="Calibri" w:cs="Calibri" w:eastAsia="Calibri" w:hAnsi="Calibri"/>
          <w:color w:val="1A2733"/>
          <w:sz w:val="22"/>
          <w:szCs w:val="22"/>
        </w:rPr>
        <w:t xml:space="preserve">Ignorar las resoluciones anticipadas en operaciones dudosas de alto monto.</w:t>
      </w:r>
    </w:p>
    <w:p>
      <w:pPr>
        <w:pStyle w:val="ListParagraph"/>
        <w:numPr>
          <w:ilvl w:val="0"/>
          <w:numId w:val="3"/>
        </w:numPr>
        <w:spacing w:after="70" w:line="270"/>
      </w:pPr>
      <w:r>
        <w:rPr>
          <w:rFonts w:ascii="Calibri" w:cs="Calibri" w:eastAsia="Calibri" w:hAnsi="Calibri"/>
          <w:color w:val="1A2733"/>
          <w:sz w:val="22"/>
          <w:szCs w:val="22"/>
        </w:rPr>
        <w:t xml:space="preserve">Confundir facilitación con ausencia de control: la aduana sigue inspeccionando por riesgo.</w:t>
      </w:r>
    </w:p>
    <w:p>
      <w:pPr>
        <w:pStyle w:val="Heading2"/>
        <w:spacing w:after="100" w:before="240"/>
      </w:pPr>
      <w:r>
        <w:rPr>
          <w:rFonts w:ascii="Georgia" w:cs="Georgia" w:eastAsia="Georgia" w:hAnsi="Georgia"/>
          <w:b/>
          <w:bCs/>
          <w:color w:val="1F5F6B"/>
          <w:sz w:val="25"/>
          <w:szCs w:val="25"/>
        </w:rPr>
        <w:t xml:space="preserve">8. Glosario mínimo</w:t>
      </w:r>
    </w:p>
    <w:p>
      <w:pPr>
        <w:spacing w:after="60" w:line="264"/>
      </w:pPr>
      <w:r>
        <w:rPr>
          <w:rFonts w:ascii="Calibri" w:cs="Calibri" w:eastAsia="Calibri" w:hAnsi="Calibri"/>
          <w:color w:val="1A2733"/>
          <w:sz w:val="21"/>
          <w:szCs w:val="21"/>
        </w:rPr>
        <w:t xml:space="preserve">Facilitación del comercio · Despacho / levante · Presentación anticipada · Retiro con garantía · Automatización · Administración de riesgo · Canal verde / rojo · Envío expreso (courier) · Umbral de minimis · Manifiesto único · Resolución anticipada · Revisión y apelación · Cooperación aduanera.</w:t>
      </w:r>
    </w:p>
    <w:p>
      <w:pPr>
        <w:pStyle w:val="Heading2"/>
        <w:spacing w:after="100" w:before="240"/>
      </w:pPr>
      <w:r>
        <w:rPr>
          <w:rFonts w:ascii="Georgia" w:cs="Georgia" w:eastAsia="Georgia" w:hAnsi="Georgia"/>
          <w:b/>
          <w:bCs/>
          <w:color w:val="1F5F6B"/>
          <w:sz w:val="25"/>
          <w:szCs w:val="25"/>
        </w:rPr>
        <w:t xml:space="preserve">9. Lectura guiada</w:t>
      </w:r>
    </w:p>
    <w:p>
      <w:pPr>
        <w:pStyle w:val="ListParagraph"/>
        <w:numPr>
          <w:ilvl w:val="0"/>
          <w:numId w:val="3"/>
        </w:numPr>
        <w:spacing w:after="70" w:line="270"/>
      </w:pPr>
      <w:r>
        <w:rPr>
          <w:rFonts w:ascii="Calibri" w:cs="Calibri" w:eastAsia="Calibri" w:hAnsi="Calibri"/>
          <w:color w:val="1A2733"/>
          <w:sz w:val="22"/>
          <w:szCs w:val="22"/>
        </w:rPr>
        <w:t xml:space="preserve">Capítulo 5 completo (más corto y operativo que el 4).</w:t>
      </w:r>
    </w:p>
    <w:p>
      <w:pPr>
        <w:pStyle w:val="ListParagraph"/>
        <w:numPr>
          <w:ilvl w:val="0"/>
          <w:numId w:val="3"/>
        </w:numPr>
        <w:spacing w:after="70" w:line="270"/>
      </w:pPr>
      <w:r>
        <w:rPr>
          <w:rFonts w:ascii="Calibri" w:cs="Calibri" w:eastAsia="Calibri" w:hAnsi="Calibri"/>
          <w:color w:val="1A2733"/>
          <w:sz w:val="22"/>
          <w:szCs w:val="22"/>
        </w:rPr>
        <w:t xml:space="preserve">Subraya el artículo de envíos de entrega rápida.</w:t>
      </w:r>
    </w:p>
    <w:p>
      <w:pPr>
        <w:pStyle w:val="ListParagraph"/>
        <w:numPr>
          <w:ilvl w:val="0"/>
          <w:numId w:val="3"/>
        </w:numPr>
        <w:spacing w:after="70" w:line="270"/>
      </w:pPr>
      <w:r>
        <w:rPr>
          <w:rFonts w:ascii="Calibri" w:cs="Calibri" w:eastAsia="Calibri" w:hAnsi="Calibri"/>
          <w:color w:val="1A2733"/>
          <w:sz w:val="22"/>
          <w:szCs w:val="22"/>
        </w:rPr>
        <w:t xml:space="preserve">Contrasta con RD: cómo el SIGA implementa estos compromisos.</w:t>
      </w:r>
    </w:p>
    <w:p>
      <w:pPr>
        <w:pStyle w:val="Heading2"/>
        <w:spacing w:after="100" w:before="240"/>
      </w:pPr>
      <w:r>
        <w:rPr>
          <w:rFonts w:ascii="Georgia" w:cs="Georgia" w:eastAsia="Georgia" w:hAnsi="Georgia"/>
          <w:b/>
          <w:bCs/>
          <w:color w:val="1F5F6B"/>
          <w:sz w:val="25"/>
          <w:szCs w:val="25"/>
        </w:rPr>
        <w:t xml:space="preserve">10. Entregable</w:t>
      </w:r>
    </w:p>
    <w:p>
      <w:pPr>
        <w:spacing w:after="120" w:line="276"/>
      </w:pPr>
      <w:r>
        <w:rPr>
          <w:rFonts w:ascii="Calibri" w:cs="Calibri" w:eastAsia="Calibri" w:hAnsi="Calibri"/>
          <w:color w:val="1A2733"/>
          <w:sz w:val="22"/>
          <w:szCs w:val="22"/>
        </w:rPr>
        <w:t xml:space="preserve">“Radiografía de un despacho bajo el tratado”: toma un caso real de importación y documenta la vía de ingreso, si es envío expreso, el umbral de minimis vigente, qué información anticipada se presenta, qué canal de riesgo tocó y, si hubo determinación adversa, qué recurso procedería y en qué plazo.</w:t>
      </w:r>
    </w:p>
    <w:p>
      <w:r>
        <w:br w:type="page"/>
      </w:r>
    </w:p>
    <w:p>
      <w:pPr>
        <w:pStyle w:val="Heading1"/>
        <w:spacing w:after="160" w:before="120"/>
      </w:pPr>
      <w:r>
        <w:rPr>
          <w:rFonts w:ascii="Georgia" w:cs="Georgia" w:eastAsia="Georgia" w:hAnsi="Georgia"/>
          <w:b/>
          <w:bCs/>
          <w:color w:val="13293D"/>
          <w:sz w:val="32"/>
          <w:szCs w:val="32"/>
        </w:rPr>
        <w:t xml:space="preserve">Módulo 6 — Barreras no arancelarias: MSF y OTC (Cap. 6 y 7)</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entenderá por qué un producto puede entrar “libre” según el tratado y aun así toparse con un muro de permisos, registros y requisitos técnicos, y sabrá distinguir qué armoniza el tratado y qué deja en manos de cada país. Es la base conceptual de la clasificación de dificultad de entrada (fácil/medio/difícil).</w:t>
      </w:r>
    </w:p>
    <w:p>
      <w:pPr>
        <w:pStyle w:val="Heading2"/>
        <w:spacing w:after="100" w:before="240"/>
      </w:pPr>
      <w:r>
        <w:rPr>
          <w:rFonts w:ascii="Georgia" w:cs="Georgia" w:eastAsia="Georgia" w:hAnsi="Georgia"/>
          <w:b/>
          <w:bCs/>
          <w:color w:val="1F5F6B"/>
          <w:sz w:val="25"/>
          <w:szCs w:val="25"/>
        </w:rPr>
        <w:t xml:space="preserve">Por qué este módulo existe</w:t>
      </w:r>
    </w:p>
    <w:p>
      <w:pPr>
        <w:spacing w:after="120" w:line="276"/>
      </w:pPr>
      <w:r>
        <w:rPr>
          <w:rFonts w:ascii="Calibri" w:cs="Calibri" w:eastAsia="Calibri" w:hAnsi="Calibri"/>
          <w:color w:val="1A2733"/>
          <w:sz w:val="22"/>
          <w:szCs w:val="22"/>
        </w:rPr>
        <w:t xml:space="preserve">Aunque el tratado dicte libre comercio, cada país mantiene sus reglas sanitarias, fitosanitarias y técnicas. El DR-CAFTA baja el arancel, pero no elimina que un alimento tenga registro sanitario, que una planta traiga certificado fitosanitario o que un electrodoméstico cumpla una norma. Para muchos productos, esa es la barrera real.</w:t>
      </w:r>
    </w:p>
    <w:p>
      <w:pPr>
        <w:pBdr>
          <w:top w:val="single" w:color="E6DCC2" w:sz="4" w:space="8"/>
          <w:bottom w:val="single" w:color="E6DCC2" w:sz="4" w:space="8"/>
          <w:left w:val="single" w:color="B07D18" w:sz="18" w:space="14"/>
          <w:right w:val="single" w:color="E6DCC2" w:sz="4" w:space="8"/>
        </w:pBdr>
        <w:shd w:fill="F4EFE0" w:color="auto" w:val="clear"/>
        <w:spacing w:after="150" w:before="120" w:line="276"/>
      </w:pPr>
      <w:r>
        <w:rPr>
          <w:rFonts w:ascii="Calibri" w:cs="Calibri" w:eastAsia="Calibri" w:hAnsi="Calibri"/>
          <w:b/>
          <w:bCs/>
          <w:color w:val="B07D18"/>
          <w:sz w:val="22"/>
          <w:szCs w:val="22"/>
        </w:rPr>
        <w:t xml:space="preserve">La distinción que hay que fijar:  </w:t>
      </w:r>
      <w:r>
        <w:rPr>
          <w:rFonts w:ascii="Calibri" w:cs="Calibri" w:eastAsia="Calibri" w:hAnsi="Calibri"/>
          <w:color w:val="1A2733"/>
          <w:sz w:val="22"/>
          <w:szCs w:val="22"/>
        </w:rPr>
        <w:t xml:space="preserve">el tratado SÍ armoniza los aranceles (Cap. 3), pero NO armoniza los requisitos sanitarios y técnicos: pone disciplinas, pero cada país conserva sus reglas. Por eso siguen siendo distintas país por país, y por eso el clasificador de dificultad tiene sentido.</w:t>
      </w:r>
    </w:p>
    <w:p>
      <w:pPr>
        <w:pStyle w:val="Heading2"/>
        <w:spacing w:after="100" w:before="240"/>
      </w:pPr>
      <w:r>
        <w:rPr>
          <w:rFonts w:ascii="Georgia" w:cs="Georgia" w:eastAsia="Georgia" w:hAnsi="Georgia"/>
          <w:b/>
          <w:bCs/>
          <w:color w:val="1F5F6B"/>
          <w:sz w:val="25"/>
          <w:szCs w:val="25"/>
        </w:rPr>
        <w:t xml:space="preserve">1. Capítulo 6 — Medidas Sanitarias y Fitosanitarias (MSF)</w:t>
      </w:r>
    </w:p>
    <w:p>
      <w:pPr>
        <w:spacing w:after="120" w:line="276"/>
      </w:pPr>
      <w:r>
        <w:rPr>
          <w:rFonts w:ascii="Calibri" w:cs="Calibri" w:eastAsia="Calibri" w:hAnsi="Calibri"/>
          <w:color w:val="1A2733"/>
          <w:sz w:val="22"/>
          <w:szCs w:val="22"/>
        </w:rPr>
        <w:t xml:space="preserve">Medidas para proteger la vida y salud humana, animal y vegetal frente a plagas, enfermedades, contaminantes o toxinas (certificado zoosanitario, certificado fitosanitario, inocuidad, cuarentenas). Enfoque del DR-CAFTA: reafirma el Acuerdo MSF de la OMC (no crea un régimen nuevo); su parte sustantiva no va al panel de controversias del tratado; y crea un Comité de Asuntos Sanitarios y Fitosanitarios. Principios del Acuerdo MSF-OMC: base científica y evaluación de riesgo, no discriminación, equivalencia, regionalización (zonas libres de plagas) y transparencia.</w:t>
      </w:r>
    </w:p>
    <w:p>
      <w:pPr>
        <w:pStyle w:val="Heading2"/>
        <w:spacing w:after="100" w:before="240"/>
      </w:pPr>
      <w:r>
        <w:rPr>
          <w:rFonts w:ascii="Georgia" w:cs="Georgia" w:eastAsia="Georgia" w:hAnsi="Georgia"/>
          <w:b/>
          <w:bCs/>
          <w:color w:val="1F5F6B"/>
          <w:sz w:val="25"/>
          <w:szCs w:val="25"/>
        </w:rPr>
        <w:t xml:space="preserve">2. Capítulo 7 — Obstáculos Técnicos al Comercio (OTC)</w:t>
      </w:r>
    </w:p>
    <w:p>
      <w:pPr>
        <w:spacing w:after="120" w:line="276"/>
      </w:pPr>
      <w:r>
        <w:rPr>
          <w:rFonts w:ascii="Calibri" w:cs="Calibri" w:eastAsia="Calibri" w:hAnsi="Calibri"/>
          <w:color w:val="1A2733"/>
          <w:sz w:val="22"/>
          <w:szCs w:val="22"/>
        </w:rPr>
        <w:t xml:space="preserve">Requisitos técnicos no sanitarios: normas de calidad, etiquetado, seguridad, y los procedimientos para verificar su cumplimiento (normas eléctricas, etiquetado obligatorio, seguridad de juguetes). Enfoque del DR-CAFTA: se apoya en el Acuerdo OTC de la OMC; promueve que las medidas no creen obstáculos innecesarios y se basen en normas internacionales; impulsa la aceptación de resultados de evaluación de la conformidad entre Partes; exige transparencia; y crea un Comité OTC. Conceptos clave: norma (voluntaria) vs. reglamento técnico (obligatorio); evaluación de la conformidad; etiquetado.</w:t>
      </w:r>
    </w:p>
    <w:p>
      <w:pPr>
        <w:pStyle w:val="Heading2"/>
        <w:spacing w:after="100" w:before="240"/>
      </w:pPr>
      <w:r>
        <w:rPr>
          <w:rFonts w:ascii="Georgia" w:cs="Georgia" w:eastAsia="Georgia" w:hAnsi="Georgia"/>
          <w:b/>
          <w:bCs/>
          <w:color w:val="1F5F6B"/>
          <w:sz w:val="25"/>
          <w:szCs w:val="25"/>
        </w:rPr>
        <w:t xml:space="preserve">3. Por qué genera dificultad de entrada</w:t>
      </w:r>
    </w:p>
    <w:p>
      <w:pPr>
        <w:spacing w:after="120" w:line="276"/>
      </w:pPr>
      <w:r>
        <w:rPr>
          <w:rFonts w:ascii="Calibri" w:cs="Calibri" w:eastAsia="Calibri" w:hAnsi="Calibri"/>
          <w:color w:val="1A2733"/>
          <w:sz w:val="22"/>
          <w:szCs w:val="22"/>
        </w:rPr>
        <w:t xml:space="preserve">Aunque el arancel sea 0%, un producto puede enfrentar registro o permiso previo ante una agencia nacional; certificados que acompañan el embarque (fitosanitario, zoosanitario, de libre venta); análisis de laboratorio o inspección física; etiquetado específico del país importador; y la intervención de múltiples agencias, cada una con su trámite, costo y plazo. Y todo esto varía por país y por producto, porque el tratado no lo armonizó. Un mismo producto puede ser fácil de entrar a un país y difícil a otro: esa variabilidad es lo que captura un sistema de clasificación de dificultad.</w:t>
      </w:r>
    </w:p>
    <w:p>
      <w:pPr>
        <w:pStyle w:val="Heading2"/>
        <w:spacing w:after="100" w:before="240"/>
      </w:pPr>
      <w:r>
        <w:rPr>
          <w:rFonts w:ascii="Georgia" w:cs="Georgia" w:eastAsia="Georgia" w:hAnsi="Georgia"/>
          <w:b/>
          <w:bCs/>
          <w:color w:val="1F5F6B"/>
          <w:sz w:val="25"/>
          <w:szCs w:val="25"/>
        </w:rPr>
        <w:t xml:space="preserve">4. Método — evaluar las barreras de un producto</w:t>
      </w:r>
    </w:p>
    <w:p>
      <w:pPr>
        <w:pStyle w:val="ListParagraph"/>
        <w:numPr>
          <w:ilvl w:val="0"/>
          <w:numId w:val="2"/>
        </w:numPr>
        <w:spacing w:after="70" w:line="270"/>
      </w:pPr>
      <w:r>
        <w:rPr>
          <w:rFonts w:ascii="Calibri" w:cs="Calibri" w:eastAsia="Calibri" w:hAnsi="Calibri"/>
          <w:color w:val="1A2733"/>
          <w:sz w:val="22"/>
          <w:szCs w:val="22"/>
        </w:rPr>
        <w:t xml:space="preserve">Clasifica el producto (HS) e identifica su naturaleza (alimento, planta/animal, industrial, químico).</w:t>
      </w:r>
    </w:p>
    <w:p>
      <w:pPr>
        <w:pStyle w:val="ListParagraph"/>
        <w:numPr>
          <w:ilvl w:val="0"/>
          <w:numId w:val="2"/>
        </w:numPr>
        <w:spacing w:after="70" w:line="270"/>
      </w:pPr>
      <w:r>
        <w:rPr>
          <w:rFonts w:ascii="Calibri" w:cs="Calibri" w:eastAsia="Calibri" w:hAnsi="Calibri"/>
          <w:color w:val="1A2733"/>
          <w:sz w:val="22"/>
          <w:szCs w:val="22"/>
        </w:rPr>
        <w:t xml:space="preserve">Determina qué tipo de medida aplica: riesgo a salud/vida → MSF; requisito técnico/etiquetado → OTC (muchos disparan ambos).</w:t>
      </w:r>
    </w:p>
    <w:p>
      <w:pPr>
        <w:pStyle w:val="ListParagraph"/>
        <w:numPr>
          <w:ilvl w:val="0"/>
          <w:numId w:val="2"/>
        </w:numPr>
        <w:spacing w:after="70" w:line="270"/>
      </w:pPr>
      <w:r>
        <w:rPr>
          <w:rFonts w:ascii="Calibri" w:cs="Calibri" w:eastAsia="Calibri" w:hAnsi="Calibri"/>
          <w:color w:val="1A2733"/>
          <w:sz w:val="22"/>
          <w:szCs w:val="22"/>
        </w:rPr>
        <w:t xml:space="preserve">Identifica las agencias nacionales competentes del país importador.</w:t>
      </w:r>
    </w:p>
    <w:p>
      <w:pPr>
        <w:pStyle w:val="ListParagraph"/>
        <w:numPr>
          <w:ilvl w:val="0"/>
          <w:numId w:val="2"/>
        </w:numPr>
        <w:spacing w:after="70" w:line="270"/>
      </w:pPr>
      <w:r>
        <w:rPr>
          <w:rFonts w:ascii="Calibri" w:cs="Calibri" w:eastAsia="Calibri" w:hAnsi="Calibri"/>
          <w:color w:val="1A2733"/>
          <w:sz w:val="22"/>
          <w:szCs w:val="22"/>
        </w:rPr>
        <w:t xml:space="preserve">Lista los requisitos concretos: registro, certificado, laboratorio, etiquetado.</w:t>
      </w:r>
    </w:p>
    <w:p>
      <w:pPr>
        <w:pStyle w:val="ListParagraph"/>
        <w:numPr>
          <w:ilvl w:val="0"/>
          <w:numId w:val="2"/>
        </w:numPr>
        <w:spacing w:after="70" w:line="270"/>
      </w:pPr>
      <w:r>
        <w:rPr>
          <w:rFonts w:ascii="Calibri" w:cs="Calibri" w:eastAsia="Calibri" w:hAnsi="Calibri"/>
          <w:color w:val="1A2733"/>
          <w:sz w:val="22"/>
          <w:szCs w:val="22"/>
        </w:rPr>
        <w:t xml:space="preserve">Estima la complejidad: número de permisos y agencias, laboratorio/inspección, tiempos y costos.</w:t>
      </w:r>
    </w:p>
    <w:p>
      <w:pPr>
        <w:pStyle w:val="ListParagraph"/>
        <w:numPr>
          <w:ilvl w:val="0"/>
          <w:numId w:val="2"/>
        </w:numPr>
        <w:spacing w:after="70" w:line="270"/>
      </w:pPr>
      <w:r>
        <w:rPr>
          <w:rFonts w:ascii="Calibri" w:cs="Calibri" w:eastAsia="Calibri" w:hAnsi="Calibri"/>
          <w:color w:val="1A2733"/>
          <w:sz w:val="22"/>
          <w:szCs w:val="22"/>
        </w:rPr>
        <w:t xml:space="preserve">Concluye el nivel de dificultad real de entrada, más allá del arancel.</w:t>
      </w:r>
    </w:p>
    <w:p>
      <w:pPr>
        <w:pStyle w:val="Heading2"/>
        <w:spacing w:after="100" w:before="240"/>
      </w:pPr>
      <w:r>
        <w:rPr>
          <w:rFonts w:ascii="Georgia" w:cs="Georgia" w:eastAsia="Georgia" w:hAnsi="Georgia"/>
          <w:b/>
          <w:bCs/>
          <w:color w:val="1F5F6B"/>
          <w:sz w:val="25"/>
          <w:szCs w:val="25"/>
        </w:rPr>
        <w:t xml:space="preserve">5. Trampas comunes</w:t>
      </w:r>
    </w:p>
    <w:p>
      <w:pPr>
        <w:pStyle w:val="ListParagraph"/>
        <w:numPr>
          <w:ilvl w:val="0"/>
          <w:numId w:val="3"/>
        </w:numPr>
        <w:spacing w:after="70" w:line="270"/>
      </w:pPr>
      <w:r>
        <w:rPr>
          <w:rFonts w:ascii="Calibri" w:cs="Calibri" w:eastAsia="Calibri" w:hAnsi="Calibri"/>
          <w:color w:val="1A2733"/>
          <w:sz w:val="22"/>
          <w:szCs w:val="22"/>
        </w:rPr>
        <w:t xml:space="preserve">Confundir “arancel cero” con “entrada libre”.</w:t>
      </w:r>
    </w:p>
    <w:p>
      <w:pPr>
        <w:pStyle w:val="ListParagraph"/>
        <w:numPr>
          <w:ilvl w:val="0"/>
          <w:numId w:val="3"/>
        </w:numPr>
        <w:spacing w:after="70" w:line="270"/>
      </w:pPr>
      <w:r>
        <w:rPr>
          <w:rFonts w:ascii="Calibri" w:cs="Calibri" w:eastAsia="Calibri" w:hAnsi="Calibri"/>
          <w:color w:val="1A2733"/>
          <w:sz w:val="22"/>
          <w:szCs w:val="22"/>
        </w:rPr>
        <w:t xml:space="preserve">Asumir que el tratado armonizó los requisitos sanitarios/técnicos.</w:t>
      </w:r>
    </w:p>
    <w:p>
      <w:pPr>
        <w:pStyle w:val="ListParagraph"/>
        <w:numPr>
          <w:ilvl w:val="0"/>
          <w:numId w:val="3"/>
        </w:numPr>
        <w:spacing w:after="70" w:line="270"/>
      </w:pPr>
      <w:r>
        <w:rPr>
          <w:rFonts w:ascii="Calibri" w:cs="Calibri" w:eastAsia="Calibri" w:hAnsi="Calibri"/>
          <w:color w:val="1A2733"/>
          <w:sz w:val="22"/>
          <w:szCs w:val="22"/>
        </w:rPr>
        <w:t xml:space="preserve">No distinguir MSF de OTC → buscar en la agencia equivocada.</w:t>
      </w:r>
    </w:p>
    <w:p>
      <w:pPr>
        <w:pStyle w:val="ListParagraph"/>
        <w:numPr>
          <w:ilvl w:val="0"/>
          <w:numId w:val="3"/>
        </w:numPr>
        <w:spacing w:after="70" w:line="270"/>
      </w:pPr>
      <w:r>
        <w:rPr>
          <w:rFonts w:ascii="Calibri" w:cs="Calibri" w:eastAsia="Calibri" w:hAnsi="Calibri"/>
          <w:color w:val="1A2733"/>
          <w:sz w:val="22"/>
          <w:szCs w:val="22"/>
        </w:rPr>
        <w:t xml:space="preserve">Olvidar que las MSF no van al panel de controversias del tratado.</w:t>
      </w:r>
    </w:p>
    <w:p>
      <w:pPr>
        <w:pStyle w:val="ListParagraph"/>
        <w:numPr>
          <w:ilvl w:val="0"/>
          <w:numId w:val="3"/>
        </w:numPr>
        <w:spacing w:after="70" w:line="270"/>
      </w:pPr>
      <w:r>
        <w:rPr>
          <w:rFonts w:ascii="Calibri" w:cs="Calibri" w:eastAsia="Calibri" w:hAnsi="Calibri"/>
          <w:color w:val="1A2733"/>
          <w:sz w:val="22"/>
          <w:szCs w:val="22"/>
        </w:rPr>
        <w:t xml:space="preserve">Ignorar el etiquetado → mercancía retenida pese a arancel cero.</w:t>
      </w:r>
    </w:p>
    <w:p>
      <w:pPr>
        <w:pStyle w:val="Heading2"/>
        <w:spacing w:after="100" w:before="240"/>
      </w:pPr>
      <w:r>
        <w:rPr>
          <w:rFonts w:ascii="Georgia" w:cs="Georgia" w:eastAsia="Georgia" w:hAnsi="Georgia"/>
          <w:b/>
          <w:bCs/>
          <w:color w:val="1F5F6B"/>
          <w:sz w:val="25"/>
          <w:szCs w:val="25"/>
        </w:rPr>
        <w:t xml:space="preserve">6. Glosario mínimo</w:t>
      </w:r>
    </w:p>
    <w:p>
      <w:pPr>
        <w:spacing w:after="60" w:line="264"/>
      </w:pPr>
      <w:r>
        <w:rPr>
          <w:rFonts w:ascii="Calibri" w:cs="Calibri" w:eastAsia="Calibri" w:hAnsi="Calibri"/>
          <w:color w:val="1A2733"/>
          <w:sz w:val="21"/>
          <w:szCs w:val="21"/>
        </w:rPr>
        <w:t xml:space="preserve">Barrera no arancelaria · MSF · Acuerdo MSF de la OMC · Certificado fitosanitario / zoosanitario · Inocuidad · Evaluación de riesgo · Equivalencia · Regionalización · OTC · Acuerdo OTC de la OMC · Norma vs. reglamento técnico · Evaluación de la conformidad · Etiquetado · Registro sanitario · Comité MSF / Comité OTC.</w:t>
      </w:r>
    </w:p>
    <w:p>
      <w:pPr>
        <w:pStyle w:val="Heading2"/>
        <w:spacing w:after="100" w:before="240"/>
      </w:pPr>
      <w:r>
        <w:rPr>
          <w:rFonts w:ascii="Georgia" w:cs="Georgia" w:eastAsia="Georgia" w:hAnsi="Georgia"/>
          <w:b/>
          <w:bCs/>
          <w:color w:val="1F5F6B"/>
          <w:sz w:val="25"/>
          <w:szCs w:val="25"/>
        </w:rPr>
        <w:t xml:space="preserve">7. Lectura guiada</w:t>
      </w:r>
    </w:p>
    <w:p>
      <w:pPr>
        <w:pStyle w:val="ListParagraph"/>
        <w:numPr>
          <w:ilvl w:val="0"/>
          <w:numId w:val="3"/>
        </w:numPr>
        <w:spacing w:after="70" w:line="270"/>
      </w:pPr>
      <w:r>
        <w:rPr>
          <w:rFonts w:ascii="Calibri" w:cs="Calibri" w:eastAsia="Calibri" w:hAnsi="Calibri"/>
          <w:color w:val="1A2733"/>
          <w:sz w:val="22"/>
          <w:szCs w:val="22"/>
        </w:rPr>
        <w:t xml:space="preserve">Capítulo 6: cómo reafirma el Acuerdo MSF-OMC y el Comité MSF; la nota de que su sustancia no va a controversias.</w:t>
      </w:r>
    </w:p>
    <w:p>
      <w:pPr>
        <w:pStyle w:val="ListParagraph"/>
        <w:numPr>
          <w:ilvl w:val="0"/>
          <w:numId w:val="3"/>
        </w:numPr>
        <w:spacing w:after="70" w:line="270"/>
      </w:pPr>
      <w:r>
        <w:rPr>
          <w:rFonts w:ascii="Calibri" w:cs="Calibri" w:eastAsia="Calibri" w:hAnsi="Calibri"/>
          <w:color w:val="1A2733"/>
          <w:sz w:val="22"/>
          <w:szCs w:val="22"/>
        </w:rPr>
        <w:t xml:space="preserve">Capítulo 7: reglamentos técnicos, evaluación de la conformidad y Comité OTC.</w:t>
      </w:r>
    </w:p>
    <w:p>
      <w:pPr>
        <w:pStyle w:val="ListParagraph"/>
        <w:numPr>
          <w:ilvl w:val="0"/>
          <w:numId w:val="3"/>
        </w:numPr>
        <w:spacing w:after="70" w:line="270"/>
      </w:pPr>
      <w:r>
        <w:rPr>
          <w:rFonts w:ascii="Calibri" w:cs="Calibri" w:eastAsia="Calibri" w:hAnsi="Calibri"/>
          <w:color w:val="1A2733"/>
          <w:sz w:val="22"/>
          <w:szCs w:val="22"/>
        </w:rPr>
        <w:t xml:space="preserve">Lectura ligera de los Acuerdos MSF y OTC de la OMC.</w:t>
      </w:r>
    </w:p>
    <w:p>
      <w:pPr>
        <w:pStyle w:val="Heading2"/>
        <w:spacing w:after="100" w:before="240"/>
      </w:pPr>
      <w:r>
        <w:rPr>
          <w:rFonts w:ascii="Georgia" w:cs="Georgia" w:eastAsia="Georgia" w:hAnsi="Georgia"/>
          <w:b/>
          <w:bCs/>
          <w:color w:val="1F5F6B"/>
          <w:sz w:val="25"/>
          <w:szCs w:val="25"/>
        </w:rPr>
        <w:t xml:space="preserve">8. Entregable</w:t>
      </w:r>
    </w:p>
    <w:p>
      <w:pPr>
        <w:spacing w:after="120" w:line="276"/>
      </w:pPr>
      <w:r>
        <w:rPr>
          <w:rFonts w:ascii="Calibri" w:cs="Calibri" w:eastAsia="Calibri" w:hAnsi="Calibri"/>
          <w:color w:val="1A2733"/>
          <w:sz w:val="22"/>
          <w:szCs w:val="22"/>
        </w:rPr>
        <w:t xml:space="preserve">“Mapa de barreras no arancelarias de 2 productos” (uno alimento, uno industrial): para cada uno, si dispara MSF, OTC o ambos; qué requisitos concretos enfrenta; qué agencias intervienen; y una estimación fácil/medio/difícil justificada. Es el prototipo en papel del clasificador de dificultad de entrada.</w:t>
      </w:r>
    </w:p>
    <w:p>
      <w:r>
        <w:br w:type="page"/>
      </w:r>
    </w:p>
    <w:p>
      <w:pPr>
        <w:pStyle w:val="Heading1"/>
        <w:spacing w:after="160" w:before="120"/>
      </w:pPr>
      <w:r>
        <w:rPr>
          <w:rFonts w:ascii="Georgia" w:cs="Georgia" w:eastAsia="Georgia" w:hAnsi="Georgia"/>
          <w:b/>
          <w:bCs/>
          <w:color w:val="13293D"/>
          <w:sz w:val="32"/>
          <w:szCs w:val="32"/>
        </w:rPr>
        <w:t xml:space="preserve">Módulo 7 — Defensa comercial, inversión y servicios (Cap. 8, 10-13)</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entenderá cómo el tratado protege a la industria nacional (defensa comercial), al inversionista extranjero (inversión) y cómo abre el comercio de servicios — para saber a qué capítulo ir ante cada situación, sin memorizar el detalle. El concepto estructural clave del módulo es la lista negativa.</w:t>
      </w:r>
    </w:p>
    <w:p>
      <w:pPr>
        <w:pStyle w:val="Heading2"/>
        <w:spacing w:after="100" w:before="240"/>
      </w:pPr>
      <w:r>
        <w:rPr>
          <w:rFonts w:ascii="Georgia" w:cs="Georgia" w:eastAsia="Georgia" w:hAnsi="Georgia"/>
          <w:b/>
          <w:bCs/>
          <w:color w:val="1F5F6B"/>
          <w:sz w:val="25"/>
          <w:szCs w:val="25"/>
        </w:rPr>
        <w:t xml:space="preserve">1. Capítulo 8 — Defensa comercial</w:t>
      </w:r>
    </w:p>
    <w:p>
      <w:pPr>
        <w:spacing w:after="120" w:line="276"/>
      </w:pPr>
      <w:r>
        <w:rPr>
          <w:rFonts w:ascii="Calibri" w:cs="Calibri" w:eastAsia="Calibri" w:hAnsi="Calibri"/>
          <w:color w:val="1A2733"/>
          <w:sz w:val="22"/>
          <w:szCs w:val="22"/>
        </w:rPr>
        <w:t xml:space="preserve">Mecanismos legales para protegerse de importaciones que dañan a la industria nacional; explica por qué a veces reaparece un arancel donde el tratado prometía cero.</w:t>
      </w:r>
    </w:p>
    <w:p>
      <w:pPr>
        <w:pStyle w:val="ListParagraph"/>
        <w:numPr>
          <w:ilvl w:val="0"/>
          <w:numId w:val="3"/>
        </w:numPr>
        <w:spacing w:after="70" w:line="270"/>
      </w:pPr>
      <w:r>
        <w:rPr>
          <w:rFonts w:ascii="Calibri" w:cs="Calibri" w:eastAsia="Calibri" w:hAnsi="Calibri"/>
          <w:b/>
          <w:bCs/>
          <w:color w:val="13293D"/>
          <w:sz w:val="22"/>
          <w:szCs w:val="22"/>
        </w:rPr>
        <w:t xml:space="preserve">Salvaguardias: </w:t>
      </w:r>
      <w:r>
        <w:rPr>
          <w:rFonts w:ascii="Calibri" w:cs="Calibri" w:eastAsia="Calibri" w:hAnsi="Calibri"/>
          <w:color w:val="1A2733"/>
          <w:sz w:val="22"/>
          <w:szCs w:val="22"/>
        </w:rPr>
        <w:t xml:space="preserve">si la desgravación hace que un producto se importe en cantidades que causan o amenazan daño grave, el país puede suspender la reducción o subir el arancel, solo durante el período de transición y con compensación.</w:t>
      </w:r>
    </w:p>
    <w:p>
      <w:pPr>
        <w:pStyle w:val="ListParagraph"/>
        <w:numPr>
          <w:ilvl w:val="0"/>
          <w:numId w:val="3"/>
        </w:numPr>
        <w:spacing w:after="70" w:line="270"/>
      </w:pPr>
      <w:r>
        <w:rPr>
          <w:rFonts w:ascii="Calibri" w:cs="Calibri" w:eastAsia="Calibri" w:hAnsi="Calibri"/>
          <w:b/>
          <w:bCs/>
          <w:color w:val="13293D"/>
          <w:sz w:val="22"/>
          <w:szCs w:val="22"/>
        </w:rPr>
        <w:t xml:space="preserve">Antidumping y compensatorios: </w:t>
      </w:r>
      <w:r>
        <w:rPr>
          <w:rFonts w:ascii="Calibri" w:cs="Calibri" w:eastAsia="Calibri" w:hAnsi="Calibri"/>
          <w:color w:val="1A2733"/>
          <w:sz w:val="22"/>
          <w:szCs w:val="22"/>
        </w:rPr>
        <w:t xml:space="preserve">frente a precios desleales (dumping) o subvenciones. El DR-CAFTA conserva las reglas de la OMC; estas medidas no van al mecanismo de controversias del tratado.</w:t>
      </w:r>
    </w:p>
    <w:p>
      <w:pPr>
        <w:pStyle w:val="Heading2"/>
        <w:spacing w:after="100" w:before="240"/>
      </w:pPr>
      <w:r>
        <w:rPr>
          <w:rFonts w:ascii="Georgia" w:cs="Georgia" w:eastAsia="Georgia" w:hAnsi="Georgia"/>
          <w:b/>
          <w:bCs/>
          <w:color w:val="1F5F6B"/>
          <w:sz w:val="25"/>
          <w:szCs w:val="25"/>
        </w:rPr>
        <w:t xml:space="preserve">2. Capítulo 10 — Inversión</w:t>
      </w:r>
    </w:p>
    <w:p>
      <w:pPr>
        <w:spacing w:after="120" w:line="276"/>
      </w:pPr>
      <w:r>
        <w:rPr>
          <w:rFonts w:ascii="Calibri" w:cs="Calibri" w:eastAsia="Calibri" w:hAnsi="Calibri"/>
          <w:color w:val="1A2733"/>
          <w:sz w:val="22"/>
          <w:szCs w:val="22"/>
        </w:rPr>
        <w:t xml:space="preserve">Protege a los inversionistas de una Parte que invierten en otra; da confianza al capital extranjero para instalarse en RD.</w:t>
      </w:r>
    </w:p>
    <w:p>
      <w:pPr>
        <w:pStyle w:val="ListParagraph"/>
        <w:numPr>
          <w:ilvl w:val="0"/>
          <w:numId w:val="3"/>
        </w:numPr>
        <w:spacing w:after="70" w:line="270"/>
      </w:pPr>
      <w:r>
        <w:rPr>
          <w:rFonts w:ascii="Calibri" w:cs="Calibri" w:eastAsia="Calibri" w:hAnsi="Calibri"/>
          <w:color w:val="1A2733"/>
          <w:sz w:val="22"/>
          <w:szCs w:val="22"/>
        </w:rPr>
        <w:t xml:space="preserve">Trato nacional y NMF: igual que al nacional, y no peor que al de terceros.</w:t>
      </w:r>
    </w:p>
    <w:p>
      <w:pPr>
        <w:pStyle w:val="ListParagraph"/>
        <w:numPr>
          <w:ilvl w:val="0"/>
          <w:numId w:val="3"/>
        </w:numPr>
        <w:spacing w:after="70" w:line="270"/>
      </w:pPr>
      <w:r>
        <w:rPr>
          <w:rFonts w:ascii="Calibri" w:cs="Calibri" w:eastAsia="Calibri" w:hAnsi="Calibri"/>
          <w:color w:val="1A2733"/>
          <w:sz w:val="22"/>
          <w:szCs w:val="22"/>
        </w:rPr>
        <w:t xml:space="preserve">Nivel mínimo de trato: justo y equitativo conforme al derecho internacional.</w:t>
      </w:r>
    </w:p>
    <w:p>
      <w:pPr>
        <w:pStyle w:val="ListParagraph"/>
        <w:numPr>
          <w:ilvl w:val="0"/>
          <w:numId w:val="3"/>
        </w:numPr>
        <w:spacing w:after="70" w:line="270"/>
      </w:pPr>
      <w:r>
        <w:rPr>
          <w:rFonts w:ascii="Calibri" w:cs="Calibri" w:eastAsia="Calibri" w:hAnsi="Calibri"/>
          <w:color w:val="1A2733"/>
          <w:sz w:val="22"/>
          <w:szCs w:val="22"/>
        </w:rPr>
        <w:t xml:space="preserve">Protección ante expropiación: solo por causa pública, no discriminatoria y con indemnización pronta, adecuada y efectiva.</w:t>
      </w:r>
    </w:p>
    <w:p>
      <w:pPr>
        <w:pStyle w:val="ListParagraph"/>
        <w:numPr>
          <w:ilvl w:val="0"/>
          <w:numId w:val="3"/>
        </w:numPr>
        <w:spacing w:after="70" w:line="270"/>
      </w:pPr>
      <w:r>
        <w:rPr>
          <w:rFonts w:ascii="Calibri" w:cs="Calibri" w:eastAsia="Calibri" w:hAnsi="Calibri"/>
          <w:color w:val="1A2733"/>
          <w:sz w:val="22"/>
          <w:szCs w:val="22"/>
        </w:rPr>
        <w:t xml:space="preserve">Libre transferencia de capitales, ganancias y utilidades.</w:t>
      </w:r>
    </w:p>
    <w:p>
      <w:pPr>
        <w:pStyle w:val="ListParagraph"/>
        <w:numPr>
          <w:ilvl w:val="0"/>
          <w:numId w:val="3"/>
        </w:numPr>
        <w:spacing w:after="70" w:line="270"/>
      </w:pPr>
      <w:r>
        <w:rPr>
          <w:rFonts w:ascii="Calibri" w:cs="Calibri" w:eastAsia="Calibri" w:hAnsi="Calibri"/>
          <w:color w:val="1A2733"/>
          <w:sz w:val="22"/>
          <w:szCs w:val="22"/>
        </w:rPr>
        <w:t xml:space="preserve">ISDS (inversionista-Estado): el inversionista puede llevar al Estado directamente a arbitraje internacional. Es el rasgo más distintivo del capítulo.</w:t>
      </w:r>
    </w:p>
    <w:p>
      <w:pPr>
        <w:pStyle w:val="Heading2"/>
        <w:spacing w:after="100" w:before="240"/>
      </w:pPr>
      <w:r>
        <w:rPr>
          <w:rFonts w:ascii="Georgia" w:cs="Georgia" w:eastAsia="Georgia" w:hAnsi="Georgia"/>
          <w:b/>
          <w:bCs/>
          <w:color w:val="1F5F6B"/>
          <w:sz w:val="25"/>
          <w:szCs w:val="25"/>
        </w:rPr>
        <w:t xml:space="preserve">3. Capítulos 11-13 — Servicios</w:t>
      </w:r>
    </w:p>
    <w:p>
      <w:pPr>
        <w:pStyle w:val="ListParagraph"/>
        <w:numPr>
          <w:ilvl w:val="0"/>
          <w:numId w:val="3"/>
        </w:numPr>
        <w:spacing w:after="70" w:line="270"/>
      </w:pPr>
      <w:r>
        <w:rPr>
          <w:rFonts w:ascii="Calibri" w:cs="Calibri" w:eastAsia="Calibri" w:hAnsi="Calibri"/>
          <w:b/>
          <w:bCs/>
          <w:color w:val="13293D"/>
          <w:sz w:val="22"/>
          <w:szCs w:val="22"/>
        </w:rPr>
        <w:t xml:space="preserve">Cap. 11 · Comercio transfronterizo de servicios: </w:t>
      </w:r>
      <w:r>
        <w:rPr>
          <w:rFonts w:ascii="Calibri" w:cs="Calibri" w:eastAsia="Calibri" w:hAnsi="Calibri"/>
          <w:color w:val="1A2733"/>
          <w:sz w:val="22"/>
          <w:szCs w:val="22"/>
        </w:rPr>
        <w:t xml:space="preserve">servicios prestados de un país a otro sin que cruce mercancía. Trato nacional y NMF, acceso a mercados y no exigir presencia local; reconocimiento de títulos y licencias.</w:t>
      </w:r>
    </w:p>
    <w:p>
      <w:pPr>
        <w:pStyle w:val="ListParagraph"/>
        <w:numPr>
          <w:ilvl w:val="0"/>
          <w:numId w:val="3"/>
        </w:numPr>
        <w:spacing w:after="70" w:line="270"/>
      </w:pPr>
      <w:r>
        <w:rPr>
          <w:rFonts w:ascii="Calibri" w:cs="Calibri" w:eastAsia="Calibri" w:hAnsi="Calibri"/>
          <w:b/>
          <w:bCs/>
          <w:color w:val="13293D"/>
          <w:sz w:val="22"/>
          <w:szCs w:val="22"/>
        </w:rPr>
        <w:t xml:space="preserve">Cap. 12 · Servicios financieros: </w:t>
      </w:r>
      <w:r>
        <w:rPr>
          <w:rFonts w:ascii="Calibri" w:cs="Calibri" w:eastAsia="Calibri" w:hAnsi="Calibri"/>
          <w:color w:val="1A2733"/>
          <w:sz w:val="22"/>
          <w:szCs w:val="22"/>
        </w:rPr>
        <w:t xml:space="preserve">banca, seguros y valores. Abre el sector, pero con la excepción prudencial: el Estado protege la estabilidad financiera.</w:t>
      </w:r>
    </w:p>
    <w:p>
      <w:pPr>
        <w:pStyle w:val="ListParagraph"/>
        <w:numPr>
          <w:ilvl w:val="0"/>
          <w:numId w:val="3"/>
        </w:numPr>
        <w:spacing w:after="70" w:line="270"/>
      </w:pPr>
      <w:r>
        <w:rPr>
          <w:rFonts w:ascii="Calibri" w:cs="Calibri" w:eastAsia="Calibri" w:hAnsi="Calibri"/>
          <w:b/>
          <w:bCs/>
          <w:color w:val="13293D"/>
          <w:sz w:val="22"/>
          <w:szCs w:val="22"/>
        </w:rPr>
        <w:t xml:space="preserve">Cap. 13 · Telecomunicaciones: </w:t>
      </w:r>
      <w:r>
        <w:rPr>
          <w:rFonts w:ascii="Calibri" w:cs="Calibri" w:eastAsia="Calibri" w:hAnsi="Calibri"/>
          <w:color w:val="1A2733"/>
          <w:sz w:val="22"/>
          <w:szCs w:val="22"/>
        </w:rPr>
        <w:t xml:space="preserve">garantiza acceso e interconexión a las redes públicas en condiciones razonables y no discriminatorias.</w:t>
      </w:r>
    </w:p>
    <w:p>
      <w:pPr>
        <w:pStyle w:val="Heading2"/>
        <w:spacing w:after="100" w:before="240"/>
      </w:pPr>
      <w:r>
        <w:rPr>
          <w:rFonts w:ascii="Georgia" w:cs="Georgia" w:eastAsia="Georgia" w:hAnsi="Georgia"/>
          <w:b/>
          <w:bCs/>
          <w:color w:val="1F5F6B"/>
          <w:sz w:val="25"/>
          <w:szCs w:val="25"/>
        </w:rPr>
        <w:t xml:space="preserve">4. El concepto clave — la lista negativa</w:t>
      </w:r>
    </w:p>
    <w:p>
      <w:pPr>
        <w:spacing w:after="120" w:line="276"/>
      </w:pPr>
      <w:r>
        <w:rPr>
          <w:rFonts w:ascii="Calibri" w:cs="Calibri" w:eastAsia="Calibri" w:hAnsi="Calibri"/>
          <w:color w:val="1A2733"/>
          <w:sz w:val="22"/>
          <w:szCs w:val="22"/>
        </w:rPr>
        <w:t xml:space="preserve">Servicios e inversión usan un enfoque de lista negativa: todo está liberalizado por defecto, salvo lo que cada país reserve expresamente. Esas reservas (medidas disconformes) se listan en dos anexos: el Anexo I (medidas existentes que el país mantiene y que solo puede volver menos restrictivas — principio de trinquete/ratchet) y el Anexo II (sectores donde el país se reserva el derecho de adoptar medidas futuras más restrictivas). Para saber si un servicio está abierto en RD no basta leer el capítulo: hay que revisar si RD lo reservó en su Anexo I o II.</w:t>
      </w:r>
    </w:p>
    <w:p>
      <w:pPr>
        <w:pStyle w:val="Heading2"/>
        <w:spacing w:after="100" w:before="240"/>
      </w:pPr>
      <w:r>
        <w:rPr>
          <w:rFonts w:ascii="Georgia" w:cs="Georgia" w:eastAsia="Georgia" w:hAnsi="Georgia"/>
          <w:b/>
          <w:bCs/>
          <w:color w:val="1F5F6B"/>
          <w:sz w:val="25"/>
          <w:szCs w:val="25"/>
        </w:rPr>
        <w:t xml:space="preserve">5. Método — ubicar un caso</w:t>
      </w:r>
    </w:p>
    <w:p>
      <w:pPr>
        <w:pStyle w:val="ListParagraph"/>
        <w:numPr>
          <w:ilvl w:val="0"/>
          <w:numId w:val="2"/>
        </w:numPr>
        <w:spacing w:after="70" w:line="270"/>
      </w:pPr>
      <w:r>
        <w:rPr>
          <w:rFonts w:ascii="Calibri" w:cs="Calibri" w:eastAsia="Calibri" w:hAnsi="Calibri"/>
          <w:color w:val="1A2733"/>
          <w:sz w:val="22"/>
          <w:szCs w:val="22"/>
        </w:rPr>
        <w:t xml:space="preserve">Identifica la naturaleza: ¿daño a la industria? ¿inversión? ¿servicio?</w:t>
      </w:r>
    </w:p>
    <w:p>
      <w:pPr>
        <w:pStyle w:val="ListParagraph"/>
        <w:numPr>
          <w:ilvl w:val="0"/>
          <w:numId w:val="2"/>
        </w:numPr>
        <w:spacing w:after="70" w:line="270"/>
      </w:pPr>
      <w:r>
        <w:rPr>
          <w:rFonts w:ascii="Calibri" w:cs="Calibri" w:eastAsia="Calibri" w:hAnsi="Calibri"/>
          <w:color w:val="1A2733"/>
          <w:sz w:val="22"/>
          <w:szCs w:val="22"/>
        </w:rPr>
        <w:t xml:space="preserve">Ve al capítulo: Cap. 8 defensa · Cap. 10 inversión · Cap. 11-13 servicios.</w:t>
      </w:r>
    </w:p>
    <w:p>
      <w:pPr>
        <w:pStyle w:val="ListParagraph"/>
        <w:numPr>
          <w:ilvl w:val="0"/>
          <w:numId w:val="2"/>
        </w:numPr>
        <w:spacing w:after="70" w:line="270"/>
      </w:pPr>
      <w:r>
        <w:rPr>
          <w:rFonts w:ascii="Calibri" w:cs="Calibri" w:eastAsia="Calibri" w:hAnsi="Calibri"/>
          <w:color w:val="1A2733"/>
          <w:sz w:val="22"/>
          <w:szCs w:val="22"/>
        </w:rPr>
        <w:t xml:space="preserve">Para servicios/inversión, revisa siempre los Anexos I y II.</w:t>
      </w:r>
    </w:p>
    <w:p>
      <w:pPr>
        <w:pStyle w:val="ListParagraph"/>
        <w:numPr>
          <w:ilvl w:val="0"/>
          <w:numId w:val="2"/>
        </w:numPr>
        <w:spacing w:after="70" w:line="270"/>
      </w:pPr>
      <w:r>
        <w:rPr>
          <w:rFonts w:ascii="Calibri" w:cs="Calibri" w:eastAsia="Calibri" w:hAnsi="Calibri"/>
          <w:color w:val="1A2733"/>
          <w:sz w:val="22"/>
          <w:szCs w:val="22"/>
        </w:rPr>
        <w:t xml:space="preserve">Identifica la garantía o disciplina aplicable.</w:t>
      </w:r>
    </w:p>
    <w:p>
      <w:pPr>
        <w:pStyle w:val="ListParagraph"/>
        <w:numPr>
          <w:ilvl w:val="0"/>
          <w:numId w:val="2"/>
        </w:numPr>
        <w:spacing w:after="70" w:line="270"/>
      </w:pPr>
      <w:r>
        <w:rPr>
          <w:rFonts w:ascii="Calibri" w:cs="Calibri" w:eastAsia="Calibri" w:hAnsi="Calibri"/>
          <w:color w:val="1A2733"/>
          <w:sz w:val="22"/>
          <w:szCs w:val="22"/>
        </w:rPr>
        <w:t xml:space="preserve">Ubica el mecanismo: ISDS en inversión; Estado-Estado en servicios; vías OMC en antidumping.</w:t>
      </w:r>
    </w:p>
    <w:p>
      <w:pPr>
        <w:pStyle w:val="Heading2"/>
        <w:spacing w:after="100" w:before="240"/>
      </w:pPr>
      <w:r>
        <w:rPr>
          <w:rFonts w:ascii="Georgia" w:cs="Georgia" w:eastAsia="Georgia" w:hAnsi="Georgia"/>
          <w:b/>
          <w:bCs/>
          <w:color w:val="1F5F6B"/>
          <w:sz w:val="25"/>
          <w:szCs w:val="25"/>
        </w:rPr>
        <w:t xml:space="preserve">6. Trampas comunes</w:t>
      </w:r>
    </w:p>
    <w:p>
      <w:pPr>
        <w:pStyle w:val="ListParagraph"/>
        <w:numPr>
          <w:ilvl w:val="0"/>
          <w:numId w:val="3"/>
        </w:numPr>
        <w:spacing w:after="70" w:line="270"/>
      </w:pPr>
      <w:r>
        <w:rPr>
          <w:rFonts w:ascii="Calibri" w:cs="Calibri" w:eastAsia="Calibri" w:hAnsi="Calibri"/>
          <w:color w:val="1A2733"/>
          <w:sz w:val="22"/>
          <w:szCs w:val="22"/>
        </w:rPr>
        <w:t xml:space="preserve">Creer que el tratado es solo mercancías y no saber que hay servicios e inversión.</w:t>
      </w:r>
    </w:p>
    <w:p>
      <w:pPr>
        <w:pStyle w:val="ListParagraph"/>
        <w:numPr>
          <w:ilvl w:val="0"/>
          <w:numId w:val="3"/>
        </w:numPr>
        <w:spacing w:after="70" w:line="270"/>
      </w:pPr>
      <w:r>
        <w:rPr>
          <w:rFonts w:ascii="Calibri" w:cs="Calibri" w:eastAsia="Calibri" w:hAnsi="Calibri"/>
          <w:color w:val="1A2733"/>
          <w:sz w:val="22"/>
          <w:szCs w:val="22"/>
        </w:rPr>
        <w:t xml:space="preserve">Leer el capítulo de servicios sin revisar los Anexos I y II.</w:t>
      </w:r>
    </w:p>
    <w:p>
      <w:pPr>
        <w:pStyle w:val="ListParagraph"/>
        <w:numPr>
          <w:ilvl w:val="0"/>
          <w:numId w:val="3"/>
        </w:numPr>
        <w:spacing w:after="70" w:line="270"/>
      </w:pPr>
      <w:r>
        <w:rPr>
          <w:rFonts w:ascii="Calibri" w:cs="Calibri" w:eastAsia="Calibri" w:hAnsi="Calibri"/>
          <w:color w:val="1A2733"/>
          <w:sz w:val="22"/>
          <w:szCs w:val="22"/>
        </w:rPr>
        <w:t xml:space="preserve">Olvidar la salvaguardia (Cap. 8) → no entender por qué reaparece un arancel.</w:t>
      </w:r>
    </w:p>
    <w:p>
      <w:pPr>
        <w:pStyle w:val="ListParagraph"/>
        <w:numPr>
          <w:ilvl w:val="0"/>
          <w:numId w:val="3"/>
        </w:numPr>
        <w:spacing w:after="70" w:line="270"/>
      </w:pPr>
      <w:r>
        <w:rPr>
          <w:rFonts w:ascii="Calibri" w:cs="Calibri" w:eastAsia="Calibri" w:hAnsi="Calibri"/>
          <w:color w:val="1A2733"/>
          <w:sz w:val="22"/>
          <w:szCs w:val="22"/>
        </w:rPr>
        <w:t xml:space="preserve">Confundir antidumping (precios desleales) con salvaguardia (volúmenes que dañan).</w:t>
      </w:r>
    </w:p>
    <w:p>
      <w:pPr>
        <w:pStyle w:val="ListParagraph"/>
        <w:numPr>
          <w:ilvl w:val="0"/>
          <w:numId w:val="3"/>
        </w:numPr>
        <w:spacing w:after="70" w:line="270"/>
      </w:pPr>
      <w:r>
        <w:rPr>
          <w:rFonts w:ascii="Calibri" w:cs="Calibri" w:eastAsia="Calibri" w:hAnsi="Calibri"/>
          <w:color w:val="1A2733"/>
          <w:sz w:val="22"/>
          <w:szCs w:val="22"/>
        </w:rPr>
        <w:t xml:space="preserve">Ignorar la excepción prudencial en servicios financieros.</w:t>
      </w:r>
    </w:p>
    <w:p>
      <w:pPr>
        <w:pStyle w:val="Heading2"/>
        <w:spacing w:after="100" w:before="240"/>
      </w:pPr>
      <w:r>
        <w:rPr>
          <w:rFonts w:ascii="Georgia" w:cs="Georgia" w:eastAsia="Georgia" w:hAnsi="Georgia"/>
          <w:b/>
          <w:bCs/>
          <w:color w:val="1F5F6B"/>
          <w:sz w:val="25"/>
          <w:szCs w:val="25"/>
        </w:rPr>
        <w:t xml:space="preserve">7. Glosario mínimo</w:t>
      </w:r>
    </w:p>
    <w:p>
      <w:pPr>
        <w:spacing w:after="60" w:line="264"/>
      </w:pPr>
      <w:r>
        <w:rPr>
          <w:rFonts w:ascii="Calibri" w:cs="Calibri" w:eastAsia="Calibri" w:hAnsi="Calibri"/>
          <w:color w:val="1A2733"/>
          <w:sz w:val="21"/>
          <w:szCs w:val="21"/>
        </w:rPr>
        <w:t xml:space="preserve">Defensa comercial · Salvaguardia · Daño grave · Dumping · Derecho antidumping · Subvención · Derecho compensatorio · Inversión · Nivel mínimo de trato · Expropiación e indemnización · Libre transferencia · ISDS · Comercio transfronterizo de servicios · Presencia local · Excepción prudencial · Interconexión · Lista negativa · Medida disconforme · Anexo I / Anexo II · Trinquete (ratchet).</w:t>
      </w:r>
    </w:p>
    <w:p>
      <w:pPr>
        <w:pStyle w:val="Heading2"/>
        <w:spacing w:after="100" w:before="240"/>
      </w:pPr>
      <w:r>
        <w:rPr>
          <w:rFonts w:ascii="Georgia" w:cs="Georgia" w:eastAsia="Georgia" w:hAnsi="Georgia"/>
          <w:b/>
          <w:bCs/>
          <w:color w:val="1F5F6B"/>
          <w:sz w:val="25"/>
          <w:szCs w:val="25"/>
        </w:rPr>
        <w:t xml:space="preserve">8. Lectura guiada</w:t>
      </w:r>
    </w:p>
    <w:p>
      <w:pPr>
        <w:pStyle w:val="ListParagraph"/>
        <w:numPr>
          <w:ilvl w:val="0"/>
          <w:numId w:val="3"/>
        </w:numPr>
        <w:spacing w:after="70" w:line="270"/>
      </w:pPr>
      <w:r>
        <w:rPr>
          <w:rFonts w:ascii="Calibri" w:cs="Calibri" w:eastAsia="Calibri" w:hAnsi="Calibri"/>
          <w:color w:val="1A2733"/>
          <w:sz w:val="22"/>
          <w:szCs w:val="22"/>
        </w:rPr>
        <w:t xml:space="preserve">Cap. 8: las dos secciones (salvaguardias; antidumping/compensatorios).</w:t>
      </w:r>
    </w:p>
    <w:p>
      <w:pPr>
        <w:pStyle w:val="ListParagraph"/>
        <w:numPr>
          <w:ilvl w:val="0"/>
          <w:numId w:val="3"/>
        </w:numPr>
        <w:spacing w:after="70" w:line="270"/>
      </w:pPr>
      <w:r>
        <w:rPr>
          <w:rFonts w:ascii="Calibri" w:cs="Calibri" w:eastAsia="Calibri" w:hAnsi="Calibri"/>
          <w:color w:val="1A2733"/>
          <w:sz w:val="22"/>
          <w:szCs w:val="22"/>
        </w:rPr>
        <w:t xml:space="preserve">Cap. 10: garantías y la sección de solución de controversias inversionista-Estado.</w:t>
      </w:r>
    </w:p>
    <w:p>
      <w:pPr>
        <w:pStyle w:val="ListParagraph"/>
        <w:numPr>
          <w:ilvl w:val="0"/>
          <w:numId w:val="3"/>
        </w:numPr>
        <w:spacing w:after="70" w:line="270"/>
      </w:pPr>
      <w:r>
        <w:rPr>
          <w:rFonts w:ascii="Calibri" w:cs="Calibri" w:eastAsia="Calibri" w:hAnsi="Calibri"/>
          <w:color w:val="1A2733"/>
          <w:sz w:val="22"/>
          <w:szCs w:val="22"/>
        </w:rPr>
        <w:t xml:space="preserve">Cap. 11-13: lectura funcional; el enfoque de lista negativa. Hojea los Anexos I y II de RD.</w:t>
      </w:r>
    </w:p>
    <w:p>
      <w:pPr>
        <w:pStyle w:val="Heading2"/>
        <w:spacing w:after="100" w:before="240"/>
      </w:pPr>
      <w:r>
        <w:rPr>
          <w:rFonts w:ascii="Georgia" w:cs="Georgia" w:eastAsia="Georgia" w:hAnsi="Georgia"/>
          <w:b/>
          <w:bCs/>
          <w:color w:val="1F5F6B"/>
          <w:sz w:val="25"/>
          <w:szCs w:val="25"/>
        </w:rPr>
        <w:t xml:space="preserve">9. Entregable</w:t>
      </w:r>
    </w:p>
    <w:p>
      <w:pPr>
        <w:spacing w:after="120" w:line="276"/>
      </w:pPr>
      <w:r>
        <w:rPr>
          <w:rFonts w:ascii="Calibri" w:cs="Calibri" w:eastAsia="Calibri" w:hAnsi="Calibri"/>
          <w:color w:val="1A2733"/>
          <w:sz w:val="22"/>
          <w:szCs w:val="22"/>
        </w:rPr>
        <w:t xml:space="preserve">“Ficha funcional de 5 capítulos” (8, 10, 11, 12, 13): para cada uno, qué regula, la garantía o disciplina más importante y un ejemplo de caso real que lo activaría. Objetivo: saber a qué capítulo ir ante cualquier situación.</w:t>
      </w:r>
    </w:p>
    <w:p>
      <w:r>
        <w:br w:type="page"/>
      </w:r>
    </w:p>
    <w:p>
      <w:pPr>
        <w:pStyle w:val="Heading1"/>
        <w:spacing w:after="160" w:before="120"/>
      </w:pPr>
      <w:r>
        <w:rPr>
          <w:rFonts w:ascii="Georgia" w:cs="Georgia" w:eastAsia="Georgia" w:hAnsi="Georgia"/>
          <w:b/>
          <w:bCs/>
          <w:color w:val="13293D"/>
          <w:sz w:val="32"/>
          <w:szCs w:val="32"/>
        </w:rPr>
        <w:t xml:space="preserve">Módulo 8 — Compras públicas, comercio electrónico y PI (Cap. 9, 14, 15)</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entenderá cómo el tratado abre las compras del Estado, cómo protege y facilita el comercio digital, y qué estándares de propiedad intelectual impone — incluyendo por qué la PI toca directamente el trabajo aduanal en frontera.</w:t>
      </w:r>
    </w:p>
    <w:p>
      <w:pPr>
        <w:pStyle w:val="Heading2"/>
        <w:spacing w:after="100" w:before="240"/>
      </w:pPr>
      <w:r>
        <w:rPr>
          <w:rFonts w:ascii="Georgia" w:cs="Georgia" w:eastAsia="Georgia" w:hAnsi="Georgia"/>
          <w:b/>
          <w:bCs/>
          <w:color w:val="1F5F6B"/>
          <w:sz w:val="25"/>
          <w:szCs w:val="25"/>
        </w:rPr>
        <w:t xml:space="preserve">1. Capítulo 9 — Contratación pública</w:t>
      </w:r>
    </w:p>
    <w:p>
      <w:pPr>
        <w:spacing w:after="120" w:line="276"/>
      </w:pPr>
      <w:r>
        <w:rPr>
          <w:rFonts w:ascii="Calibri" w:cs="Calibri" w:eastAsia="Calibri" w:hAnsi="Calibri"/>
          <w:color w:val="1A2733"/>
          <w:sz w:val="22"/>
          <w:szCs w:val="22"/>
        </w:rPr>
        <w:t xml:space="preserve">Regula las compras de bienes y servicios de las entidades gubernamentales, para abrirlas a proveedores de las otras Partes en condiciones justas.</w:t>
      </w:r>
    </w:p>
    <w:p>
      <w:pPr>
        <w:pStyle w:val="ListParagraph"/>
        <w:numPr>
          <w:ilvl w:val="0"/>
          <w:numId w:val="3"/>
        </w:numPr>
        <w:spacing w:after="70" w:line="270"/>
      </w:pPr>
      <w:r>
        <w:rPr>
          <w:rFonts w:ascii="Calibri" w:cs="Calibri" w:eastAsia="Calibri" w:hAnsi="Calibri"/>
          <w:b/>
          <w:bCs/>
          <w:color w:val="13293D"/>
          <w:sz w:val="22"/>
          <w:szCs w:val="22"/>
        </w:rPr>
        <w:t xml:space="preserve">Trato nacional y no discriminación: </w:t>
      </w:r>
      <w:r>
        <w:rPr>
          <w:rFonts w:ascii="Calibri" w:cs="Calibri" w:eastAsia="Calibri" w:hAnsi="Calibri"/>
          <w:color w:val="1A2733"/>
          <w:sz w:val="22"/>
          <w:szCs w:val="22"/>
        </w:rPr>
        <w:t xml:space="preserve">una entidad pública no puede favorecer al proveedor local frente al de otra Parte.</w:t>
      </w:r>
    </w:p>
    <w:p>
      <w:pPr>
        <w:pStyle w:val="ListParagraph"/>
        <w:numPr>
          <w:ilvl w:val="0"/>
          <w:numId w:val="3"/>
        </w:numPr>
        <w:spacing w:after="70" w:line="270"/>
      </w:pPr>
      <w:r>
        <w:rPr>
          <w:rFonts w:ascii="Calibri" w:cs="Calibri" w:eastAsia="Calibri" w:hAnsi="Calibri"/>
          <w:b/>
          <w:bCs/>
          <w:color w:val="13293D"/>
          <w:sz w:val="22"/>
          <w:szCs w:val="22"/>
        </w:rPr>
        <w:t xml:space="preserve">Transparencia: </w:t>
      </w:r>
      <w:r>
        <w:rPr>
          <w:rFonts w:ascii="Calibri" w:cs="Calibri" w:eastAsia="Calibri" w:hAnsi="Calibri"/>
          <w:color w:val="1A2733"/>
          <w:sz w:val="22"/>
          <w:szCs w:val="22"/>
        </w:rPr>
        <w:t xml:space="preserve">las licitaciones se publican, con reglas y plazos claros, y con derecho a impugnar adjudicaciones irregulares.</w:t>
      </w:r>
    </w:p>
    <w:p>
      <w:pPr>
        <w:pStyle w:val="ListParagraph"/>
        <w:numPr>
          <w:ilvl w:val="0"/>
          <w:numId w:val="3"/>
        </w:numPr>
        <w:spacing w:after="70" w:line="270"/>
      </w:pPr>
      <w:r>
        <w:rPr>
          <w:rFonts w:ascii="Calibri" w:cs="Calibri" w:eastAsia="Calibri" w:hAnsi="Calibri"/>
          <w:b/>
          <w:bCs/>
          <w:color w:val="13293D"/>
          <w:sz w:val="22"/>
          <w:szCs w:val="22"/>
        </w:rPr>
        <w:t xml:space="preserve">Umbrales (thresholds): </w:t>
      </w:r>
      <w:r>
        <w:rPr>
          <w:rFonts w:ascii="Calibri" w:cs="Calibri" w:eastAsia="Calibri" w:hAnsi="Calibri"/>
          <w:color w:val="1A2733"/>
          <w:sz w:val="22"/>
          <w:szCs w:val="22"/>
        </w:rPr>
        <w:t xml:space="preserve">el capítulo solo aplica a contratos por encima de cierto valor y a las entidades listadas en el anexo del país. Para saber si una compra está cubierta: revisar umbral de valor y si la entidad y el bien/servicio están en la lista de RD.</w:t>
      </w:r>
    </w:p>
    <w:p>
      <w:pPr>
        <w:pStyle w:val="Heading2"/>
        <w:spacing w:after="100" w:before="240"/>
      </w:pPr>
      <w:r>
        <w:rPr>
          <w:rFonts w:ascii="Georgia" w:cs="Georgia" w:eastAsia="Georgia" w:hAnsi="Georgia"/>
          <w:b/>
          <w:bCs/>
          <w:color w:val="1F5F6B"/>
          <w:sz w:val="25"/>
          <w:szCs w:val="25"/>
        </w:rPr>
        <w:t xml:space="preserve">2. Capítulo 14 — Comercio electrónico</w:t>
      </w:r>
    </w:p>
    <w:p>
      <w:pPr>
        <w:spacing w:after="120" w:line="276"/>
      </w:pPr>
      <w:r>
        <w:rPr>
          <w:rFonts w:ascii="Calibri" w:cs="Calibri" w:eastAsia="Calibri" w:hAnsi="Calibri"/>
          <w:color w:val="1A2733"/>
          <w:sz w:val="22"/>
          <w:szCs w:val="22"/>
        </w:rPr>
        <w:t xml:space="preserve">Regula el comercio de productos y servicios por medios digitales. Compromisos: no imponer aranceles a los productos digitales transmitidos electrónicamente (software, música, e-books descargados); no discriminación por origen; y un marco favorable con reconocimiento de la validez de las transacciones electrónicas.</w:t>
      </w:r>
    </w:p>
    <w:p>
      <w:pPr>
        <w:pBdr>
          <w:top w:val="single" w:color="E6DCC2" w:sz="4" w:space="8"/>
          <w:bottom w:val="single" w:color="E6DCC2" w:sz="4" w:space="8"/>
          <w:left w:val="single" w:color="B07D18" w:sz="18" w:space="14"/>
          <w:right w:val="single" w:color="E6DCC2" w:sz="4" w:space="8"/>
        </w:pBdr>
        <w:shd w:fill="F4EFE0" w:color="auto" w:val="clear"/>
        <w:spacing w:after="150" w:before="120" w:line="276"/>
      </w:pPr>
      <w:r>
        <w:rPr>
          <w:rFonts w:ascii="Calibri" w:cs="Calibri" w:eastAsia="Calibri" w:hAnsi="Calibri"/>
          <w:b/>
          <w:bCs/>
          <w:color w:val="B07D18"/>
          <w:sz w:val="22"/>
          <w:szCs w:val="22"/>
        </w:rPr>
        <w:t xml:space="preserve">Distinción clave:  </w:t>
      </w:r>
      <w:r>
        <w:rPr>
          <w:rFonts w:ascii="Calibri" w:cs="Calibri" w:eastAsia="Calibri" w:hAnsi="Calibri"/>
          <w:color w:val="1A2733"/>
          <w:sz w:val="22"/>
          <w:szCs w:val="22"/>
        </w:rPr>
        <w:t xml:space="preserve">el capítulo cubre lo transmitido digitalmente (un producto que se descarga). Un producto físico comprado en línea que llega en caja por courier NO es “producto digital”: sigue las reglas normales de mercancías (arancel, origen, despacho, minimis). El auge del e-commerce físico es el motor del negocio courier, y este capítulo —más el umbral de minimis del Módulo 5— es su marco.</w:t>
      </w:r>
    </w:p>
    <w:p>
      <w:pPr>
        <w:pStyle w:val="Heading2"/>
        <w:spacing w:after="100" w:before="240"/>
      </w:pPr>
      <w:r>
        <w:rPr>
          <w:rFonts w:ascii="Georgia" w:cs="Georgia" w:eastAsia="Georgia" w:hAnsi="Georgia"/>
          <w:b/>
          <w:bCs/>
          <w:color w:val="1F5F6B"/>
          <w:sz w:val="25"/>
          <w:szCs w:val="25"/>
        </w:rPr>
        <w:t xml:space="preserve">3. Capítulo 15 — Propiedad intelectual</w:t>
      </w:r>
    </w:p>
    <w:p>
      <w:pPr>
        <w:spacing w:after="120" w:line="276"/>
      </w:pPr>
      <w:r>
        <w:rPr>
          <w:rFonts w:ascii="Calibri" w:cs="Calibri" w:eastAsia="Calibri" w:hAnsi="Calibri"/>
          <w:color w:val="1A2733"/>
          <w:sz w:val="22"/>
          <w:szCs w:val="22"/>
        </w:rPr>
        <w:t xml:space="preserve">Estándares de protección de marcas (incluidas notorias), derechos de autor y conexos (también en el entorno digital), patentes (incluida materia farmacéutica y protección de datos de prueba) e indicaciones geográficas. El DR-CAFTA impone estándares más altos que los mínimos de la OMC (capítulo “OMC-plus”), lo que impactó la legislación de patentes, marcas y derecho de autor de RD.</w:t>
      </w:r>
    </w:p>
    <w:p>
      <w:pPr>
        <w:pBdr>
          <w:top w:val="single" w:color="E6DCC2" w:sz="4" w:space="8"/>
          <w:bottom w:val="single" w:color="E6DCC2" w:sz="4" w:space="8"/>
          <w:left w:val="single" w:color="B07D18" w:sz="18" w:space="14"/>
          <w:right w:val="single" w:color="E6DCC2" w:sz="4" w:space="8"/>
        </w:pBdr>
        <w:shd w:fill="F4EFE0" w:color="auto" w:val="clear"/>
        <w:spacing w:after="150" w:before="120" w:line="276"/>
      </w:pPr>
      <w:r>
        <w:rPr>
          <w:rFonts w:ascii="Calibri" w:cs="Calibri" w:eastAsia="Calibri" w:hAnsi="Calibri"/>
          <w:b/>
          <w:bCs/>
          <w:color w:val="B07D18"/>
          <w:sz w:val="22"/>
          <w:szCs w:val="22"/>
        </w:rPr>
        <w:t xml:space="preserve">El gancho a tu profesión — observancia en frontera:  </w:t>
      </w:r>
      <w:r>
        <w:rPr>
          <w:rFonts w:ascii="Calibri" w:cs="Calibri" w:eastAsia="Calibri" w:hAnsi="Calibri"/>
          <w:color w:val="1A2733"/>
          <w:sz w:val="22"/>
          <w:szCs w:val="22"/>
        </w:rPr>
        <w:t xml:space="preserve">el capítulo faculta a la aduana para retener e incautar en la frontera mercancía falsificada (que infringe una marca) o pirata (que infringe un derecho de autor). El aduanero es un actor de la observancia de PI: este capítulo no es ajeno al trabajo aduanal, es parte de él.</w:t>
      </w:r>
    </w:p>
    <w:p>
      <w:pPr>
        <w:pStyle w:val="Heading2"/>
        <w:spacing w:after="100" w:before="240"/>
      </w:pPr>
      <w:r>
        <w:rPr>
          <w:rFonts w:ascii="Georgia" w:cs="Georgia" w:eastAsia="Georgia" w:hAnsi="Georgia"/>
          <w:b/>
          <w:bCs/>
          <w:color w:val="1F5F6B"/>
          <w:sz w:val="25"/>
          <w:szCs w:val="25"/>
        </w:rPr>
        <w:t xml:space="preserve">4. Método — ubicar un caso</w:t>
      </w:r>
    </w:p>
    <w:p>
      <w:pPr>
        <w:pStyle w:val="ListParagraph"/>
        <w:numPr>
          <w:ilvl w:val="0"/>
          <w:numId w:val="2"/>
        </w:numPr>
        <w:spacing w:after="70" w:line="270"/>
      </w:pPr>
      <w:r>
        <w:rPr>
          <w:rFonts w:ascii="Calibri" w:cs="Calibri" w:eastAsia="Calibri" w:hAnsi="Calibri"/>
          <w:color w:val="1A2733"/>
          <w:sz w:val="22"/>
          <w:szCs w:val="22"/>
        </w:rPr>
        <w:t xml:space="preserve">¿Compra o licitación de una entidad pública? → Cap. 9 (verifica umbral + entidad listada).</w:t>
      </w:r>
    </w:p>
    <w:p>
      <w:pPr>
        <w:pStyle w:val="ListParagraph"/>
        <w:numPr>
          <w:ilvl w:val="0"/>
          <w:numId w:val="2"/>
        </w:numPr>
        <w:spacing w:after="70" w:line="270"/>
      </w:pPr>
      <w:r>
        <w:rPr>
          <w:rFonts w:ascii="Calibri" w:cs="Calibri" w:eastAsia="Calibri" w:hAnsi="Calibri"/>
          <w:color w:val="1A2733"/>
          <w:sz w:val="22"/>
          <w:szCs w:val="22"/>
        </w:rPr>
        <w:t xml:space="preserve">¿Comercio por medios digitales? → Cap. 14 (distingue producto digital de producto físico).</w:t>
      </w:r>
    </w:p>
    <w:p>
      <w:pPr>
        <w:pStyle w:val="ListParagraph"/>
        <w:numPr>
          <w:ilvl w:val="0"/>
          <w:numId w:val="2"/>
        </w:numPr>
        <w:spacing w:after="70" w:line="270"/>
      </w:pPr>
      <w:r>
        <w:rPr>
          <w:rFonts w:ascii="Calibri" w:cs="Calibri" w:eastAsia="Calibri" w:hAnsi="Calibri"/>
          <w:color w:val="1A2733"/>
          <w:sz w:val="22"/>
          <w:szCs w:val="22"/>
        </w:rPr>
        <w:t xml:space="preserve">¿Marcas, patentes o derechos de autor? → Cap. 15.</w:t>
      </w:r>
    </w:p>
    <w:p>
      <w:pPr>
        <w:pStyle w:val="ListParagraph"/>
        <w:numPr>
          <w:ilvl w:val="0"/>
          <w:numId w:val="2"/>
        </w:numPr>
        <w:spacing w:after="70" w:line="270"/>
      </w:pPr>
      <w:r>
        <w:rPr>
          <w:rFonts w:ascii="Calibri" w:cs="Calibri" w:eastAsia="Calibri" w:hAnsi="Calibri"/>
          <w:color w:val="1A2733"/>
          <w:sz w:val="22"/>
          <w:szCs w:val="22"/>
        </w:rPr>
        <w:t xml:space="preserve">¿Mercancía falsificada o pirata? → activa las facultades aduaneras de retención.</w:t>
      </w:r>
    </w:p>
    <w:p>
      <w:pPr>
        <w:pStyle w:val="ListParagraph"/>
        <w:numPr>
          <w:ilvl w:val="0"/>
          <w:numId w:val="2"/>
        </w:numPr>
        <w:spacing w:after="70" w:line="270"/>
      </w:pPr>
      <w:r>
        <w:rPr>
          <w:rFonts w:ascii="Calibri" w:cs="Calibri" w:eastAsia="Calibri" w:hAnsi="Calibri"/>
          <w:color w:val="1A2733"/>
          <w:sz w:val="22"/>
          <w:szCs w:val="22"/>
        </w:rPr>
        <w:t xml:space="preserve">Ubica la obligación o el derecho y revisa listas/umbrales si aplican.</w:t>
      </w:r>
    </w:p>
    <w:p>
      <w:pPr>
        <w:pStyle w:val="Heading2"/>
        <w:spacing w:after="100" w:before="240"/>
      </w:pPr>
      <w:r>
        <w:rPr>
          <w:rFonts w:ascii="Georgia" w:cs="Georgia" w:eastAsia="Georgia" w:hAnsi="Georgia"/>
          <w:b/>
          <w:bCs/>
          <w:color w:val="1F5F6B"/>
          <w:sz w:val="25"/>
          <w:szCs w:val="25"/>
        </w:rPr>
        <w:t xml:space="preserve">5. Trampas comunes</w:t>
      </w:r>
    </w:p>
    <w:p>
      <w:pPr>
        <w:pStyle w:val="ListParagraph"/>
        <w:numPr>
          <w:ilvl w:val="0"/>
          <w:numId w:val="3"/>
        </w:numPr>
        <w:spacing w:after="70" w:line="270"/>
      </w:pPr>
      <w:r>
        <w:rPr>
          <w:rFonts w:ascii="Calibri" w:cs="Calibri" w:eastAsia="Calibri" w:hAnsi="Calibri"/>
          <w:color w:val="1A2733"/>
          <w:sz w:val="22"/>
          <w:szCs w:val="22"/>
        </w:rPr>
        <w:t xml:space="preserve">Asumir que toda compra pública está cubierta (olvidar umbral y entidad listada).</w:t>
      </w:r>
    </w:p>
    <w:p>
      <w:pPr>
        <w:pStyle w:val="ListParagraph"/>
        <w:numPr>
          <w:ilvl w:val="0"/>
          <w:numId w:val="3"/>
        </w:numPr>
        <w:spacing w:after="70" w:line="270"/>
      </w:pPr>
      <w:r>
        <w:rPr>
          <w:rFonts w:ascii="Calibri" w:cs="Calibri" w:eastAsia="Calibri" w:hAnsi="Calibri"/>
          <w:color w:val="1A2733"/>
          <w:sz w:val="22"/>
          <w:szCs w:val="22"/>
        </w:rPr>
        <w:t xml:space="preserve">Tratar un producto físico de e-commerce como “producto digital”.</w:t>
      </w:r>
    </w:p>
    <w:p>
      <w:pPr>
        <w:pStyle w:val="ListParagraph"/>
        <w:numPr>
          <w:ilvl w:val="0"/>
          <w:numId w:val="3"/>
        </w:numPr>
        <w:spacing w:after="70" w:line="270"/>
      </w:pPr>
      <w:r>
        <w:rPr>
          <w:rFonts w:ascii="Calibri" w:cs="Calibri" w:eastAsia="Calibri" w:hAnsi="Calibri"/>
          <w:color w:val="1A2733"/>
          <w:sz w:val="22"/>
          <w:szCs w:val="22"/>
        </w:rPr>
        <w:t xml:space="preserve">Creer que la PI no es asunto de aduana (ignorar la observancia en frontera).</w:t>
      </w:r>
    </w:p>
    <w:p>
      <w:pPr>
        <w:pStyle w:val="ListParagraph"/>
        <w:numPr>
          <w:ilvl w:val="0"/>
          <w:numId w:val="3"/>
        </w:numPr>
        <w:spacing w:after="70" w:line="270"/>
      </w:pPr>
      <w:r>
        <w:rPr>
          <w:rFonts w:ascii="Calibri" w:cs="Calibri" w:eastAsia="Calibri" w:hAnsi="Calibri"/>
          <w:color w:val="1A2733"/>
          <w:sz w:val="22"/>
          <w:szCs w:val="22"/>
        </w:rPr>
        <w:t xml:space="preserve">Subestimar el carácter OMC-plus del capítulo de PI.</w:t>
      </w:r>
    </w:p>
    <w:p>
      <w:pPr>
        <w:pStyle w:val="Heading2"/>
        <w:spacing w:after="100" w:before="240"/>
      </w:pPr>
      <w:r>
        <w:rPr>
          <w:rFonts w:ascii="Georgia" w:cs="Georgia" w:eastAsia="Georgia" w:hAnsi="Georgia"/>
          <w:b/>
          <w:bCs/>
          <w:color w:val="1F5F6B"/>
          <w:sz w:val="25"/>
          <w:szCs w:val="25"/>
        </w:rPr>
        <w:t xml:space="preserve">6. Glosario mínimo</w:t>
      </w:r>
    </w:p>
    <w:p>
      <w:pPr>
        <w:spacing w:after="60" w:line="264"/>
      </w:pPr>
      <w:r>
        <w:rPr>
          <w:rFonts w:ascii="Calibri" w:cs="Calibri" w:eastAsia="Calibri" w:hAnsi="Calibri"/>
          <w:color w:val="1A2733"/>
          <w:sz w:val="21"/>
          <w:szCs w:val="21"/>
        </w:rPr>
        <w:t xml:space="preserve">Contratación pública · Entidad contratante · Umbral (threshold) · Licitación · Impugnación · Producto digital · Transmisión electrónica · Comercio electrónico · DPI · Marca · Falsificación · Patente · Derecho de autor · Piratería · Indicación geográfica · Datos de prueba · Observancia · Medidas en frontera · OMC-plus.</w:t>
      </w:r>
    </w:p>
    <w:p>
      <w:pPr>
        <w:pStyle w:val="Heading2"/>
        <w:spacing w:after="100" w:before="240"/>
      </w:pPr>
      <w:r>
        <w:rPr>
          <w:rFonts w:ascii="Georgia" w:cs="Georgia" w:eastAsia="Georgia" w:hAnsi="Georgia"/>
          <w:b/>
          <w:bCs/>
          <w:color w:val="1F5F6B"/>
          <w:sz w:val="25"/>
          <w:szCs w:val="25"/>
        </w:rPr>
        <w:t xml:space="preserve">7. Lectura guiada</w:t>
      </w:r>
    </w:p>
    <w:p>
      <w:pPr>
        <w:pStyle w:val="ListParagraph"/>
        <w:numPr>
          <w:ilvl w:val="0"/>
          <w:numId w:val="3"/>
        </w:numPr>
        <w:spacing w:after="70" w:line="270"/>
      </w:pPr>
      <w:r>
        <w:rPr>
          <w:rFonts w:ascii="Calibri" w:cs="Calibri" w:eastAsia="Calibri" w:hAnsi="Calibri"/>
          <w:color w:val="1A2733"/>
          <w:sz w:val="22"/>
          <w:szCs w:val="22"/>
        </w:rPr>
        <w:t xml:space="preserve">Cap. 9: principios y la idea de umbrales y entidades cubiertas.</w:t>
      </w:r>
    </w:p>
    <w:p>
      <w:pPr>
        <w:pStyle w:val="ListParagraph"/>
        <w:numPr>
          <w:ilvl w:val="0"/>
          <w:numId w:val="3"/>
        </w:numPr>
        <w:spacing w:after="70" w:line="270"/>
      </w:pPr>
      <w:r>
        <w:rPr>
          <w:rFonts w:ascii="Calibri" w:cs="Calibri" w:eastAsia="Calibri" w:hAnsi="Calibri"/>
          <w:color w:val="1A2733"/>
          <w:sz w:val="22"/>
          <w:szCs w:val="22"/>
        </w:rPr>
        <w:t xml:space="preserve">Cap. 14 completo (es corto): no aranceles a productos digitales; digital vs. físico.</w:t>
      </w:r>
    </w:p>
    <w:p>
      <w:pPr>
        <w:pStyle w:val="ListParagraph"/>
        <w:numPr>
          <w:ilvl w:val="0"/>
          <w:numId w:val="3"/>
        </w:numPr>
        <w:spacing w:after="70" w:line="270"/>
      </w:pPr>
      <w:r>
        <w:rPr>
          <w:rFonts w:ascii="Calibri" w:cs="Calibri" w:eastAsia="Calibri" w:hAnsi="Calibri"/>
          <w:color w:val="1A2733"/>
          <w:sz w:val="22"/>
          <w:szCs w:val="22"/>
        </w:rPr>
        <w:t xml:space="preserve">Cap. 15: detente en la sección de observancia y las medidas en frontera.</w:t>
      </w:r>
    </w:p>
    <w:p>
      <w:pPr>
        <w:pStyle w:val="Heading2"/>
        <w:spacing w:after="100" w:before="240"/>
      </w:pPr>
      <w:r>
        <w:rPr>
          <w:rFonts w:ascii="Georgia" w:cs="Georgia" w:eastAsia="Georgia" w:hAnsi="Georgia"/>
          <w:b/>
          <w:bCs/>
          <w:color w:val="1F5F6B"/>
          <w:sz w:val="25"/>
          <w:szCs w:val="25"/>
        </w:rPr>
        <w:t xml:space="preserve">8. Entregable</w:t>
      </w:r>
    </w:p>
    <w:p>
      <w:pPr>
        <w:spacing w:after="120" w:line="276"/>
      </w:pPr>
      <w:r>
        <w:rPr>
          <w:rFonts w:ascii="Calibri" w:cs="Calibri" w:eastAsia="Calibri" w:hAnsi="Calibri"/>
          <w:color w:val="1A2733"/>
          <w:sz w:val="22"/>
          <w:szCs w:val="22"/>
        </w:rPr>
        <w:t xml:space="preserve">“Ficha funcional de 3 capítulos + 1 caso de frontera”: qué regula cada capítulo (9, 14, 15) y su disciplina clave; más un mini-caso de cómo actuaría la aduana ante un embarque de mercancía falsificada y qué la faculta (del Cap. 15) para retenerla.</w:t>
      </w:r>
    </w:p>
    <w:p>
      <w:r>
        <w:br w:type="page"/>
      </w:r>
    </w:p>
    <w:p>
      <w:pPr>
        <w:pStyle w:val="Heading1"/>
        <w:spacing w:after="160" w:before="120"/>
      </w:pPr>
      <w:r>
        <w:rPr>
          <w:rFonts w:ascii="Georgia" w:cs="Georgia" w:eastAsia="Georgia" w:hAnsi="Georgia"/>
          <w:b/>
          <w:bCs/>
          <w:color w:val="13293D"/>
          <w:sz w:val="32"/>
          <w:szCs w:val="32"/>
        </w:rPr>
        <w:t xml:space="preserve">Módulo 9 — Laboral, ambiental e institucionalidad (Cap. 16-22)</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entenderá los compromisos laborales y ambientales y, sobre todo, cómo se administra, se interpreta y se hace cumplir el tratado: quién lo gobierna, cómo se resuelven los conflictos entre países, qué excepciones existen y cómo entró en vigor. Con este módulo termina de leer todo el texto del DR-CAFTA.</w:t>
      </w:r>
    </w:p>
    <w:p>
      <w:pPr>
        <w:pStyle w:val="Heading2"/>
        <w:spacing w:after="100" w:before="240"/>
      </w:pPr>
      <w:r>
        <w:rPr>
          <w:rFonts w:ascii="Georgia" w:cs="Georgia" w:eastAsia="Georgia" w:hAnsi="Georgia"/>
          <w:b/>
          <w:bCs/>
          <w:color w:val="1F5F6B"/>
          <w:sz w:val="25"/>
          <w:szCs w:val="25"/>
        </w:rPr>
        <w:t xml:space="preserve">1. Capítulo 16 — Laboral</w:t>
      </w:r>
    </w:p>
    <w:p>
      <w:pPr>
        <w:pStyle w:val="ListParagraph"/>
        <w:numPr>
          <w:ilvl w:val="0"/>
          <w:numId w:val="3"/>
        </w:numPr>
        <w:spacing w:after="70" w:line="270"/>
      </w:pPr>
      <w:r>
        <w:rPr>
          <w:rFonts w:ascii="Calibri" w:cs="Calibri" w:eastAsia="Calibri" w:hAnsi="Calibri"/>
          <w:color w:val="1A2733"/>
          <w:sz w:val="22"/>
          <w:szCs w:val="22"/>
        </w:rPr>
        <w:t xml:space="preserve">Aplicar efectivamente la propia legislación laboral (no dejar de hacerla cumplir de forma que afecte el comercio).</w:t>
      </w:r>
    </w:p>
    <w:p>
      <w:pPr>
        <w:pStyle w:val="ListParagraph"/>
        <w:numPr>
          <w:ilvl w:val="0"/>
          <w:numId w:val="3"/>
        </w:numPr>
        <w:spacing w:after="70" w:line="270"/>
      </w:pPr>
      <w:r>
        <w:rPr>
          <w:rFonts w:ascii="Calibri" w:cs="Calibri" w:eastAsia="Calibri" w:hAnsi="Calibri"/>
          <w:color w:val="1A2733"/>
          <w:sz w:val="22"/>
          <w:szCs w:val="22"/>
        </w:rPr>
        <w:t xml:space="preserve">Reconocer los derechos laborales fundamentales (libertad de asociación, negociación colectiva, eliminación del trabajo forzoso e infantil, no discriminación).</w:t>
      </w:r>
    </w:p>
    <w:p>
      <w:pPr>
        <w:pStyle w:val="ListParagraph"/>
        <w:numPr>
          <w:ilvl w:val="0"/>
          <w:numId w:val="3"/>
        </w:numPr>
        <w:spacing w:after="70" w:line="270"/>
      </w:pPr>
      <w:r>
        <w:rPr>
          <w:rFonts w:ascii="Calibri" w:cs="Calibri" w:eastAsia="Calibri" w:hAnsi="Calibri"/>
          <w:color w:val="1A2733"/>
          <w:sz w:val="22"/>
          <w:szCs w:val="22"/>
        </w:rPr>
        <w:t xml:space="preserve">No debilitar la legislación laboral para atraer comercio o inversión; garantías procesales y cooperación.</w:t>
      </w:r>
    </w:p>
    <w:p>
      <w:pPr>
        <w:pStyle w:val="ListParagraph"/>
        <w:numPr>
          <w:ilvl w:val="0"/>
          <w:numId w:val="3"/>
        </w:numPr>
        <w:spacing w:after="70" w:line="270"/>
      </w:pPr>
      <w:r>
        <w:rPr>
          <w:rFonts w:ascii="Calibri" w:cs="Calibri" w:eastAsia="Calibri" w:hAnsi="Calibri"/>
          <w:color w:val="1A2733"/>
          <w:sz w:val="22"/>
          <w:szCs w:val="22"/>
        </w:rPr>
        <w:t xml:space="preserve">Ciertos incumplimientos pueden llegar al mecanismo de solución de controversias.</w:t>
      </w:r>
    </w:p>
    <w:p>
      <w:pPr>
        <w:pStyle w:val="Heading2"/>
        <w:spacing w:after="100" w:before="240"/>
      </w:pPr>
      <w:r>
        <w:rPr>
          <w:rFonts w:ascii="Georgia" w:cs="Georgia" w:eastAsia="Georgia" w:hAnsi="Georgia"/>
          <w:b/>
          <w:bCs/>
          <w:color w:val="1F5F6B"/>
          <w:sz w:val="25"/>
          <w:szCs w:val="25"/>
        </w:rPr>
        <w:t xml:space="preserve">2. Capítulo 17 — Ambiental</w:t>
      </w:r>
    </w:p>
    <w:p>
      <w:pPr>
        <w:pStyle w:val="ListParagraph"/>
        <w:numPr>
          <w:ilvl w:val="0"/>
          <w:numId w:val="3"/>
        </w:numPr>
        <w:spacing w:after="70" w:line="270"/>
      </w:pPr>
      <w:r>
        <w:rPr>
          <w:rFonts w:ascii="Calibri" w:cs="Calibri" w:eastAsia="Calibri" w:hAnsi="Calibri"/>
          <w:color w:val="1A2733"/>
          <w:sz w:val="22"/>
          <w:szCs w:val="22"/>
        </w:rPr>
        <w:t xml:space="preserve">Aplicar efectivamente la propia legislación ambiental.</w:t>
      </w:r>
    </w:p>
    <w:p>
      <w:pPr>
        <w:pStyle w:val="ListParagraph"/>
        <w:numPr>
          <w:ilvl w:val="0"/>
          <w:numId w:val="3"/>
        </w:numPr>
        <w:spacing w:after="70" w:line="270"/>
      </w:pPr>
      <w:r>
        <w:rPr>
          <w:rFonts w:ascii="Calibri" w:cs="Calibri" w:eastAsia="Calibri" w:hAnsi="Calibri"/>
          <w:color w:val="1A2733"/>
          <w:sz w:val="22"/>
          <w:szCs w:val="22"/>
        </w:rPr>
        <w:t xml:space="preserve">Altos niveles de protección y mejora continua; no debilitar la protección para atraer comercio.</w:t>
      </w:r>
    </w:p>
    <w:p>
      <w:pPr>
        <w:pStyle w:val="ListParagraph"/>
        <w:numPr>
          <w:ilvl w:val="0"/>
          <w:numId w:val="3"/>
        </w:numPr>
        <w:spacing w:after="70" w:line="270"/>
      </w:pPr>
      <w:r>
        <w:rPr>
          <w:rFonts w:ascii="Calibri" w:cs="Calibri" w:eastAsia="Calibri" w:hAnsi="Calibri"/>
          <w:color w:val="1A2733"/>
          <w:sz w:val="22"/>
          <w:szCs w:val="22"/>
        </w:rPr>
        <w:t xml:space="preserve">Garantías procesales, cooperación ambiental y peticiones del público.</w:t>
      </w:r>
    </w:p>
    <w:p>
      <w:pPr>
        <w:pStyle w:val="ListParagraph"/>
        <w:numPr>
          <w:ilvl w:val="0"/>
          <w:numId w:val="3"/>
        </w:numPr>
        <w:spacing w:after="70" w:line="270"/>
      </w:pPr>
      <w:r>
        <w:rPr>
          <w:rFonts w:ascii="Calibri" w:cs="Calibri" w:eastAsia="Calibri" w:hAnsi="Calibri"/>
          <w:color w:val="1A2733"/>
          <w:sz w:val="22"/>
          <w:szCs w:val="22"/>
        </w:rPr>
        <w:t xml:space="preserve">Ciertos incumplimientos pueden activar el mecanismo de controversias.</w:t>
      </w:r>
    </w:p>
    <w:p>
      <w:pPr>
        <w:spacing w:after="120" w:line="276"/>
      </w:pPr>
      <w:r>
        <w:rPr>
          <w:rFonts w:ascii="Calibri" w:cs="Calibri" w:eastAsia="Calibri" w:hAnsi="Calibri"/>
          <w:i/>
          <w:iCs/>
          <w:color w:val="5B6B78"/>
          <w:sz w:val="22"/>
          <w:szCs w:val="22"/>
        </w:rPr>
        <w:t xml:space="preserve">Ambos capítulos siguen el mismo patrón: no imponen leyes uniformes; disciplinan el no aplicar las propias.</w:t>
      </w:r>
    </w:p>
    <w:p>
      <w:pPr>
        <w:pStyle w:val="Heading2"/>
        <w:spacing w:after="100" w:before="240"/>
      </w:pPr>
      <w:r>
        <w:rPr>
          <w:rFonts w:ascii="Georgia" w:cs="Georgia" w:eastAsia="Georgia" w:hAnsi="Georgia"/>
          <w:b/>
          <w:bCs/>
          <w:color w:val="1F5F6B"/>
          <w:sz w:val="25"/>
          <w:szCs w:val="25"/>
        </w:rPr>
        <w:t xml:space="preserve">3. Institucionalidad (Cap. 18, 19, 21 y 22)</w:t>
      </w:r>
    </w:p>
    <w:p>
      <w:pPr>
        <w:pStyle w:val="ListParagraph"/>
        <w:numPr>
          <w:ilvl w:val="0"/>
          <w:numId w:val="3"/>
        </w:numPr>
        <w:spacing w:after="70" w:line="270"/>
      </w:pPr>
      <w:r>
        <w:rPr>
          <w:rFonts w:ascii="Calibri" w:cs="Calibri" w:eastAsia="Calibri" w:hAnsi="Calibri"/>
          <w:b/>
          <w:bCs/>
          <w:color w:val="13293D"/>
          <w:sz w:val="22"/>
          <w:szCs w:val="22"/>
        </w:rPr>
        <w:t xml:space="preserve">Cap. 18 · Transparencia: </w:t>
      </w:r>
      <w:r>
        <w:rPr>
          <w:rFonts w:ascii="Calibri" w:cs="Calibri" w:eastAsia="Calibri" w:hAnsi="Calibri"/>
          <w:color w:val="1A2733"/>
          <w:sz w:val="22"/>
          <w:szCs w:val="22"/>
        </w:rPr>
        <w:t xml:space="preserve">publicación y notificación de medidas; debido proceso; compromisos anticorrupción.</w:t>
      </w:r>
    </w:p>
    <w:p>
      <w:pPr>
        <w:pStyle w:val="ListParagraph"/>
        <w:numPr>
          <w:ilvl w:val="0"/>
          <w:numId w:val="3"/>
        </w:numPr>
        <w:spacing w:after="70" w:line="270"/>
      </w:pPr>
      <w:r>
        <w:rPr>
          <w:rFonts w:ascii="Calibri" w:cs="Calibri" w:eastAsia="Calibri" w:hAnsi="Calibri"/>
          <w:b/>
          <w:bCs/>
          <w:color w:val="13293D"/>
          <w:sz w:val="22"/>
          <w:szCs w:val="22"/>
        </w:rPr>
        <w:t xml:space="preserve">Cap. 19 · Administración del Tratado: </w:t>
      </w:r>
      <w:r>
        <w:rPr>
          <w:rFonts w:ascii="Calibri" w:cs="Calibri" w:eastAsia="Calibri" w:hAnsi="Calibri"/>
          <w:color w:val="1A2733"/>
          <w:sz w:val="22"/>
          <w:szCs w:val="22"/>
        </w:rPr>
        <w:t xml:space="preserve">la Comisión de Libre Comercio (órgano central, nivel ministerial) y los comités técnicos por materia (Comité MSF, OTC, agropecuario, etc.).</w:t>
      </w:r>
    </w:p>
    <w:p>
      <w:pPr>
        <w:pStyle w:val="ListParagraph"/>
        <w:numPr>
          <w:ilvl w:val="0"/>
          <w:numId w:val="3"/>
        </w:numPr>
        <w:spacing w:after="70" w:line="270"/>
      </w:pPr>
      <w:r>
        <w:rPr>
          <w:rFonts w:ascii="Calibri" w:cs="Calibri" w:eastAsia="Calibri" w:hAnsi="Calibri"/>
          <w:b/>
          <w:bCs/>
          <w:color w:val="13293D"/>
          <w:sz w:val="22"/>
          <w:szCs w:val="22"/>
        </w:rPr>
        <w:t xml:space="preserve">Cap. 21 · Excepciones: </w:t>
      </w:r>
      <w:r>
        <w:rPr>
          <w:rFonts w:ascii="Calibri" w:cs="Calibri" w:eastAsia="Calibri" w:hAnsi="Calibri"/>
          <w:color w:val="1A2733"/>
          <w:sz w:val="22"/>
          <w:szCs w:val="22"/>
        </w:rPr>
        <w:t xml:space="preserve">cuándo un país puede apartarse legítimamente: excepciones generales (Art. XX del GATT: moral, salud, recursos naturales), seguridad esencial, tributarias y balanza de pagos.</w:t>
      </w:r>
    </w:p>
    <w:p>
      <w:pPr>
        <w:pStyle w:val="ListParagraph"/>
        <w:numPr>
          <w:ilvl w:val="0"/>
          <w:numId w:val="3"/>
        </w:numPr>
        <w:spacing w:after="70" w:line="270"/>
      </w:pPr>
      <w:r>
        <w:rPr>
          <w:rFonts w:ascii="Calibri" w:cs="Calibri" w:eastAsia="Calibri" w:hAnsi="Calibri"/>
          <w:b/>
          <w:bCs/>
          <w:color w:val="13293D"/>
          <w:sz w:val="22"/>
          <w:szCs w:val="22"/>
        </w:rPr>
        <w:t xml:space="preserve">Cap. 22 · Disposiciones Finales: </w:t>
      </w:r>
      <w:r>
        <w:rPr>
          <w:rFonts w:ascii="Calibri" w:cs="Calibri" w:eastAsia="Calibri" w:hAnsi="Calibri"/>
          <w:color w:val="1A2733"/>
          <w:sz w:val="22"/>
          <w:szCs w:val="22"/>
        </w:rPr>
        <w:t xml:space="preserve">entrada en vigor (para RD, marzo de 2007), enmiendas, adhesión, denuncia, textos auténticos (español e inglés) y depositario (la OEA).</w:t>
      </w:r>
    </w:p>
    <w:p>
      <w:pPr>
        <w:pStyle w:val="Heading2"/>
        <w:spacing w:after="100" w:before="240"/>
      </w:pPr>
      <w:r>
        <w:rPr>
          <w:rFonts w:ascii="Georgia" w:cs="Georgia" w:eastAsia="Georgia" w:hAnsi="Georgia"/>
          <w:b/>
          <w:bCs/>
          <w:color w:val="1F5F6B"/>
          <w:sz w:val="25"/>
          <w:szCs w:val="25"/>
        </w:rPr>
        <w:t xml:space="preserve">4. Capítulo 20 — Solución de controversias</w:t>
      </w:r>
    </w:p>
    <w:p>
      <w:pPr>
        <w:spacing w:after="120" w:line="276"/>
      </w:pPr>
      <w:r>
        <w:rPr>
          <w:rFonts w:ascii="Calibri" w:cs="Calibri" w:eastAsia="Calibri" w:hAnsi="Calibri"/>
          <w:color w:val="1A2733"/>
          <w:sz w:val="22"/>
          <w:szCs w:val="22"/>
        </w:rPr>
        <w:t xml:space="preserve">Resuelve los conflictos entre Estados Parte sobre la interpretación o aplicación del tratado (distinto del ISDS inversionista-Estado del Cap. 10). Etapas: consultas → intervención de la Comisión → panel arbitral de expertos independientes → cumplimiento. Si la Parte que perdió no corrige, se negocia compensación y, si tampoco, la Parte afectada puede suspender beneficios (subir aranceles). En incumplimientos laborales o ambientales puede aplicar una contribución monetaria en lugar de la suspensión de beneficios. Es lo que le da “dientes” al tratado.</w:t>
      </w:r>
    </w:p>
    <w:p>
      <w:pPr>
        <w:pStyle w:val="Heading2"/>
        <w:spacing w:after="100" w:before="240"/>
      </w:pPr>
      <w:r>
        <w:rPr>
          <w:rFonts w:ascii="Georgia" w:cs="Georgia" w:eastAsia="Georgia" w:hAnsi="Georgia"/>
          <w:b/>
          <w:bCs/>
          <w:color w:val="1F5F6B"/>
          <w:sz w:val="25"/>
          <w:szCs w:val="25"/>
        </w:rPr>
        <w:t xml:space="preserve">5. Método — ubicar un caso</w:t>
      </w:r>
    </w:p>
    <w:p>
      <w:pPr>
        <w:pStyle w:val="ListParagraph"/>
        <w:numPr>
          <w:ilvl w:val="0"/>
          <w:numId w:val="2"/>
        </w:numPr>
        <w:spacing w:after="70" w:line="270"/>
      </w:pPr>
      <w:r>
        <w:rPr>
          <w:rFonts w:ascii="Calibri" w:cs="Calibri" w:eastAsia="Calibri" w:hAnsi="Calibri"/>
          <w:color w:val="1A2733"/>
          <w:sz w:val="22"/>
          <w:szCs w:val="22"/>
        </w:rPr>
        <w:t xml:space="preserve">¿Derechos de trabajadores ligados al comercio? → Cap. 16.</w:t>
      </w:r>
    </w:p>
    <w:p>
      <w:pPr>
        <w:pStyle w:val="ListParagraph"/>
        <w:numPr>
          <w:ilvl w:val="0"/>
          <w:numId w:val="2"/>
        </w:numPr>
        <w:spacing w:after="70" w:line="270"/>
      </w:pPr>
      <w:r>
        <w:rPr>
          <w:rFonts w:ascii="Calibri" w:cs="Calibri" w:eastAsia="Calibri" w:hAnsi="Calibri"/>
          <w:color w:val="1A2733"/>
          <w:sz w:val="22"/>
          <w:szCs w:val="22"/>
        </w:rPr>
        <w:t xml:space="preserve">¿Medio ambiente ligado al comercio? → Cap. 17.</w:t>
      </w:r>
    </w:p>
    <w:p>
      <w:pPr>
        <w:pStyle w:val="ListParagraph"/>
        <w:numPr>
          <w:ilvl w:val="0"/>
          <w:numId w:val="2"/>
        </w:numPr>
        <w:spacing w:after="70" w:line="270"/>
      </w:pPr>
      <w:r>
        <w:rPr>
          <w:rFonts w:ascii="Calibri" w:cs="Calibri" w:eastAsia="Calibri" w:hAnsi="Calibri"/>
          <w:color w:val="1A2733"/>
          <w:sz w:val="22"/>
          <w:szCs w:val="22"/>
        </w:rPr>
        <w:t xml:space="preserve">¿Falta de publicación o debido proceso? → Cap. 18.</w:t>
      </w:r>
    </w:p>
    <w:p>
      <w:pPr>
        <w:pStyle w:val="ListParagraph"/>
        <w:numPr>
          <w:ilvl w:val="0"/>
          <w:numId w:val="2"/>
        </w:numPr>
        <w:spacing w:after="70" w:line="270"/>
      </w:pPr>
      <w:r>
        <w:rPr>
          <w:rFonts w:ascii="Calibri" w:cs="Calibri" w:eastAsia="Calibri" w:hAnsi="Calibri"/>
          <w:color w:val="1A2733"/>
          <w:sz w:val="22"/>
          <w:szCs w:val="22"/>
        </w:rPr>
        <w:t xml:space="preserve">¿Qué órgano decide o administra? → Cap. 19 (Comisión de Libre Comercio).</w:t>
      </w:r>
    </w:p>
    <w:p>
      <w:pPr>
        <w:pStyle w:val="ListParagraph"/>
        <w:numPr>
          <w:ilvl w:val="0"/>
          <w:numId w:val="2"/>
        </w:numPr>
        <w:spacing w:after="70" w:line="270"/>
      </w:pPr>
      <w:r>
        <w:rPr>
          <w:rFonts w:ascii="Calibri" w:cs="Calibri" w:eastAsia="Calibri" w:hAnsi="Calibri"/>
          <w:color w:val="1A2733"/>
          <w:sz w:val="22"/>
          <w:szCs w:val="22"/>
        </w:rPr>
        <w:t xml:space="preserve">¿Conflicto entre dos Estados Parte? → Cap. 20 (consultas → panel → cumplimiento).</w:t>
      </w:r>
    </w:p>
    <w:p>
      <w:pPr>
        <w:pStyle w:val="ListParagraph"/>
        <w:numPr>
          <w:ilvl w:val="0"/>
          <w:numId w:val="2"/>
        </w:numPr>
        <w:spacing w:after="70" w:line="270"/>
      </w:pPr>
      <w:r>
        <w:rPr>
          <w:rFonts w:ascii="Calibri" w:cs="Calibri" w:eastAsia="Calibri" w:hAnsi="Calibri"/>
          <w:color w:val="1A2733"/>
          <w:sz w:val="22"/>
          <w:szCs w:val="22"/>
        </w:rPr>
        <w:t xml:space="preserve">¿Medida restrictiva que podría estar justificada? → Cap. 21 (excepciones).</w:t>
      </w:r>
    </w:p>
    <w:p>
      <w:pPr>
        <w:pStyle w:val="Heading2"/>
        <w:spacing w:after="100" w:before="240"/>
      </w:pPr>
      <w:r>
        <w:rPr>
          <w:rFonts w:ascii="Georgia" w:cs="Georgia" w:eastAsia="Georgia" w:hAnsi="Georgia"/>
          <w:b/>
          <w:bCs/>
          <w:color w:val="1F5F6B"/>
          <w:sz w:val="25"/>
          <w:szCs w:val="25"/>
        </w:rPr>
        <w:t xml:space="preserve">6. Trampas comunes</w:t>
      </w:r>
    </w:p>
    <w:p>
      <w:pPr>
        <w:pStyle w:val="ListParagraph"/>
        <w:numPr>
          <w:ilvl w:val="0"/>
          <w:numId w:val="3"/>
        </w:numPr>
        <w:spacing w:after="70" w:line="270"/>
      </w:pPr>
      <w:r>
        <w:rPr>
          <w:rFonts w:ascii="Calibri" w:cs="Calibri" w:eastAsia="Calibri" w:hAnsi="Calibri"/>
          <w:color w:val="1A2733"/>
          <w:sz w:val="22"/>
          <w:szCs w:val="22"/>
        </w:rPr>
        <w:t xml:space="preserve">Creer que laboral y ambiental son “decorativos” (pueden llegar a controversias).</w:t>
      </w:r>
    </w:p>
    <w:p>
      <w:pPr>
        <w:pStyle w:val="ListParagraph"/>
        <w:numPr>
          <w:ilvl w:val="0"/>
          <w:numId w:val="3"/>
        </w:numPr>
        <w:spacing w:after="70" w:line="270"/>
      </w:pPr>
      <w:r>
        <w:rPr>
          <w:rFonts w:ascii="Calibri" w:cs="Calibri" w:eastAsia="Calibri" w:hAnsi="Calibri"/>
          <w:color w:val="1A2733"/>
          <w:sz w:val="22"/>
          <w:szCs w:val="22"/>
        </w:rPr>
        <w:t xml:space="preserve">Confundir el mecanismo Estado-Estado (Cap. 20) con el ISDS (Cap. 10).</w:t>
      </w:r>
    </w:p>
    <w:p>
      <w:pPr>
        <w:pStyle w:val="ListParagraph"/>
        <w:numPr>
          <w:ilvl w:val="0"/>
          <w:numId w:val="3"/>
        </w:numPr>
        <w:spacing w:after="70" w:line="270"/>
      </w:pPr>
      <w:r>
        <w:rPr>
          <w:rFonts w:ascii="Calibri" w:cs="Calibri" w:eastAsia="Calibri" w:hAnsi="Calibri"/>
          <w:color w:val="1A2733"/>
          <w:sz w:val="22"/>
          <w:szCs w:val="22"/>
        </w:rPr>
        <w:t xml:space="preserve">Olvidar el Cap. 21 → concluir que una medida viola el tratado sin ver las excepciones.</w:t>
      </w:r>
    </w:p>
    <w:p>
      <w:pPr>
        <w:pStyle w:val="ListParagraph"/>
        <w:numPr>
          <w:ilvl w:val="0"/>
          <w:numId w:val="3"/>
        </w:numPr>
        <w:spacing w:after="70" w:line="270"/>
      </w:pPr>
      <w:r>
        <w:rPr>
          <w:rFonts w:ascii="Calibri" w:cs="Calibri" w:eastAsia="Calibri" w:hAnsi="Calibri"/>
          <w:color w:val="1A2733"/>
          <w:sz w:val="22"/>
          <w:szCs w:val="22"/>
        </w:rPr>
        <w:t xml:space="preserve">No ubicar la fecha de entrada en vigor de RD → calcular mal la desgravación.</w:t>
      </w:r>
    </w:p>
    <w:p>
      <w:pPr>
        <w:pStyle w:val="ListParagraph"/>
        <w:numPr>
          <w:ilvl w:val="0"/>
          <w:numId w:val="3"/>
        </w:numPr>
        <w:spacing w:after="70" w:line="270"/>
      </w:pPr>
      <w:r>
        <w:rPr>
          <w:rFonts w:ascii="Calibri" w:cs="Calibri" w:eastAsia="Calibri" w:hAnsi="Calibri"/>
          <w:color w:val="1A2733"/>
          <w:sz w:val="22"/>
          <w:szCs w:val="22"/>
        </w:rPr>
        <w:t xml:space="preserve">No saber qué es la Comisión de Libre Comercio.</w:t>
      </w:r>
    </w:p>
    <w:p>
      <w:pPr>
        <w:pStyle w:val="Heading2"/>
        <w:spacing w:after="100" w:before="240"/>
      </w:pPr>
      <w:r>
        <w:rPr>
          <w:rFonts w:ascii="Georgia" w:cs="Georgia" w:eastAsia="Georgia" w:hAnsi="Georgia"/>
          <w:b/>
          <w:bCs/>
          <w:color w:val="1F5F6B"/>
          <w:sz w:val="25"/>
          <w:szCs w:val="25"/>
        </w:rPr>
        <w:t xml:space="preserve">7. Glosario mínimo</w:t>
      </w:r>
    </w:p>
    <w:p>
      <w:pPr>
        <w:spacing w:after="60" w:line="264"/>
      </w:pPr>
      <w:r>
        <w:rPr>
          <w:rFonts w:ascii="Calibri" w:cs="Calibri" w:eastAsia="Calibri" w:hAnsi="Calibri"/>
          <w:color w:val="1A2733"/>
          <w:sz w:val="21"/>
          <w:szCs w:val="21"/>
        </w:rPr>
        <w:t xml:space="preserve">Derechos laborales fundamentales · Aplicación efectiva de la ley · No debilitamiento · Petición pública · Transparencia · Anticorrupción · Comisión de Libre Comercio · Comités · Solución de controversias Estado-Estado · Consultas · Panel arbitral · Cumplimiento · Suspensión de beneficios · Contribución monetaria · Excepciones generales (Art. XX GATT) · Seguridad esencial · Entrada en vigor · Denuncia · Depositario (OEA).</w:t>
      </w:r>
    </w:p>
    <w:p>
      <w:pPr>
        <w:pStyle w:val="Heading2"/>
        <w:spacing w:after="100" w:before="240"/>
      </w:pPr>
      <w:r>
        <w:rPr>
          <w:rFonts w:ascii="Georgia" w:cs="Georgia" w:eastAsia="Georgia" w:hAnsi="Georgia"/>
          <w:b/>
          <w:bCs/>
          <w:color w:val="1F5F6B"/>
          <w:sz w:val="25"/>
          <w:szCs w:val="25"/>
        </w:rPr>
        <w:t xml:space="preserve">8. Lectura guiada</w:t>
      </w:r>
    </w:p>
    <w:p>
      <w:pPr>
        <w:pStyle w:val="ListParagraph"/>
        <w:numPr>
          <w:ilvl w:val="0"/>
          <w:numId w:val="3"/>
        </w:numPr>
        <w:spacing w:after="70" w:line="270"/>
      </w:pPr>
      <w:r>
        <w:rPr>
          <w:rFonts w:ascii="Calibri" w:cs="Calibri" w:eastAsia="Calibri" w:hAnsi="Calibri"/>
          <w:color w:val="1A2733"/>
          <w:sz w:val="22"/>
          <w:szCs w:val="22"/>
        </w:rPr>
        <w:t xml:space="preserve">Cap. 16-17: el patrón “aplica tu ley, no la debilites”.</w:t>
      </w:r>
    </w:p>
    <w:p>
      <w:pPr>
        <w:pStyle w:val="ListParagraph"/>
        <w:numPr>
          <w:ilvl w:val="0"/>
          <w:numId w:val="3"/>
        </w:numPr>
        <w:spacing w:after="70" w:line="270"/>
      </w:pPr>
      <w:r>
        <w:rPr>
          <w:rFonts w:ascii="Calibri" w:cs="Calibri" w:eastAsia="Calibri" w:hAnsi="Calibri"/>
          <w:color w:val="1A2733"/>
          <w:sz w:val="22"/>
          <w:szCs w:val="22"/>
        </w:rPr>
        <w:t xml:space="preserve">Cap. 18-19: transparencia, la Comisión y los comités.</w:t>
      </w:r>
    </w:p>
    <w:p>
      <w:pPr>
        <w:pStyle w:val="ListParagraph"/>
        <w:numPr>
          <w:ilvl w:val="0"/>
          <w:numId w:val="3"/>
        </w:numPr>
        <w:spacing w:after="70" w:line="270"/>
      </w:pPr>
      <w:r>
        <w:rPr>
          <w:rFonts w:ascii="Calibri" w:cs="Calibri" w:eastAsia="Calibri" w:hAnsi="Calibri"/>
          <w:color w:val="1A2733"/>
          <w:sz w:val="22"/>
          <w:szCs w:val="22"/>
        </w:rPr>
        <w:t xml:space="preserve">Cap. 20 con cuidado: es el mecanismo que da fuerza a todo. Cap. 21-22: excepciones y entrada en vigor de RD.</w:t>
      </w:r>
    </w:p>
    <w:p>
      <w:pPr>
        <w:pStyle w:val="Heading2"/>
        <w:spacing w:after="100" w:before="240"/>
      </w:pPr>
      <w:r>
        <w:rPr>
          <w:rFonts w:ascii="Georgia" w:cs="Georgia" w:eastAsia="Georgia" w:hAnsi="Georgia"/>
          <w:b/>
          <w:bCs/>
          <w:color w:val="1F5F6B"/>
          <w:sz w:val="25"/>
          <w:szCs w:val="25"/>
        </w:rPr>
        <w:t xml:space="preserve">9. Entregable</w:t>
      </w:r>
    </w:p>
    <w:p>
      <w:pPr>
        <w:spacing w:after="120" w:line="276"/>
      </w:pPr>
      <w:r>
        <w:rPr>
          <w:rFonts w:ascii="Calibri" w:cs="Calibri" w:eastAsia="Calibri" w:hAnsi="Calibri"/>
          <w:color w:val="1A2733"/>
          <w:sz w:val="22"/>
          <w:szCs w:val="22"/>
        </w:rPr>
        <w:t xml:space="preserve">“Esquema del sistema institucional del tratado”: un diagrama de una página con la Comisión de Libre Comercio y sus comités, el flujo de solución de controversias (consultas → Comisión → panel → cumplimiento → suspensión de beneficios / contribución monetaria), la fecha de entrada en vigor para RD y qué excepciones existen.</w:t>
      </w:r>
    </w:p>
    <w:p>
      <w:r>
        <w:br w:type="page"/>
      </w:r>
    </w:p>
    <w:p>
      <w:pPr>
        <w:pStyle w:val="Heading1"/>
        <w:spacing w:after="160" w:before="120"/>
      </w:pPr>
      <w:r>
        <w:rPr>
          <w:rFonts w:ascii="Georgia" w:cs="Georgia" w:eastAsia="Georgia" w:hAnsi="Georgia"/>
          <w:b/>
          <w:bCs/>
          <w:color w:val="13293D"/>
          <w:sz w:val="32"/>
          <w:szCs w:val="32"/>
        </w:rPr>
        <w:t xml:space="preserve">Módulo 10 — Aplicación en la República Dominicana</w:t>
      </w:r>
    </w:p>
    <w:p>
      <w:pPr>
        <w:pStyle w:val="Heading2"/>
        <w:spacing w:after="100" w:before="240"/>
      </w:pPr>
      <w:r>
        <w:rPr>
          <w:rFonts w:ascii="Georgia" w:cs="Georgia" w:eastAsia="Georgia" w:hAnsi="Georgia"/>
          <w:b/>
          <w:bCs/>
          <w:color w:val="1F5F6B"/>
          <w:sz w:val="25"/>
          <w:szCs w:val="25"/>
        </w:rPr>
        <w:t xml:space="preserve">Objetivo del módulo</w:t>
      </w:r>
    </w:p>
    <w:p>
      <w:pPr>
        <w:spacing w:after="120" w:line="276"/>
      </w:pPr>
      <w:r>
        <w:rPr>
          <w:rFonts w:ascii="Calibri" w:cs="Calibri" w:eastAsia="Calibri" w:hAnsi="Calibri"/>
          <w:color w:val="1A2733"/>
          <w:sz w:val="22"/>
          <w:szCs w:val="22"/>
        </w:rPr>
        <w:t xml:space="preserve">Al terminar, el estudiante sabrá cómo se ejecuta el DR-CAFTA dentro de RD: qué leyes lo incorporaron, qué instituciones lo administran, qué sistemas y ventanillas se usan, y cómo se aplican en la práctica dominicana la desgravación, el origen, el despacho y las barreras no arancelarias. Es el módulo que cierra el círculo, del texto internacional a la aduana, la ventanilla y el escritorio del día a día.</w:t>
      </w:r>
    </w:p>
    <w:p>
      <w:pPr>
        <w:pStyle w:val="Heading2"/>
        <w:spacing w:after="100" w:before="240"/>
      </w:pPr>
      <w:r>
        <w:rPr>
          <w:rFonts w:ascii="Georgia" w:cs="Georgia" w:eastAsia="Georgia" w:hAnsi="Georgia"/>
          <w:b/>
          <w:bCs/>
          <w:color w:val="1F5F6B"/>
          <w:sz w:val="25"/>
          <w:szCs w:val="25"/>
        </w:rPr>
        <w:t xml:space="preserve">1. La incorporación al derecho dominicano</w:t>
      </w:r>
    </w:p>
    <w:p>
      <w:pPr>
        <w:pStyle w:val="ListParagraph"/>
        <w:numPr>
          <w:ilvl w:val="0"/>
          <w:numId w:val="3"/>
        </w:numPr>
        <w:spacing w:after="70" w:line="270"/>
      </w:pPr>
      <w:r>
        <w:rPr>
          <w:rFonts w:ascii="Calibri" w:cs="Calibri" w:eastAsia="Calibri" w:hAnsi="Calibri"/>
          <w:b/>
          <w:bCs/>
          <w:color w:val="13293D"/>
          <w:sz w:val="22"/>
          <w:szCs w:val="22"/>
        </w:rPr>
        <w:t xml:space="preserve">Ratificación: </w:t>
      </w:r>
      <w:r>
        <w:rPr>
          <w:rFonts w:ascii="Calibri" w:cs="Calibri" w:eastAsia="Calibri" w:hAnsi="Calibri"/>
          <w:color w:val="1A2733"/>
          <w:sz w:val="22"/>
          <w:szCs w:val="22"/>
        </w:rPr>
        <w:t xml:space="preserve">aprobado por el Congreso Nacional, se hizo parte del ordenamiento jurídico dominicano.</w:t>
      </w:r>
    </w:p>
    <w:p>
      <w:pPr>
        <w:pStyle w:val="ListParagraph"/>
        <w:numPr>
          <w:ilvl w:val="0"/>
          <w:numId w:val="3"/>
        </w:numPr>
        <w:spacing w:after="70" w:line="270"/>
      </w:pPr>
      <w:r>
        <w:rPr>
          <w:rFonts w:ascii="Calibri" w:cs="Calibri" w:eastAsia="Calibri" w:hAnsi="Calibri"/>
          <w:b/>
          <w:bCs/>
          <w:color w:val="13293D"/>
          <w:sz w:val="22"/>
          <w:szCs w:val="22"/>
        </w:rPr>
        <w:t xml:space="preserve">Entrada en vigor para RD: marzo de 2007: </w:t>
      </w:r>
      <w:r>
        <w:rPr>
          <w:rFonts w:ascii="Calibri" w:cs="Calibri" w:eastAsia="Calibri" w:hAnsi="Calibri"/>
          <w:color w:val="1A2733"/>
          <w:sz w:val="22"/>
          <w:szCs w:val="22"/>
        </w:rPr>
        <w:t xml:space="preserve">el “año cero” de todos los cronogramas de desgravación, la referencia para calcular en qué punto de su canasta está hoy cada producto.</w:t>
      </w:r>
    </w:p>
    <w:p>
      <w:pPr>
        <w:pStyle w:val="ListParagraph"/>
        <w:numPr>
          <w:ilvl w:val="0"/>
          <w:numId w:val="3"/>
        </w:numPr>
        <w:spacing w:after="70" w:line="270"/>
      </w:pPr>
      <w:r>
        <w:rPr>
          <w:rFonts w:ascii="Calibri" w:cs="Calibri" w:eastAsia="Calibri" w:hAnsi="Calibri"/>
          <w:b/>
          <w:bCs/>
          <w:color w:val="13293D"/>
          <w:sz w:val="22"/>
          <w:szCs w:val="22"/>
        </w:rPr>
        <w:t xml:space="preserve">Legislación de implementación: </w:t>
      </w:r>
      <w:r>
        <w:rPr>
          <w:rFonts w:ascii="Calibri" w:cs="Calibri" w:eastAsia="Calibri" w:hAnsi="Calibri"/>
          <w:color w:val="1A2733"/>
          <w:sz w:val="22"/>
          <w:szCs w:val="22"/>
        </w:rPr>
        <w:t xml:space="preserve">se adoptaron y ajustaron leyes y reglamentos internos (propiedad intelectual, aduanas, contratación pública). En la práctica se trabaja con ambos: el tratado y la norma dominicana que lo ejecuta.</w:t>
      </w:r>
    </w:p>
    <w:p>
      <w:pPr>
        <w:pStyle w:val="Heading2"/>
        <w:spacing w:after="100" w:before="240"/>
      </w:pPr>
      <w:r>
        <w:rPr>
          <w:rFonts w:ascii="Georgia" w:cs="Georgia" w:eastAsia="Georgia" w:hAnsi="Georgia"/>
          <w:b/>
          <w:bCs/>
          <w:color w:val="1F5F6B"/>
          <w:sz w:val="25"/>
          <w:szCs w:val="25"/>
        </w:rPr>
        <w:t xml:space="preserve">2. Las instituciones dominicanas</w:t>
      </w:r>
    </w:p>
    <w:p>
      <w:pPr>
        <w:pStyle w:val="ListParagraph"/>
        <w:numPr>
          <w:ilvl w:val="0"/>
          <w:numId w:val="3"/>
        </w:numPr>
        <w:spacing w:after="70" w:line="270"/>
      </w:pPr>
      <w:r>
        <w:rPr>
          <w:rFonts w:ascii="Calibri" w:cs="Calibri" w:eastAsia="Calibri" w:hAnsi="Calibri"/>
          <w:b/>
          <w:bCs/>
          <w:color w:val="13293D"/>
          <w:sz w:val="22"/>
          <w:szCs w:val="22"/>
        </w:rPr>
        <w:t xml:space="preserve">DGA (Dirección General de Aduanas): </w:t>
      </w:r>
      <w:r>
        <w:rPr>
          <w:rFonts w:ascii="Calibri" w:cs="Calibri" w:eastAsia="Calibri" w:hAnsi="Calibri"/>
          <w:color w:val="1A2733"/>
          <w:sz w:val="22"/>
          <w:szCs w:val="22"/>
        </w:rPr>
        <w:t xml:space="preserve">la autoridad aduanera: ejecuta el despacho, aplica el arancel, administra el origen en frontera (recibe certificaciones, hace verificaciones) y opera la facilitación del Cap. 5.</w:t>
      </w:r>
    </w:p>
    <w:p>
      <w:pPr>
        <w:pStyle w:val="ListParagraph"/>
        <w:numPr>
          <w:ilvl w:val="0"/>
          <w:numId w:val="3"/>
        </w:numPr>
        <w:spacing w:after="70" w:line="270"/>
      </w:pPr>
      <w:r>
        <w:rPr>
          <w:rFonts w:ascii="Calibri" w:cs="Calibri" w:eastAsia="Calibri" w:hAnsi="Calibri"/>
          <w:b/>
          <w:bCs/>
          <w:color w:val="13293D"/>
          <w:sz w:val="22"/>
          <w:szCs w:val="22"/>
        </w:rPr>
        <w:t xml:space="preserve">MICM / DICOEX: </w:t>
      </w:r>
      <w:r>
        <w:rPr>
          <w:rFonts w:ascii="Calibri" w:cs="Calibri" w:eastAsia="Calibri" w:hAnsi="Calibri"/>
          <w:color w:val="1A2733"/>
          <w:sz w:val="22"/>
          <w:szCs w:val="22"/>
        </w:rPr>
        <w:t xml:space="preserve">el brazo de política comercial: administra los acuerdos, coordina la posición dominicana, gestiona los contingentes y representa a RD en la Comisión de Libre Comercio.</w:t>
      </w:r>
    </w:p>
    <w:p>
      <w:pPr>
        <w:pStyle w:val="ListParagraph"/>
        <w:numPr>
          <w:ilvl w:val="0"/>
          <w:numId w:val="3"/>
        </w:numPr>
        <w:spacing w:after="70" w:line="270"/>
      </w:pPr>
      <w:r>
        <w:rPr>
          <w:rFonts w:ascii="Calibri" w:cs="Calibri" w:eastAsia="Calibri" w:hAnsi="Calibri"/>
          <w:b/>
          <w:bCs/>
          <w:color w:val="13293D"/>
          <w:sz w:val="22"/>
          <w:szCs w:val="22"/>
        </w:rPr>
        <w:t xml:space="preserve">Agencias de barreras no arancelarias: </w:t>
      </w:r>
      <w:r>
        <w:rPr>
          <w:rFonts w:ascii="Calibri" w:cs="Calibri" w:eastAsia="Calibri" w:hAnsi="Calibri"/>
          <w:color w:val="1A2733"/>
          <w:sz w:val="22"/>
          <w:szCs w:val="22"/>
        </w:rPr>
        <w:t xml:space="preserve">sanidad e inocuidad agropecuaria (certificados zoo/fitosanitarios), salud pública (registro sanitario de alimentos y fármacos), medio ambiente, y el organismo de normas técnicas.</w:t>
      </w:r>
    </w:p>
    <w:p>
      <w:pPr>
        <w:pStyle w:val="ListParagraph"/>
        <w:numPr>
          <w:ilvl w:val="0"/>
          <w:numId w:val="3"/>
        </w:numPr>
        <w:spacing w:after="70" w:line="270"/>
      </w:pPr>
      <w:r>
        <w:rPr>
          <w:rFonts w:ascii="Calibri" w:cs="Calibri" w:eastAsia="Calibri" w:hAnsi="Calibri"/>
          <w:b/>
          <w:bCs/>
          <w:color w:val="13293D"/>
          <w:sz w:val="22"/>
          <w:szCs w:val="22"/>
        </w:rPr>
        <w:t xml:space="preserve">Regímenes especiales: </w:t>
      </w:r>
      <w:r>
        <w:rPr>
          <w:rFonts w:ascii="Calibri" w:cs="Calibri" w:eastAsia="Calibri" w:hAnsi="Calibri"/>
          <w:color w:val="1A2733"/>
          <w:sz w:val="22"/>
          <w:szCs w:val="22"/>
        </w:rPr>
        <w:t xml:space="preserve">zonas francas y entidades que administran regímenes particulares. Por cada requisito no arancelario del Módulo 6 debes poder nombrar la agencia dominicana que lo administra.</w:t>
      </w:r>
    </w:p>
    <w:p>
      <w:pPr>
        <w:pStyle w:val="Heading2"/>
        <w:spacing w:after="100" w:before="240"/>
      </w:pPr>
      <w:r>
        <w:rPr>
          <w:rFonts w:ascii="Georgia" w:cs="Georgia" w:eastAsia="Georgia" w:hAnsi="Georgia"/>
          <w:b/>
          <w:bCs/>
          <w:color w:val="1F5F6B"/>
          <w:sz w:val="25"/>
          <w:szCs w:val="25"/>
        </w:rPr>
        <w:t xml:space="preserve">3. Los sistemas y ventanillas</w:t>
      </w:r>
    </w:p>
    <w:p>
      <w:pPr>
        <w:pStyle w:val="ListParagraph"/>
        <w:numPr>
          <w:ilvl w:val="0"/>
          <w:numId w:val="3"/>
        </w:numPr>
        <w:spacing w:after="70" w:line="270"/>
      </w:pPr>
      <w:r>
        <w:rPr>
          <w:rFonts w:ascii="Calibri" w:cs="Calibri" w:eastAsia="Calibri" w:hAnsi="Calibri"/>
          <w:b/>
          <w:bCs/>
          <w:color w:val="13293D"/>
          <w:sz w:val="22"/>
          <w:szCs w:val="22"/>
        </w:rPr>
        <w:t xml:space="preserve">SIGA (Sistema Integrado de Gestión Aduanera): </w:t>
      </w:r>
      <w:r>
        <w:rPr>
          <w:rFonts w:ascii="Calibri" w:cs="Calibri" w:eastAsia="Calibri" w:hAnsi="Calibri"/>
          <w:color w:val="1A2733"/>
          <w:sz w:val="22"/>
          <w:szCs w:val="22"/>
        </w:rPr>
        <w:t xml:space="preserve">la plataforma de la DGA donde se tramita el despacho: declaración, pago, asignación de canal de riesgo y liberación. Es la materialización de la automatización y gestión de riesgo del Cap. 5.</w:t>
      </w:r>
    </w:p>
    <w:p>
      <w:pPr>
        <w:pStyle w:val="ListParagraph"/>
        <w:numPr>
          <w:ilvl w:val="0"/>
          <w:numId w:val="3"/>
        </w:numPr>
        <w:spacing w:after="70" w:line="270"/>
      </w:pPr>
      <w:r>
        <w:rPr>
          <w:rFonts w:ascii="Calibri" w:cs="Calibri" w:eastAsia="Calibri" w:hAnsi="Calibri"/>
          <w:b/>
          <w:bCs/>
          <w:color w:val="13293D"/>
          <w:sz w:val="22"/>
          <w:szCs w:val="22"/>
        </w:rPr>
        <w:t xml:space="preserve">VUCE (Ventanilla Única de Comercio Exterior): </w:t>
      </w:r>
      <w:r>
        <w:rPr>
          <w:rFonts w:ascii="Calibri" w:cs="Calibri" w:eastAsia="Calibri" w:hAnsi="Calibri"/>
          <w:color w:val="1A2733"/>
          <w:sz w:val="22"/>
          <w:szCs w:val="22"/>
        </w:rPr>
        <w:t xml:space="preserve">integra los permisos y autorizaciones de las distintas agencias en un solo punto. Es la fuente natural de qué permisos exige cada producto.</w:t>
      </w:r>
    </w:p>
    <w:p>
      <w:pPr>
        <w:pStyle w:val="ListParagraph"/>
        <w:numPr>
          <w:ilvl w:val="0"/>
          <w:numId w:val="3"/>
        </w:numPr>
        <w:spacing w:after="70" w:line="270"/>
      </w:pPr>
      <w:r>
        <w:rPr>
          <w:rFonts w:ascii="Calibri" w:cs="Calibri" w:eastAsia="Calibri" w:hAnsi="Calibri"/>
          <w:b/>
          <w:bCs/>
          <w:color w:val="13293D"/>
          <w:sz w:val="22"/>
          <w:szCs w:val="22"/>
        </w:rPr>
        <w:t xml:space="preserve">Arancel de Aduanas de RD: </w:t>
      </w:r>
      <w:r>
        <w:rPr>
          <w:rFonts w:ascii="Calibri" w:cs="Calibri" w:eastAsia="Calibri" w:hAnsi="Calibri"/>
          <w:color w:val="1A2733"/>
          <w:sz w:val="22"/>
          <w:szCs w:val="22"/>
        </w:rPr>
        <w:t xml:space="preserve">la nomenclatura nacional (basada en el HS) con los aranceles vigentes, para contrastar el arancel preferencial del tratado contra el arancel NMF.</w:t>
      </w:r>
    </w:p>
    <w:p>
      <w:pPr>
        <w:pStyle w:val="Heading2"/>
        <w:spacing w:after="100" w:before="240"/>
      </w:pPr>
      <w:r>
        <w:rPr>
          <w:rFonts w:ascii="Georgia" w:cs="Georgia" w:eastAsia="Georgia" w:hAnsi="Georgia"/>
          <w:b/>
          <w:bCs/>
          <w:color w:val="1F5F6B"/>
          <w:sz w:val="25"/>
          <w:szCs w:val="25"/>
        </w:rPr>
        <w:t xml:space="preserve">4. Cómo se aplican los módulos anteriores en RD</w:t>
      </w:r>
    </w:p>
    <w:p>
      <w:pPr>
        <w:pStyle w:val="ListParagraph"/>
        <w:numPr>
          <w:ilvl w:val="0"/>
          <w:numId w:val="3"/>
        </w:numPr>
        <w:spacing w:after="70" w:line="270"/>
      </w:pPr>
      <w:r>
        <w:rPr>
          <w:rFonts w:ascii="Calibri" w:cs="Calibri" w:eastAsia="Calibri" w:hAnsi="Calibri"/>
          <w:color w:val="1A2733"/>
          <w:sz w:val="22"/>
          <w:szCs w:val="22"/>
        </w:rPr>
        <w:t xml:space="preserve">Desgravación (Mód. 2): se calcula desde la entrada en vigor (2007) y la categoría de la Lista de RD; los contingentes se administran por el Reglamento 505-10.</w:t>
      </w:r>
    </w:p>
    <w:p>
      <w:pPr>
        <w:pStyle w:val="ListParagraph"/>
        <w:numPr>
          <w:ilvl w:val="0"/>
          <w:numId w:val="3"/>
        </w:numPr>
        <w:spacing w:after="70" w:line="270"/>
      </w:pPr>
      <w:r>
        <w:rPr>
          <w:rFonts w:ascii="Calibri" w:cs="Calibri" w:eastAsia="Calibri" w:hAnsi="Calibri"/>
          <w:color w:val="1A2733"/>
          <w:sz w:val="22"/>
          <w:szCs w:val="22"/>
        </w:rPr>
        <w:t xml:space="preserve">Origen (Mód. 3-4): la certificación se presenta ante la DGA, que conserva la potestad de verificación (apoyada en la cooperación aduanera); las resoluciones anticipadas se solicitan a la DGA.</w:t>
      </w:r>
    </w:p>
    <w:p>
      <w:pPr>
        <w:pStyle w:val="ListParagraph"/>
        <w:numPr>
          <w:ilvl w:val="0"/>
          <w:numId w:val="3"/>
        </w:numPr>
        <w:spacing w:after="70" w:line="270"/>
      </w:pPr>
      <w:r>
        <w:rPr>
          <w:rFonts w:ascii="Calibri" w:cs="Calibri" w:eastAsia="Calibri" w:hAnsi="Calibri"/>
          <w:color w:val="1A2733"/>
          <w:sz w:val="22"/>
          <w:szCs w:val="22"/>
        </w:rPr>
        <w:t xml:space="preserve">Despacho (Mód. 5): se ejecuta por el SIGA, con canales de riesgo, presentación anticipada y el umbral de minimis vigente para courier.</w:t>
      </w:r>
    </w:p>
    <w:p>
      <w:pPr>
        <w:pStyle w:val="ListParagraph"/>
        <w:numPr>
          <w:ilvl w:val="0"/>
          <w:numId w:val="3"/>
        </w:numPr>
        <w:spacing w:after="70" w:line="270"/>
      </w:pPr>
      <w:r>
        <w:rPr>
          <w:rFonts w:ascii="Calibri" w:cs="Calibri" w:eastAsia="Calibri" w:hAnsi="Calibri"/>
          <w:color w:val="1A2733"/>
          <w:sz w:val="22"/>
          <w:szCs w:val="22"/>
        </w:rPr>
        <w:t xml:space="preserve">Barreras no arancelarias (Mód. 6): cada producto que requiere permiso pasa por la agencia competente, idealmente integrada en la VUCE.</w:t>
      </w:r>
    </w:p>
    <w:p>
      <w:pPr>
        <w:pStyle w:val="Heading2"/>
        <w:spacing w:after="100" w:before="240"/>
      </w:pPr>
      <w:r>
        <w:rPr>
          <w:rFonts w:ascii="Georgia" w:cs="Georgia" w:eastAsia="Georgia" w:hAnsi="Georgia"/>
          <w:b/>
          <w:bCs/>
          <w:color w:val="1F5F6B"/>
          <w:sz w:val="25"/>
          <w:szCs w:val="25"/>
        </w:rPr>
        <w:t xml:space="preserve">5. El ejercicio integrador — resolver una importación real en RD</w:t>
      </w:r>
    </w:p>
    <w:p>
      <w:pPr>
        <w:pStyle w:val="ListParagraph"/>
        <w:numPr>
          <w:ilvl w:val="0"/>
          <w:numId w:val="2"/>
        </w:numPr>
        <w:spacing w:after="70" w:line="270"/>
      </w:pPr>
      <w:r>
        <w:rPr>
          <w:rFonts w:ascii="Calibri" w:cs="Calibri" w:eastAsia="Calibri" w:hAnsi="Calibri"/>
          <w:color w:val="1A2733"/>
          <w:sz w:val="22"/>
          <w:szCs w:val="22"/>
        </w:rPr>
        <w:t xml:space="preserve">Clasifica el producto (HS) — base de todo.</w:t>
      </w:r>
    </w:p>
    <w:p>
      <w:pPr>
        <w:pStyle w:val="ListParagraph"/>
        <w:numPr>
          <w:ilvl w:val="0"/>
          <w:numId w:val="2"/>
        </w:numPr>
        <w:spacing w:after="70" w:line="270"/>
      </w:pPr>
      <w:r>
        <w:rPr>
          <w:rFonts w:ascii="Calibri" w:cs="Calibri" w:eastAsia="Calibri" w:hAnsi="Calibri"/>
          <w:color w:val="1A2733"/>
          <w:sz w:val="22"/>
          <w:szCs w:val="22"/>
        </w:rPr>
        <w:t xml:space="preserve">Determina el origen (Mód. 3-4): ¿califica? con qué criterio.</w:t>
      </w:r>
    </w:p>
    <w:p>
      <w:pPr>
        <w:pStyle w:val="ListParagraph"/>
        <w:numPr>
          <w:ilvl w:val="0"/>
          <w:numId w:val="2"/>
        </w:numPr>
        <w:spacing w:after="70" w:line="270"/>
      </w:pPr>
      <w:r>
        <w:rPr>
          <w:rFonts w:ascii="Calibri" w:cs="Calibri" w:eastAsia="Calibri" w:hAnsi="Calibri"/>
          <w:color w:val="1A2733"/>
          <w:sz w:val="22"/>
          <w:szCs w:val="22"/>
        </w:rPr>
        <w:t xml:space="preserve">Calcula el arancel preferencial (Mód. 2): categoría, año, contingente; contrasta con el arancel nacional (DGA).</w:t>
      </w:r>
    </w:p>
    <w:p>
      <w:pPr>
        <w:pStyle w:val="ListParagraph"/>
        <w:numPr>
          <w:ilvl w:val="0"/>
          <w:numId w:val="2"/>
        </w:numPr>
        <w:spacing w:after="70" w:line="270"/>
      </w:pPr>
      <w:r>
        <w:rPr>
          <w:rFonts w:ascii="Calibri" w:cs="Calibri" w:eastAsia="Calibri" w:hAnsi="Calibri"/>
          <w:color w:val="1A2733"/>
          <w:sz w:val="22"/>
          <w:szCs w:val="22"/>
        </w:rPr>
        <w:t xml:space="preserve">Identifica las barreras no arancelarias (Mód. 6): qué permisos, de qué agencias, vía VUCE.</w:t>
      </w:r>
    </w:p>
    <w:p>
      <w:pPr>
        <w:pStyle w:val="ListParagraph"/>
        <w:numPr>
          <w:ilvl w:val="0"/>
          <w:numId w:val="2"/>
        </w:numPr>
        <w:spacing w:after="70" w:line="270"/>
      </w:pPr>
      <w:r>
        <w:rPr>
          <w:rFonts w:ascii="Calibri" w:cs="Calibri" w:eastAsia="Calibri" w:hAnsi="Calibri"/>
          <w:color w:val="1A2733"/>
          <w:sz w:val="22"/>
          <w:szCs w:val="22"/>
        </w:rPr>
        <w:t xml:space="preserve">Prepara la certificación de origen y los soportes (Mód. 4) para la DGA.</w:t>
      </w:r>
    </w:p>
    <w:p>
      <w:pPr>
        <w:pStyle w:val="ListParagraph"/>
        <w:numPr>
          <w:ilvl w:val="0"/>
          <w:numId w:val="2"/>
        </w:numPr>
        <w:spacing w:after="70" w:line="270"/>
      </w:pPr>
      <w:r>
        <w:rPr>
          <w:rFonts w:ascii="Calibri" w:cs="Calibri" w:eastAsia="Calibri" w:hAnsi="Calibri"/>
          <w:color w:val="1A2733"/>
          <w:sz w:val="22"/>
          <w:szCs w:val="22"/>
        </w:rPr>
        <w:t xml:space="preserve">Planifica el despacho por SIGA (Mód. 5): documentación anticipada, canal de riesgo, minimis si es courier.</w:t>
      </w:r>
    </w:p>
    <w:p>
      <w:pPr>
        <w:pStyle w:val="ListParagraph"/>
        <w:numPr>
          <w:ilvl w:val="0"/>
          <w:numId w:val="2"/>
        </w:numPr>
        <w:spacing w:after="70" w:line="270"/>
      </w:pPr>
      <w:r>
        <w:rPr>
          <w:rFonts w:ascii="Calibri" w:cs="Calibri" w:eastAsia="Calibri" w:hAnsi="Calibri"/>
          <w:color w:val="1A2733"/>
          <w:sz w:val="22"/>
          <w:szCs w:val="22"/>
        </w:rPr>
        <w:t xml:space="preserve">Estima dificultad, tiempo y costo total de la operación — el diagnóstico completo que un cliente paga.</w:t>
      </w:r>
    </w:p>
    <w:p>
      <w:pPr>
        <w:pStyle w:val="Heading2"/>
        <w:spacing w:after="100" w:before="240"/>
      </w:pPr>
      <w:r>
        <w:rPr>
          <w:rFonts w:ascii="Georgia" w:cs="Georgia" w:eastAsia="Georgia" w:hAnsi="Georgia"/>
          <w:b/>
          <w:bCs/>
          <w:color w:val="1F5F6B"/>
          <w:sz w:val="25"/>
          <w:szCs w:val="25"/>
        </w:rPr>
        <w:t xml:space="preserve">6. Trampas comunes</w:t>
      </w:r>
    </w:p>
    <w:p>
      <w:pPr>
        <w:pStyle w:val="ListParagraph"/>
        <w:numPr>
          <w:ilvl w:val="0"/>
          <w:numId w:val="3"/>
        </w:numPr>
        <w:spacing w:after="70" w:line="270"/>
      </w:pPr>
      <w:r>
        <w:rPr>
          <w:rFonts w:ascii="Calibri" w:cs="Calibri" w:eastAsia="Calibri" w:hAnsi="Calibri"/>
          <w:color w:val="1A2733"/>
          <w:sz w:val="22"/>
          <w:szCs w:val="22"/>
        </w:rPr>
        <w:t xml:space="preserve">Quedarse en el texto del tratado y no saber en qué sistema o agencia se ejecuta.</w:t>
      </w:r>
    </w:p>
    <w:p>
      <w:pPr>
        <w:pStyle w:val="ListParagraph"/>
        <w:numPr>
          <w:ilvl w:val="0"/>
          <w:numId w:val="3"/>
        </w:numPr>
        <w:spacing w:after="70" w:line="270"/>
      </w:pPr>
      <w:r>
        <w:rPr>
          <w:rFonts w:ascii="Calibri" w:cs="Calibri" w:eastAsia="Calibri" w:hAnsi="Calibri"/>
          <w:color w:val="1A2733"/>
          <w:sz w:val="22"/>
          <w:szCs w:val="22"/>
        </w:rPr>
        <w:t xml:space="preserve">Calcular la desgravación sin anclar en la entrada en vigor de RD (2007).</w:t>
      </w:r>
    </w:p>
    <w:p>
      <w:pPr>
        <w:pStyle w:val="ListParagraph"/>
        <w:numPr>
          <w:ilvl w:val="0"/>
          <w:numId w:val="3"/>
        </w:numPr>
        <w:spacing w:after="70" w:line="270"/>
      </w:pPr>
      <w:r>
        <w:rPr>
          <w:rFonts w:ascii="Calibri" w:cs="Calibri" w:eastAsia="Calibri" w:hAnsi="Calibri"/>
          <w:color w:val="1A2733"/>
          <w:sz w:val="22"/>
          <w:szCs w:val="22"/>
        </w:rPr>
        <w:t xml:space="preserve">Ignorar el Reglamento 505-10 al manejar productos con contingente.</w:t>
      </w:r>
    </w:p>
    <w:p>
      <w:pPr>
        <w:pStyle w:val="ListParagraph"/>
        <w:numPr>
          <w:ilvl w:val="0"/>
          <w:numId w:val="3"/>
        </w:numPr>
        <w:spacing w:after="70" w:line="270"/>
      </w:pPr>
      <w:r>
        <w:rPr>
          <w:rFonts w:ascii="Calibri" w:cs="Calibri" w:eastAsia="Calibri" w:hAnsi="Calibri"/>
          <w:color w:val="1A2733"/>
          <w:sz w:val="22"/>
          <w:szCs w:val="22"/>
        </w:rPr>
        <w:t xml:space="preserve">No mapear cada requisito no arancelario a su agencia dominicana.</w:t>
      </w:r>
    </w:p>
    <w:p>
      <w:pPr>
        <w:pStyle w:val="ListParagraph"/>
        <w:numPr>
          <w:ilvl w:val="0"/>
          <w:numId w:val="3"/>
        </w:numPr>
        <w:spacing w:after="70" w:line="270"/>
      </w:pPr>
      <w:r>
        <w:rPr>
          <w:rFonts w:ascii="Calibri" w:cs="Calibri" w:eastAsia="Calibri" w:hAnsi="Calibri"/>
          <w:color w:val="1A2733"/>
          <w:sz w:val="22"/>
          <w:szCs w:val="22"/>
        </w:rPr>
        <w:t xml:space="preserve">Tratar el tratado y la norma dominicana como excluyentes: se aplican juntos.</w:t>
      </w:r>
    </w:p>
    <w:p>
      <w:pPr>
        <w:pStyle w:val="ListParagraph"/>
        <w:numPr>
          <w:ilvl w:val="0"/>
          <w:numId w:val="3"/>
        </w:numPr>
        <w:spacing w:after="70" w:line="270"/>
      </w:pPr>
      <w:r>
        <w:rPr>
          <w:rFonts w:ascii="Calibri" w:cs="Calibri" w:eastAsia="Calibri" w:hAnsi="Calibri"/>
          <w:color w:val="1A2733"/>
          <w:sz w:val="22"/>
          <w:szCs w:val="22"/>
        </w:rPr>
        <w:t xml:space="preserve">Desconocer el umbral de minimis vigente en RD para courier.</w:t>
      </w:r>
    </w:p>
    <w:p>
      <w:pPr>
        <w:pStyle w:val="Heading2"/>
        <w:spacing w:after="100" w:before="240"/>
      </w:pPr>
      <w:r>
        <w:rPr>
          <w:rFonts w:ascii="Georgia" w:cs="Georgia" w:eastAsia="Georgia" w:hAnsi="Georgia"/>
          <w:b/>
          <w:bCs/>
          <w:color w:val="1F5F6B"/>
          <w:sz w:val="25"/>
          <w:szCs w:val="25"/>
        </w:rPr>
        <w:t xml:space="preserve">7. Glosario mínimo</w:t>
      </w:r>
    </w:p>
    <w:p>
      <w:pPr>
        <w:spacing w:after="60" w:line="264"/>
      </w:pPr>
      <w:r>
        <w:rPr>
          <w:rFonts w:ascii="Calibri" w:cs="Calibri" w:eastAsia="Calibri" w:hAnsi="Calibri"/>
          <w:color w:val="1A2733"/>
          <w:sz w:val="21"/>
          <w:szCs w:val="21"/>
        </w:rPr>
        <w:t xml:space="preserve">Ratificación · Entrada en vigor (RD, 2007) · Legislación de implementación · DGA · SIGA · Canal de riesgo · MICM · DICOEX · VUCE · Arancel de Aduanas de RD · Reglamento 505-10 · Registro sanitario · Certificado fitosanitario/zoosanitario · Agencia competente · Verificación de origen (DGA) · Resolución anticipada (DGA) · Umbral de minimis.</w:t>
      </w:r>
    </w:p>
    <w:p>
      <w:pPr>
        <w:pStyle w:val="Heading2"/>
        <w:spacing w:after="100" w:before="240"/>
      </w:pPr>
      <w:r>
        <w:rPr>
          <w:rFonts w:ascii="Georgia" w:cs="Georgia" w:eastAsia="Georgia" w:hAnsi="Georgia"/>
          <w:b/>
          <w:bCs/>
          <w:color w:val="1F5F6B"/>
          <w:sz w:val="25"/>
          <w:szCs w:val="25"/>
        </w:rPr>
        <w:t xml:space="preserve">8. Lectura guiada (fuentes dominicanas)</w:t>
      </w:r>
    </w:p>
    <w:p>
      <w:pPr>
        <w:pStyle w:val="ListParagraph"/>
        <w:numPr>
          <w:ilvl w:val="0"/>
          <w:numId w:val="3"/>
        </w:numPr>
        <w:spacing w:after="70" w:line="270"/>
      </w:pPr>
      <w:r>
        <w:rPr>
          <w:rFonts w:ascii="Calibri" w:cs="Calibri" w:eastAsia="Calibri" w:hAnsi="Calibri"/>
          <w:color w:val="1A2733"/>
          <w:sz w:val="22"/>
          <w:szCs w:val="22"/>
        </w:rPr>
        <w:t xml:space="preserve">Portal de la DGA (aduanas.gob.do): arancel, procedimientos, SIGA, normativa.</w:t>
      </w:r>
    </w:p>
    <w:p>
      <w:pPr>
        <w:pStyle w:val="ListParagraph"/>
        <w:numPr>
          <w:ilvl w:val="0"/>
          <w:numId w:val="3"/>
        </w:numPr>
        <w:spacing w:after="70" w:line="270"/>
      </w:pPr>
      <w:r>
        <w:rPr>
          <w:rFonts w:ascii="Calibri" w:cs="Calibri" w:eastAsia="Calibri" w:hAnsi="Calibri"/>
          <w:color w:val="1A2733"/>
          <w:sz w:val="22"/>
          <w:szCs w:val="22"/>
        </w:rPr>
        <w:t xml:space="preserve">MICM / administración de tratados y el folleto “DR-CAFTA: Un tratado multilateral”.</w:t>
      </w:r>
    </w:p>
    <w:p>
      <w:pPr>
        <w:pStyle w:val="ListParagraph"/>
        <w:numPr>
          <w:ilvl w:val="0"/>
          <w:numId w:val="3"/>
        </w:numPr>
        <w:spacing w:after="70" w:line="270"/>
      </w:pPr>
      <w:r>
        <w:rPr>
          <w:rFonts w:ascii="Calibri" w:cs="Calibri" w:eastAsia="Calibri" w:hAnsi="Calibri"/>
          <w:color w:val="1A2733"/>
          <w:sz w:val="22"/>
          <w:szCs w:val="22"/>
        </w:rPr>
        <w:t xml:space="preserve">VUCE: catálogo de permisos por producto y agencia.</w:t>
      </w:r>
    </w:p>
    <w:p>
      <w:pPr>
        <w:pStyle w:val="ListParagraph"/>
        <w:numPr>
          <w:ilvl w:val="0"/>
          <w:numId w:val="3"/>
        </w:numPr>
        <w:spacing w:after="70" w:line="270"/>
      </w:pPr>
      <w:r>
        <w:rPr>
          <w:rFonts w:ascii="Calibri" w:cs="Calibri" w:eastAsia="Calibri" w:hAnsi="Calibri"/>
          <w:color w:val="1A2733"/>
          <w:sz w:val="22"/>
          <w:szCs w:val="22"/>
        </w:rPr>
        <w:t xml:space="preserve">Reglamento 505-10 y las leyes de implementación (PI, aduanas).</w:t>
      </w:r>
    </w:p>
    <w:p>
      <w:pPr>
        <w:pStyle w:val="Heading2"/>
        <w:spacing w:after="100" w:before="240"/>
      </w:pPr>
      <w:r>
        <w:rPr>
          <w:rFonts w:ascii="Georgia" w:cs="Georgia" w:eastAsia="Georgia" w:hAnsi="Georgia"/>
          <w:b/>
          <w:bCs/>
          <w:color w:val="1F5F6B"/>
          <w:sz w:val="25"/>
          <w:szCs w:val="25"/>
        </w:rPr>
        <w:t xml:space="preserve">9. Entregable — proyecto final del curso</w:t>
      </w:r>
    </w:p>
    <w:p>
      <w:pPr>
        <w:spacing w:after="120" w:line="276"/>
      </w:pPr>
      <w:r>
        <w:rPr>
          <w:rFonts w:ascii="Calibri" w:cs="Calibri" w:eastAsia="Calibri" w:hAnsi="Calibri"/>
          <w:color w:val="1A2733"/>
          <w:sz w:val="22"/>
          <w:szCs w:val="22"/>
        </w:rPr>
        <w:t xml:space="preserve">“Diagnóstico integral de una importación real bajo DR-CAFTA en RD”: un informe completo que recorre los pasos del método integrador: clasificación HS, dictamen de origen con criterio, arancel preferencial vigente vs. NMF, mapa de barreras no arancelarias con sus agencias, certificación de origen redactada, plan de despacho por SIGA, y una estimación final de dificultad, tiempo y costo. Este informe demuestra dominio de todo el curso y es el prototipo funcional de lo que el sistema de IA automatizaría.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8"/>
        <w:sz w:val="16"/>
        <w:szCs w:val="16"/>
      </w:rPr>
      <w:t xml:space="preserve">DR-CAFTA · Documentación del curso   </w:t>
    </w:r>
    <w:r>
      <w:rPr>
        <w:rFonts w:ascii="Calibri" w:cs="Calibri" w:eastAsia="Calibri" w:hAnsi="Calibri"/>
        <w:color w:val="5B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rPr>
        <w:color w:val="B07D18"/>
      </w:rPr>
    </w:lvl>
  </w:abstractNum>
  <w:abstractNum w:abstractNumId="3" w15:restartNumberingAfterBreak="0">
    <w:multiLevelType w:val="hybridMultilevel"/>
    <w:lvl w:ilvl="0" w15:tentative="1">
      <w:start w:val="1"/>
      <w:numFmt w:val="decimal"/>
      <w:lvlText w:val="%1."/>
      <w:lvlJc w:val="left"/>
      <w:pPr>
        <w:ind w:left="430" w:hanging="280"/>
      </w:pPr>
      <w:rPr>
        <w:b/>
        <w:bCs/>
        <w:color w:val="13293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Georgia" w:cs="Georgia" w:eastAsia="Georgia" w:hAnsi="Georgia"/>
      <w:b/>
      <w:bCs/>
      <w:color w:val="13293D"/>
      <w:sz w:val="32"/>
      <w:szCs w:val="32"/>
    </w:rPr>
  </w:style>
  <w:style w:type="paragraph" w:styleId="Heading2">
    <w:name w:val="Heading 2"/>
    <w:basedOn w:val="Normal"/>
    <w:next w:val="Normal"/>
    <w:qFormat/>
    <w:pPr>
      <w:spacing w:after="100" w:before="240"/>
      <w:outlineLvl w:val="1"/>
    </w:pPr>
    <w:rPr>
      <w:rFonts w:ascii="Georgia" w:cs="Georgia" w:eastAsia="Georgia" w:hAnsi="Georgia"/>
      <w:b/>
      <w:bCs/>
      <w:color w:val="1F5F6B"/>
      <w:sz w:val="25"/>
      <w:szCs w:val="25"/>
    </w:rPr>
  </w:style>
  <w:style w:type="paragraph" w:styleId="Heading3">
    <w:name w:val="Heading 3"/>
    <w:basedOn w:val="Normal"/>
    <w:next w:val="Normal"/>
    <w:qFormat/>
    <w:pPr>
      <w:spacing w:after="70" w:before="160"/>
      <w:outlineLvl w:val="2"/>
    </w:pPr>
    <w:rPr>
      <w:rFonts w:ascii="Georgia" w:cs="Georgia" w:eastAsia="Georgia" w:hAnsi="Georgia"/>
      <w:b/>
      <w:bCs/>
      <w:color w:val="13293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 DR-CAFTA — Documentación completa</dc:title>
  <dc:creator>Curso DR-CAFTA</dc:creator>
  <cp:lastModifiedBy>Un-named</cp:lastModifiedBy>
  <cp:revision>1</cp:revision>
  <dcterms:created xsi:type="dcterms:W3CDTF">2026-08-15T02:18:25.477Z</dcterms:created>
  <dcterms:modified xsi:type="dcterms:W3CDTF">2026-08-15T02:18:25.488Z</dcterms:modified>
</cp:coreProperties>
</file>

<file path=docProps/custom.xml><?xml version="1.0" encoding="utf-8"?>
<Properties xmlns="http://schemas.openxmlformats.org/officeDocument/2006/custom-properties" xmlns:vt="http://schemas.openxmlformats.org/officeDocument/2006/docPropsVTypes"/>
</file>