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Ingeniería del Software I</w:t>
        <w:tab/>
      </w:r>
      <w:r>
        <w:rPr>
          <w:sz w:val="24"/>
          <w:szCs w:val="24"/>
        </w:rPr>
        <w:tab/>
        <w:t xml:space="preserve">Examen Segundo Parcial. Tema 1</w:t>
      </w:r>
      <w:r>
        <w:rPr>
          <w:sz w:val="24"/>
          <w:szCs w:val="24"/>
        </w:rPr>
        <w:tab/>
        <w:tab/>
      </w:r>
      <w:r>
        <w:rPr>
          <w:sz w:val="24"/>
          <w:szCs w:val="24"/>
        </w:rPr>
        <w:t xml:space="preserve">2025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 requiere un sistema que permita el cobro de impuestos. Por cada resolución de contrato se debe abonar un arancel</w:t>
      </w:r>
      <w:r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</w:rPr>
        <w:t xml:space="preserve">en concepto de liquidación de sellos. El proceso se inicia enviando la resolución a la entidad de recaudación, el agente</w:t>
      </w:r>
      <w:r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</w:rPr>
        <w:t xml:space="preserve">del departamento verifica si el contribuyente existe y muestra los datos (apellido y nombre del contribuyente, cuit del</w:t>
      </w:r>
      <w:r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</w:rPr>
        <w:t xml:space="preserve">contribuyente) y genera la liquidación de sellos especificando: fecha de emisión y fecha de vencimiento del pago, código</w:t>
      </w:r>
      <w:r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</w:rPr>
        <w:t xml:space="preserve">qr, el monto total, el monto del impuesto a cobrar, y se identifica con id de sellado. En caso de no encontrar los datos</w:t>
      </w:r>
      <w:r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</w:rPr>
        <w:t xml:space="preserve">se rechaza la operación y se notifica el error. La entidad de recaudación tiene nombre y cuit.</w:t>
      </w:r>
      <w:r>
        <w:rPr>
          <w:sz w:val="24"/>
          <w:szCs w:val="24"/>
        </w:rPr>
      </w:r>
    </w:p>
    <w:p>
      <w:pPr>
        <w:pBdr/>
        <w:spacing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Una vez emitida la liquidación, el contribuyente debe efectuar el pago con billetera virtual (para ello se utiliza el código</w:t>
      </w:r>
      <w:r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</w:rPr>
        <w:t xml:space="preserve">qr), se escanea el código, muestra datos de la cuenta, se confirma el pago y se registra el mismo. En caso de no</w:t>
      </w:r>
      <w:r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</w:rPr>
        <w:t xml:space="preserve">confirmarse se cancela la operación. Al finalizar, si el contribuyente acepta se puede descargar un comprobante de pago,</w:t>
      </w:r>
      <w:r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</w:rPr>
        <w:t xml:space="preserve">que tiene la siguiente información: apellido y nombre del contribuyente, fecha de pago, nombre y cuit de la entidad que</w:t>
      </w:r>
      <w:r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</w:rPr>
        <w:t xml:space="preserve">recibe el pago, número de referencia de pago, descripción "liquidación de sellos", precio, medio de pago (en este caso</w:t>
      </w:r>
      <w:r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</w:rPr>
        <w:t xml:space="preserve">QR), número de solicitud, código de autorización.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1) Construye la conversación del C.U. "Pagar liquidación de sellos" (indicar, actor, nombre, visión, y</w:t>
      </w:r>
      <w:r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</w:rPr>
        <w:t xml:space="preserve">acciones-curso normal- alternativo)</w:t>
      </w: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2) Elabore el diagrama de entidad relación del sistema (identificar al menos</w:t>
      </w:r>
      <w:r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</w:rPr>
        <w:t xml:space="preserve">3 atributos, claves primarias y</w:t>
      </w:r>
      <w:r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</w:rPr>
        <w:t xml:space="preserve">foráneas, relaciones y multiplicidad).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3) Confeccione el diagrama de estados para el C.U. "Solicitar liquidación de sellos"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68"/>
        <w:numPr>
          <w:ilvl w:val="0"/>
          <w:numId w:val="1"/>
        </w:numPr>
        <w:pBdr/>
        <w:spacing/>
        <w:ind/>
        <w:jc w:val="both"/>
        <w:rPr>
          <w:sz w:val="24"/>
          <w:szCs w:val="24"/>
          <w:highlight w:val="none"/>
          <w:lang w:val="es-AR"/>
        </w:rPr>
      </w:pPr>
      <w:r>
        <w:rPr>
          <w:sz w:val="24"/>
          <w:szCs w:val="24"/>
          <w:highlight w:val="none"/>
          <w:lang w:val="es-AR"/>
        </w:rPr>
        <w:t xml:space="preserve">Caso de uso: pagar liquidacion de sellos.</w:t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both"/>
        <w:rPr>
          <w:sz w:val="24"/>
          <w:szCs w:val="24"/>
          <w:highlight w:val="none"/>
          <w:lang w:val="es-AR"/>
        </w:rPr>
      </w:pPr>
      <w:r>
        <w:rPr>
          <w:sz w:val="24"/>
          <w:szCs w:val="24"/>
          <w:highlight w:val="none"/>
          <w:lang w:val="es-AR"/>
        </w:rPr>
        <w:t xml:space="preserve">Actor: contribuyente.</w:t>
      </w:r>
      <w:r>
        <w:rPr>
          <w:sz w:val="24"/>
          <w:szCs w:val="24"/>
          <w:highlight w:val="none"/>
          <w:lang w:val="es-AR"/>
        </w:rPr>
      </w:r>
    </w:p>
    <w:p>
      <w:pPr>
        <w:pBdr/>
        <w:spacing/>
        <w:ind/>
        <w:jc w:val="both"/>
        <w:rPr>
          <w:sz w:val="24"/>
          <w:szCs w:val="24"/>
          <w:highlight w:val="none"/>
          <w:lang w:val="es-AR"/>
        </w:rPr>
      </w:pPr>
      <w:r>
        <w:rPr>
          <w:sz w:val="24"/>
          <w:szCs w:val="24"/>
          <w:highlight w:val="none"/>
          <w:lang w:val="es-AR"/>
        </w:rPr>
        <w:t xml:space="preserve">Descripcion: una vez emitida la liquidacion, el contrinuyente efectua pago.</w:t>
      </w:r>
      <w:r>
        <w:rPr>
          <w:sz w:val="24"/>
          <w:szCs w:val="24"/>
          <w:highlight w:val="none"/>
          <w:lang w:val="es-AR"/>
        </w:rPr>
      </w:r>
    </w:p>
    <w:tbl>
      <w:tblPr>
        <w:tblW w:w="0" w:type="auto"/>
        <w:tblBorders/>
        <w:tblLayout w:type="fixed"/>
        <w:tblLook w:val="04A0" w:firstRow="1" w:lastRow="0" w:firstColumn="1" w:lastColumn="0" w:noHBand="0" w:noVBand="1"/>
        <w:tblStyle w:val="11"/>
      </w:tblPr>
      <w:tblGrid>
        <w:gridCol w:w="2693"/>
        <w:gridCol w:w="3544"/>
        <w:gridCol w:w="3118"/>
      </w:tblGrid>
      <w:tr>
        <w:trPr/>
        <w:tc>
          <w:tcPr>
            <w:tcBorders/>
            <w:tcW w:w="269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ACCION</w:t>
            </w:r>
            <w:r>
              <w:rPr>
                <w:highlight w:val="none"/>
              </w:rPr>
            </w:r>
          </w:p>
        </w:tc>
        <w:tc>
          <w:tcPr>
            <w:tcBorders/>
            <w:tcW w:w="354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CURSO NORMAL</w:t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CURSO ALTERNATIVO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693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1.A: Escanear codigo qr</w:t>
            </w:r>
            <w:r>
              <w:rPr>
                <w:highlight w:val="none"/>
              </w:rPr>
            </w:r>
          </w:p>
        </w:tc>
        <w:tc>
          <w:tcPr>
            <w:tcBorders/>
            <w:tcW w:w="354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693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2.S: mostrar datos de la cuenta</w:t>
            </w:r>
            <w:r>
              <w:rPr>
                <w:highlight w:val="none"/>
              </w:rPr>
            </w:r>
          </w:p>
        </w:tc>
        <w:tc>
          <w:tcPr>
            <w:tcBorders/>
            <w:tcW w:w="354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693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3.S: verificar pago</w:t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354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3.1.1.S:confirmar el pago</w:t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3.1.2.S: dar mensaje de confirmacion de pago</w:t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3.2.1.S: no se pudo confirmar pago</w:t>
            </w:r>
            <w:r>
              <w:rPr>
                <w:highlight w:val="none"/>
                <w:lang w:val="es-AR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3.2.2. S: cancelar operacion</w:t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3.2.3 S: volver a 1</w:t>
            </w:r>
            <w:r>
              <w:rPr>
                <w:highlight w:val="none"/>
                <w:lang w:val="es-AR"/>
              </w:rPr>
            </w:r>
          </w:p>
        </w:tc>
      </w:tr>
      <w:tr>
        <w:trPr/>
        <w:tc>
          <w:tcPr>
            <w:tcBorders/>
            <w:tcW w:w="2693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4.S: registrar el pago</w:t>
            </w:r>
            <w:r>
              <w:rPr>
                <w:highlight w:val="none"/>
              </w:rPr>
            </w:r>
          </w:p>
        </w:tc>
        <w:tc>
          <w:tcPr>
            <w:tcBorders/>
            <w:tcW w:w="354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693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5.S: dar opcion descargar comprobante</w:t>
            </w:r>
            <w:r>
              <w:rPr>
                <w:highlight w:val="none"/>
              </w:rPr>
            </w:r>
          </w:p>
        </w:tc>
        <w:tc>
          <w:tcPr>
            <w:tcBorders/>
            <w:tcW w:w="354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5.1.1 A: aceptar descargar comprobante</w:t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5.1.2.S: generar comprobante con correspondiente informacion</w:t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5.2.A: rechazar descarga de comprobante</w:t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FIN CASO DE USO</w:t>
            </w:r>
            <w:r>
              <w:rPr>
                <w:highlight w:val="none"/>
                <w:lang w:val="es-AR"/>
              </w:rPr>
            </w:r>
          </w:p>
        </w:tc>
      </w:tr>
      <w:tr>
        <w:trPr/>
        <w:tc>
          <w:tcPr>
            <w:tcBorders/>
            <w:tcW w:w="2693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FIN CASO DE USO</w:t>
            </w:r>
            <w:r>
              <w:rPr>
                <w:highlight w:val="none"/>
              </w:rPr>
            </w:r>
          </w:p>
        </w:tc>
        <w:tc>
          <w:tcPr>
            <w:tcBorders/>
            <w:tcW w:w="354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>
          <w:highlight w:val="none"/>
          <w:lang w:val="es-AR"/>
        </w:rPr>
      </w:pPr>
      <w:r>
        <w:rPr>
          <w:highlight w:val="none"/>
          <w:lang w:val="es-AR"/>
        </w:rPr>
        <w:t xml:space="preserve"> </w:t>
      </w:r>
      <w:r>
        <w:rPr>
          <w:highlight w:val="none"/>
        </w:rPr>
      </w:r>
      <w:r>
        <w:rPr>
          <w:highlight w:val="none"/>
          <w:lang w:val="es-AR"/>
        </w:rPr>
      </w:r>
      <w:r>
        <w:rPr>
          <w:highlight w:val="none"/>
          <w:lang w:val="es-AR"/>
        </w:rPr>
      </w:r>
      <w:r>
        <w:rPr>
          <w:highlight w:val="none"/>
          <w:lang w:val="es-AR"/>
        </w:rPr>
      </w:r>
    </w:p>
    <w:p>
      <w:pPr>
        <w:pBdr/>
        <w:spacing/>
        <w:ind/>
        <w:jc w:val="both"/>
        <w:rPr>
          <w:highlight w:val="none"/>
          <w:lang w:val="es-AR"/>
        </w:rPr>
      </w:pPr>
      <w:r>
        <w:rPr>
          <w:highlight w:val="none"/>
          <w:lang w:val="es-AR"/>
        </w:rPr>
        <w:t xml:space="preserve">Tema 2: </w:t>
      </w:r>
      <w:r>
        <w:rPr>
          <w:highlight w:val="none"/>
          <w:lang w:val="es-AR"/>
        </w:rPr>
        <w:t xml:space="preserve">1) Construye el diagrama de secuencia (curso normal) del C.U. "Pagar liquidación de sellos".</w:t>
      </w:r>
      <w:r>
        <w:rPr>
          <w:highlight w:val="none"/>
          <w:lang w:val="es-AR"/>
        </w:rPr>
      </w:r>
      <w:r>
        <w:rPr>
          <w:highlight w:val="none"/>
          <w:lang w:val="es-AR"/>
        </w:rPr>
      </w:r>
    </w:p>
    <w:p>
      <w:pPr>
        <w:pBdr/>
        <w:spacing/>
        <w:ind/>
        <w:jc w:val="both"/>
        <w:rPr>
          <w:highlight w:val="none"/>
          <w:lang w:val="es-AR"/>
        </w:rPr>
      </w:pPr>
      <w:r>
        <w:rPr>
          <w:highlight w:val="none"/>
          <w:lang w:val="es-AR"/>
        </w:rPr>
      </w:r>
      <w:r>
        <w:rPr>
          <w:highlight w:val="none"/>
          <w:lang w:val="es-AR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2025-07-02T06:43:54Z</dcterms:modified>
</cp:coreProperties>
</file>