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95363" cy="99536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363" cy="99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Universidad Nacional del Nordeste</w:t>
      </w:r>
    </w:p>
    <w:p w:rsidR="00000000" w:rsidDel="00000000" w:rsidP="00000000" w:rsidRDefault="00000000" w:rsidRPr="00000000" w14:paraId="00000003">
      <w:pPr>
        <w:widowControl w:val="1"/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379302" cy="1379302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302" cy="1379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Facultad de Ciencias Exactas y Naturales y Agrimensura</w:t>
      </w:r>
    </w:p>
    <w:p w:rsidR="00000000" w:rsidDel="00000000" w:rsidP="00000000" w:rsidRDefault="00000000" w:rsidRPr="00000000" w14:paraId="00000005">
      <w:pPr>
        <w:widowControl w:val="1"/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Lic. en Sistemas de Información</w:t>
      </w:r>
    </w:p>
    <w:p w:rsidR="00000000" w:rsidDel="00000000" w:rsidP="00000000" w:rsidRDefault="00000000" w:rsidRPr="00000000" w14:paraId="00000006">
      <w:pPr>
        <w:widowControl w:val="1"/>
        <w:spacing w:before="6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TP N°1.1 Parte 2 - Diseño de infraestructura de red - Interconexión</w:t>
      </w:r>
    </w:p>
    <w:p w:rsidR="00000000" w:rsidDel="00000000" w:rsidP="00000000" w:rsidRDefault="00000000" w:rsidRPr="00000000" w14:paraId="00000008">
      <w:pPr>
        <w:widowControl w:val="1"/>
        <w:spacing w:before="6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Redes de Datos</w:t>
      </w:r>
    </w:p>
    <w:p w:rsidR="00000000" w:rsidDel="00000000" w:rsidP="00000000" w:rsidRDefault="00000000" w:rsidRPr="00000000" w14:paraId="00000009">
      <w:pPr>
        <w:widowControl w:val="1"/>
        <w:spacing w:before="6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0A">
      <w:pPr>
        <w:widowControl w:val="1"/>
        <w:spacing w:before="6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Alumno: </w:t>
      </w:r>
      <w:r w:rsidDel="00000000" w:rsidR="00000000" w:rsidRPr="00000000">
        <w:rPr>
          <w:rtl w:val="0"/>
        </w:rPr>
        <w:t xml:space="preserve">Orban, Tobias Naim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DNI: </w:t>
      </w:r>
      <w:r w:rsidDel="00000000" w:rsidR="00000000" w:rsidRPr="00000000">
        <w:rPr>
          <w:rtl w:val="0"/>
        </w:rPr>
        <w:t xml:space="preserve">46.385.637</w:t>
      </w:r>
    </w:p>
    <w:p w:rsidR="00000000" w:rsidDel="00000000" w:rsidP="00000000" w:rsidRDefault="00000000" w:rsidRPr="00000000" w14:paraId="0000000D">
      <w:pPr>
        <w:widowControl w:val="1"/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LU: </w:t>
      </w:r>
      <w:r w:rsidDel="00000000" w:rsidR="00000000" w:rsidRPr="00000000">
        <w:rPr>
          <w:rtl w:val="0"/>
        </w:rPr>
        <w:t xml:space="preserve">58009</w:t>
      </w:r>
    </w:p>
    <w:p w:rsidR="00000000" w:rsidDel="00000000" w:rsidP="00000000" w:rsidRDefault="00000000" w:rsidRPr="00000000" w14:paraId="0000000E">
      <w:pPr>
        <w:widowControl w:val="1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1, 2 y 3) Conectividad a la nueva oficina de Sistemas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Partiendo de la estructura del Ejercicio 1, se anexó una nueva área destinada al departamento de Sistemas (red 192.168.100.0/24). Para esto, se agregó un Switch3 de tipo Empty al que se le insertaron 5 módulos FastEthernet (CFE). Este dispositivo permitió concentrar la conexión de las 2 nuevas PCs de Sistemas, un Server de Desarrollo y un Server DNS local, estableciendo el enlace de subida (uplink) contra una nueva interfaz del Router0.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</w:rPr>
        <w:drawing>
          <wp:inline distB="114300" distT="114300" distL="114300" distR="114300">
            <wp:extent cx="5943600" cy="2438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5) Configuración DHCP (Red Sistemas)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Se configuró un pool de direcciones DHCP dentro del Router0 exclusivamente para abastecer a la red de Sistemas. Se establecieron los comandos ip dhcp excluded-address necesarios para impedir la asignación de las primeras 99 direcciones y todas las superiores a 149, limitando así el servicio a un máximo de 50 hosts partiendo desde la IP 192.168.100.100. Las PCs obtuvieron sus configuraciones exitosamente.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</w:rPr>
        <w:drawing>
          <wp:inline distB="114300" distT="114300" distL="114300" distR="114300">
            <wp:extent cx="5943600" cy="1752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4) Servidor HTTP de Desarrollo con aislamiento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Se estableció un servidor HTTP en el área de Sistemas (IP 192.168.100.10) para tareas de desarrollo. Para garantizar que las áreas de Auditorio, Planificación y Servidores no tengan acceso al mismo, se configuró una política restrictiva (Lista de Control de Acceso / ACL extendida) en el Router0. Se verificó que sólo los equipos de la subred 192.168.100.0/24 pueden visualizar la web de este servidor, mientras que el resto de las redes quedan bloqueadas.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PC de sistemas: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</w:rPr>
        <w:drawing>
          <wp:inline distB="114300" distT="114300" distL="114300" distR="114300">
            <wp:extent cx="5943600" cy="2374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PC de otra red: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6) Servidor DNS Local para entornos de Desarrollo y Testing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Se implementó un servidor DNS específico para Sistemas con IP 192.168.100.5, destinado a resolver dominios internos de testing. Dentro del servicio DNS, se crearon los siguientes registros de forma precisa: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dev.miempresa.com y qa.miempresa.com:</w:t>
      </w:r>
      <w:r w:rsidDel="00000000" w:rsidR="00000000" w:rsidRPr="00000000">
        <w:rPr>
          <w:rtl w:val="0"/>
        </w:rPr>
        <w:t xml:space="preserve"> Registros de tipo A apuntando al servidor de Desarrollo (192.168.100.10).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web1.dev.miempresa.com:</w:t>
      </w:r>
      <w:r w:rsidDel="00000000" w:rsidR="00000000" w:rsidRPr="00000000">
        <w:rPr>
          <w:rtl w:val="0"/>
        </w:rPr>
        <w:t xml:space="preserve"> Registro tipo ALIAS (CNAME) redireccionando hacia web1.srv.miempresa.com.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Registro NS y SOA para dev.miempresa.com:</w:t>
      </w:r>
      <w:r w:rsidDel="00000000" w:rsidR="00000000" w:rsidRPr="00000000">
        <w:rPr>
          <w:rtl w:val="0"/>
        </w:rPr>
        <w:t xml:space="preserve"> Se estableció a dns.sistemas.local como servidor primario, configurando la casilla mail.dev.miempresa.com. Se asignaron los tiempos estipulados de TTL (8600), Refresh (7200), Retry (7200) y Expiración (400000).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</w:rPr>
        <w:drawing>
          <wp:inline distB="114300" distT="114300" distL="114300" distR="114300">
            <wp:extent cx="5943600" cy="4559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color w:val="0000ff"/>
        </w:rPr>
        <w:drawing>
          <wp:inline distB="114300" distT="114300" distL="114300" distR="114300">
            <wp:extent cx="3705225" cy="2400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324225" cy="26860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174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238375" cy="10953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Identificación de Interfaces (Tabla del nuevo Switch3)</w:t>
      </w:r>
    </w:p>
    <w:p w:rsidR="00000000" w:rsidDel="00000000" w:rsidP="00000000" w:rsidRDefault="00000000" w:rsidRPr="00000000" w14:paraId="00000034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Tabla 1: Switch0 - Red Auditorio (192.168.0.0/24)</w:t>
      </w:r>
    </w:p>
    <w:tbl>
      <w:tblPr>
        <w:tblStyle w:val="Table1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610"/>
        <w:gridCol w:w="3555"/>
        <w:tblGridChange w:id="0">
          <w:tblGrid>
            <w:gridCol w:w="2100"/>
            <w:gridCol w:w="2610"/>
            <w:gridCol w:w="35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Switch0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Direccion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Router0 (uplink)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GigabitEthernet0/1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192.168.0.1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PC1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FastEthernet0/1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IP Fija (Ej: 192.168.0.10)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PC0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FastEthernet0/2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IP Fija (Ej: 192.168.0.11)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Printer-PT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FastEthernet0/3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192.168.0.37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Laptop-PT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FastEthernet0/4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DHCP</w:t>
            </w:r>
          </w:p>
        </w:tc>
      </w:tr>
    </w:tbl>
    <w:p w:rsidR="00000000" w:rsidDel="00000000" w:rsidP="00000000" w:rsidRDefault="00000000" w:rsidRPr="00000000" w14:paraId="00000047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Tabla 2: Switch1 - Red Planificacion (192.168.1.0/24)</w:t>
      </w:r>
    </w:p>
    <w:tbl>
      <w:tblPr>
        <w:tblStyle w:val="Table2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610"/>
        <w:gridCol w:w="3570"/>
        <w:tblGridChange w:id="0">
          <w:tblGrid>
            <w:gridCol w:w="2100"/>
            <w:gridCol w:w="2610"/>
            <w:gridCol w:w="35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Switch1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Direccion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Router0 (uplink)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GigabitEthernet0/1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192.168.1.1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PC4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FastEthernet0/1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192.168.1.12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FastEthernet0/2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192.168.1.11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FastEthernet0/3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192.168.1.10</w:t>
            </w:r>
          </w:p>
        </w:tc>
      </w:tr>
    </w:tbl>
    <w:p w:rsidR="00000000" w:rsidDel="00000000" w:rsidP="00000000" w:rsidRDefault="00000000" w:rsidRPr="00000000" w14:paraId="00000058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Tabla 3: Switch2 - Red Servidores (192.168.2.0/24)</w:t>
      </w:r>
    </w:p>
    <w:tbl>
      <w:tblPr>
        <w:tblStyle w:val="Table3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385"/>
        <w:gridCol w:w="1785"/>
        <w:tblGridChange w:id="0">
          <w:tblGrid>
            <w:gridCol w:w="2115"/>
            <w:gridCol w:w="2385"/>
            <w:gridCol w:w="17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Switch2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Direccion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Router0 (uplink)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GigabitEthernet0/1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192.168.2.1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Server APACHE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FastEthernet0/1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192.168.2.10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Server SMTP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FastEthernet0/2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192.168.2.12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Server IIS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FastEthernet0/3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192.168.2.11</w:t>
            </w:r>
          </w:p>
        </w:tc>
      </w:tr>
    </w:tbl>
    <w:p w:rsidR="00000000" w:rsidDel="00000000" w:rsidP="00000000" w:rsidRDefault="00000000" w:rsidRPr="00000000" w14:paraId="00000069">
      <w:pPr>
        <w:widowControl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Tabla 4: Switch3 - Red Servidores (192.168.100.0/24)</w:t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385"/>
        <w:gridCol w:w="4170"/>
        <w:tblGridChange w:id="0">
          <w:tblGrid>
            <w:gridCol w:w="2235"/>
            <w:gridCol w:w="2385"/>
            <w:gridCol w:w="41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Interfaz Switch3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Direccion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Router (uplink)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GigabitEthernet5/1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192.168.100.1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PC3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FastEthernet3/1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IP Fija o DHCP (Ej: 192.168.100.10)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Server DNS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FastEthernet2/1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IP Fija (Ej: 192.168.100.20)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Server Desarrollo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FastEthernet1/1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IP Fija (Ej: 192.168.100.21)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PC2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FastEthernet0/1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IP Fija o DHCP (Ej: 192.168.100.11)</w:t>
            </w:r>
          </w:p>
        </w:tc>
      </w:tr>
    </w:tbl>
    <w:p w:rsidR="00000000" w:rsidDel="00000000" w:rsidP="00000000" w:rsidRDefault="00000000" w:rsidRPr="00000000" w14:paraId="0000007E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