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995363" cy="99536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Universidad Nacional del Nordeste</w:t>
      </w:r>
    </w:p>
    <w:p w:rsidR="00000000" w:rsidDel="00000000" w:rsidP="00000000" w:rsidRDefault="00000000" w:rsidRPr="00000000" w14:paraId="00000003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379302" cy="13793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9302" cy="1379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Facultad de Ciencias Exactas y Naturales y Agrimensura</w:t>
      </w:r>
    </w:p>
    <w:p w:rsidR="00000000" w:rsidDel="00000000" w:rsidP="00000000" w:rsidRDefault="00000000" w:rsidRPr="00000000" w14:paraId="00000005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  <w:t xml:space="preserve">Lic. en Sistemas de Información</w:t>
      </w:r>
    </w:p>
    <w:p w:rsidR="00000000" w:rsidDel="00000000" w:rsidP="00000000" w:rsidRDefault="00000000" w:rsidRPr="00000000" w14:paraId="00000006">
      <w:pPr>
        <w:widowControl w:val="1"/>
        <w:spacing w:before="6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300" w:before="225" w:line="300" w:lineRule="auto"/>
        <w:jc w:val="center"/>
        <w:rPr>
          <w:sz w:val="22"/>
          <w:szCs w:val="22"/>
        </w:rPr>
      </w:pPr>
      <w:bookmarkStart w:colFirst="0" w:colLast="0" w:name="_b77qr685nhf0" w:id="0"/>
      <w:bookmarkEnd w:id="0"/>
      <w:r w:rsidDel="00000000" w:rsidR="00000000" w:rsidRPr="00000000">
        <w:rPr>
          <w:sz w:val="22"/>
          <w:szCs w:val="22"/>
          <w:rtl w:val="0"/>
        </w:rPr>
        <w:t xml:space="preserve">TP N°1.2 - Ejercicio 2: Herramientas TCP-IP, Diagnóstico y Resolución</w:t>
      </w:r>
    </w:p>
    <w:p w:rsidR="00000000" w:rsidDel="00000000" w:rsidP="00000000" w:rsidRDefault="00000000" w:rsidRPr="00000000" w14:paraId="00000008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Redes de Datos</w:t>
      </w:r>
    </w:p>
    <w:p w:rsidR="00000000" w:rsidDel="00000000" w:rsidP="00000000" w:rsidRDefault="00000000" w:rsidRPr="00000000" w14:paraId="00000009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A">
      <w:pPr>
        <w:widowControl w:val="1"/>
        <w:spacing w:before="6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Alumno: </w:t>
      </w:r>
      <w:r w:rsidDel="00000000" w:rsidR="00000000" w:rsidRPr="00000000">
        <w:rPr>
          <w:rtl w:val="0"/>
        </w:rPr>
        <w:t xml:space="preserve">Orban, Tobias Naim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DNI: </w:t>
      </w:r>
      <w:r w:rsidDel="00000000" w:rsidR="00000000" w:rsidRPr="00000000">
        <w:rPr>
          <w:rtl w:val="0"/>
        </w:rPr>
        <w:t xml:space="preserve">46.385.637</w:t>
      </w:r>
    </w:p>
    <w:p w:rsidR="00000000" w:rsidDel="00000000" w:rsidP="00000000" w:rsidRDefault="00000000" w:rsidRPr="00000000" w14:paraId="0000000D">
      <w:pPr>
        <w:widowControl w:val="1"/>
        <w:spacing w:line="27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LU: </w:t>
      </w:r>
      <w:r w:rsidDel="00000000" w:rsidR="00000000" w:rsidRPr="00000000">
        <w:rPr>
          <w:rtl w:val="0"/>
        </w:rPr>
        <w:t xml:space="preserve">58009</w:t>
      </w:r>
    </w:p>
    <w:p w:rsidR="00000000" w:rsidDel="00000000" w:rsidP="00000000" w:rsidRDefault="00000000" w:rsidRPr="00000000" w14:paraId="0000000E">
      <w:pPr>
        <w:widowControl w:val="1"/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="300" w:lineRule="auto"/>
        <w:rPr>
          <w:b w:val="0"/>
          <w:bCs w:val="0"/>
          <w:sz w:val="22"/>
          <w:szCs w:val="22"/>
        </w:rPr>
      </w:pPr>
      <w:bookmarkStart w:colFirst="0" w:colLast="0" w:name="_qsyziixk5k8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Introducción y Topología de Red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tl w:val="0"/>
        </w:rPr>
        <w:t xml:space="preserve">El escenario modela las oficinas comerciales de la empresa </w:t>
      </w:r>
      <w:r w:rsidDel="00000000" w:rsidR="00000000" w:rsidRPr="00000000">
        <w:rPr>
          <w:b w:val="1"/>
          <w:bCs w:val="1"/>
          <w:rtl w:val="0"/>
        </w:rPr>
        <w:t xml:space="preserve">Corrientes S.R.L.</w:t>
      </w:r>
      <w:r w:rsidDel="00000000" w:rsidR="00000000" w:rsidRPr="00000000">
        <w:rPr>
          <w:rtl w:val="0"/>
        </w:rPr>
        <w:t xml:space="preserve"> dispuestas en dos pisos (Casa Central), interconectadas mediante un router central (R0) y un enlace serial con un router de proveedor de servicios (R1 - ISP) que da salida hacia los servidores públicos de Internet.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1er Piso (Casa Central):</w:t>
      </w:r>
      <w:r w:rsidDel="00000000" w:rsidR="00000000" w:rsidRPr="00000000">
        <w:rPr>
          <w:rtl w:val="0"/>
        </w:rPr>
        <w:t xml:space="preserve"> Red IP 192.168.100.0/24, switch de acceso, equipos de usuario con asignación dinámica y servidor DHCP dedicado.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2do Piso (Casa Central):</w:t>
      </w:r>
      <w:r w:rsidDel="00000000" w:rsidR="00000000" w:rsidRPr="00000000">
        <w:rPr>
          <w:rtl w:val="0"/>
        </w:rPr>
        <w:t xml:space="preserve"> Red IP 192.168.200.0/24, switch de acceso, equipos de usuario, servidor de Intranet y servidor DNS local (192.168.200.5).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 Internet (WAN):</w:t>
      </w:r>
      <w:r w:rsidDel="00000000" w:rsidR="00000000" w:rsidRPr="00000000">
        <w:rPr>
          <w:rtl w:val="0"/>
        </w:rPr>
        <w:t xml:space="preserve"> Redes 1.1.1.0/24 y 1.1.2.0/24, compuestas por un Servidor WEB Público (1.1.1.2) y un Servidor DNS Público (1.1.2.2) conectados a R1 mediante cable cruzado.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5943600" cy="30480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Documentación de Interfaces y Enrutamiento (Configuración en Routers)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Para cumplir con los estándares de documentación exigidos, se configuraron las descripciones en cada interfaz activa de los dispositivos de red: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Router0 (Casa Central):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FastEthernet2/0: description Enlace a primer piso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FastEthernet1/0: description Enlace a segundo piso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Serial3/0: description Enlace hacia ISP (con </w:t>
      </w:r>
      <w:r w:rsidDel="00000000" w:rsidR="00000000" w:rsidRPr="00000000">
        <w:rPr>
          <w:i w:val="1"/>
          <w:iCs w:val="1"/>
          <w:rtl w:val="0"/>
        </w:rPr>
        <w:t xml:space="preserve">clock rate</w:t>
      </w:r>
      <w:r w:rsidDel="00000000" w:rsidR="00000000" w:rsidRPr="00000000">
        <w:rPr>
          <w:rtl w:val="0"/>
        </w:rPr>
        <w:t xml:space="preserve"> de 2000000)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Ruta por defecto configurada hacia la WAN: ip route 0.0.0.0 0.0.0.0 190.7.73.2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Router1 (ISP):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tl w:val="0"/>
        </w:rPr>
        <w:t xml:space="preserve">Serial0/0: description Enlace desde Casa Central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FastEthernet1/0: description Enlace a DNS Publico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FastEthernet2/0: description Enlace a WEB Publico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tl w:val="0"/>
        </w:rPr>
        <w:t xml:space="preserve">Rutas estáticas de retorno hacia la Casa Central: ip route 192.168.100.0 255.255.255.0 190.7.73.1 e ip route 192.168.200.0 255.255.255.0 190.7.73.1.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5514975" cy="733425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5495925" cy="647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0" w:lineRule="auto"/>
        <w:rPr/>
      </w:pPr>
      <w:r w:rsidDel="00000000" w:rsidR="00000000" w:rsidRPr="00000000">
        <w:rPr>
          <w:rtl w:val="0"/>
        </w:rPr>
        <w:t xml:space="preserve">3. Verificación de Actividades y Pruebas Realizadas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Actividad 1: Conectividad entre pisos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comprobó la conectividad exitosa mediante el envío de paquetes ICMP (Ping) entre los dispositivos finales del primer piso y los del segundo piso de la Casa Central.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3829050" cy="17049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Actividad 2: Resolución de nombres (DNS)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rPr/>
      </w:pPr>
      <w:r w:rsidDel="00000000" w:rsidR="00000000" w:rsidRPr="00000000">
        <w:rPr>
          <w:rtl w:val="0"/>
        </w:rPr>
        <w:t xml:space="preserve">Se verificó que los equipos de la red interna traducen correctamente los nombres de dominio locales y públicos utilizando el servidor DNS configurado: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intranet.corrientes.local → 192.168.200.10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www.corrientessrl.com → 1.1.1.2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5943600" cy="2476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Actividad 3: Verificación de saltos (Tracert)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ejecutaron comandos de rastreo para comprobar la cantidad de saltos y la correcta interacción de las tablas de ruteo estático entre la red interna y los servidores públicos de internet.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color w:val="1155cc"/>
        </w:rPr>
      </w:pPr>
      <w:r w:rsidDel="00000000" w:rsidR="00000000" w:rsidRPr="00000000">
        <w:rPr>
          <w:b w:val="1"/>
          <w:bCs w:val="1"/>
          <w:color w:val="1155cc"/>
        </w:rPr>
        <w:drawing>
          <wp:inline distB="114300" distT="114300" distL="114300" distR="114300">
            <wp:extent cx="3771900" cy="127635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Actividad 4: Migración del Servicio DHCP a Servidor Dedicado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 deshabilitó el servicio DHCP nativo que operaba en el router R0 y se configuró el servidor dedicado del primer piso (192.168.100.10) para gestionar la entrega de direcciones IP de ambas subredes (192.168.100.0/24 y 192.168.200.0/24), conservando las primeras 30 direcciones estáticas reservadas y aplicando la instrucción ip helper-address en la interfaz del router para el reenvío de peticiones (</w:t>
      </w:r>
      <w:r w:rsidDel="00000000" w:rsidR="00000000" w:rsidRPr="00000000">
        <w:rPr>
          <w:i w:val="1"/>
          <w:iCs w:val="1"/>
          <w:rtl w:val="0"/>
        </w:rPr>
        <w:t xml:space="preserve">DHCP Relay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Dificultades Encontradas y Soluciones Implementadas (Actividad 5)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Durante el proceso de diseño y puesta en marcha del escenario de red, se presentaron las siguientes situaciones que requirieron intervención técnica: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Pérdida temporal de direccionamiento IP tras la migración del DHCP: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Al trasladar la lógica de entrega de IPs del router al servidor dedicado, los equipos conectados mantuvieron temporalmente tablas vacías o sufrieron interrupciones en la obtención de parámetros por DHCP.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forzó la renovación de la concesión DHCP alternando el estado de la interfaz de red de la PC (de Static a DHCP), logrando que el agente relay (ip helper-address) encamine correctamente la solicitud hacia el servidor en la dirección 192.168.100.10.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Incompatibilidad de puertos físicos y enlaces de red hacia los servidores públicos: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Inicialmente se generaron interrupciones de tipo Request Timeout al intentar acceder al sitio web externo debido a un desfase entre el número de interfaz configurada lógicamente en el router ISP (Fa1/0 / Fa2/0) y el puerto físico donde se conectaba el cable cruzado del servidor.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Se reestructuró la topología física emparejando correctamente los puertos según el esquema de red planificado (1.1.1.1 para el servidor web y 1.1.2.1 para el servidor DNS), permitiendo el correcto retorno del tráfico mediante las rutas estáticas de la WAN.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3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b w:val="1"/>
      <w:bCs w:val="1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330" w:lineRule="auto"/>
    </w:pPr>
    <w:rPr>
      <w:b w:val="1"/>
      <w:bCs w:val="1"/>
      <w:i w:val="0"/>
      <w:iCs w:val="0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4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