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95F" w:rsidRPr="009A0A1A" w:rsidRDefault="009A0A1A">
      <w:pPr>
        <w:pStyle w:val="Ttulo1"/>
        <w:jc w:val="center"/>
        <w:rPr>
          <w:lang w:val="es-MX"/>
        </w:rPr>
      </w:pPr>
      <w:r>
        <w:rPr>
          <w:lang w:val="es-MX"/>
        </w:rPr>
        <w:t>REPASO INTEGRATIVO SEGUNDO PARCIAL ECONOMÍA APLICADA. LSI.</w:t>
      </w:r>
    </w:p>
    <w:p w:rsidR="00D7295F" w:rsidRPr="009A0A1A" w:rsidRDefault="009A0A1A">
      <w:pPr>
        <w:pStyle w:val="Ttulo2"/>
        <w:rPr>
          <w:lang w:val="es-MX"/>
        </w:rPr>
      </w:pPr>
      <w:r w:rsidRPr="009A0A1A">
        <w:rPr>
          <w:lang w:val="es-MX"/>
        </w:rPr>
        <w:t>Preguntas</w:t>
      </w:r>
      <w:r>
        <w:rPr>
          <w:lang w:val="es-MX"/>
        </w:rPr>
        <w:t xml:space="preserve"> módulo 2 y 3: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 xml:space="preserve">1. El marketing busca satisfacer necesidades y deseos </w:t>
      </w:r>
      <w:r w:rsidRPr="009A0A1A">
        <w:rPr>
          <w:lang w:val="es-MX"/>
        </w:rPr>
        <w:t>mediante procesos de intercambio.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2. La segmentación demográfica divide al mercado según estilos de vida y personalidad.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3. Las demandas son deseos humanos respaldados por poder adquisitivo.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4. El mercado consumidor analiza los hábitos y motivaciones de co</w:t>
      </w:r>
      <w:r w:rsidRPr="009A0A1A">
        <w:rPr>
          <w:lang w:val="es-MX"/>
        </w:rPr>
        <w:t>mpra.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5. El estudio de mercado permite cuantificar precio, demanda y competencia.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6. En competencia perfecta, los oferentes pueden influir individualmente en el precio.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7. La homogeneidad del producto es un supuesto de competencia perfecta.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8. En competenc</w:t>
      </w:r>
      <w:r w:rsidRPr="009A0A1A">
        <w:rPr>
          <w:lang w:val="es-MX"/>
        </w:rPr>
        <w:t xml:space="preserve">ia perfecta, las empresas son </w:t>
      </w:r>
      <w:proofErr w:type="gramStart"/>
      <w:r w:rsidRPr="009A0A1A">
        <w:rPr>
          <w:lang w:val="es-MX"/>
        </w:rPr>
        <w:t>precio aceptantes</w:t>
      </w:r>
      <w:proofErr w:type="gramEnd"/>
      <w:r w:rsidRPr="009A0A1A">
        <w:rPr>
          <w:lang w:val="es-MX"/>
        </w:rPr>
        <w:t>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9. La oferta de la industria en el período inmediato es perfectamente elástica.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10. El monopolista posee capacidad para fijar precios unilateralmente.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11. En el monopolio no existen barreras de entrada al me</w:t>
      </w:r>
      <w:r w:rsidRPr="009A0A1A">
        <w:rPr>
          <w:lang w:val="es-MX"/>
        </w:rPr>
        <w:t>rcado.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 xml:space="preserve">12. El monopolista maximiza beneficios cuando </w:t>
      </w:r>
      <w:proofErr w:type="spellStart"/>
      <w:r w:rsidRPr="009A0A1A">
        <w:rPr>
          <w:lang w:val="es-MX"/>
        </w:rPr>
        <w:t>Img</w:t>
      </w:r>
      <w:proofErr w:type="spellEnd"/>
      <w:r w:rsidRPr="009A0A1A">
        <w:rPr>
          <w:lang w:val="es-MX"/>
        </w:rPr>
        <w:t xml:space="preserve"> = </w:t>
      </w:r>
      <w:proofErr w:type="spellStart"/>
      <w:r w:rsidRPr="009A0A1A">
        <w:rPr>
          <w:lang w:val="es-MX"/>
        </w:rPr>
        <w:t>CMg</w:t>
      </w:r>
      <w:proofErr w:type="spellEnd"/>
      <w:r w:rsidRPr="009A0A1A">
        <w:rPr>
          <w:lang w:val="es-MX"/>
        </w:rPr>
        <w:t>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13. La discriminación de precios de tercer grado clasifica consumidores según características como edad o género.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14. El oligopolio se caracteriza por la existencia de muchas empresas sin pode</w:t>
      </w:r>
      <w:r w:rsidRPr="009A0A1A">
        <w:rPr>
          <w:lang w:val="es-MX"/>
        </w:rPr>
        <w:t>r de mercado.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15. La colusión implica acuerdos entre empresas para limitar la competencia.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16. El equilibrio de Nash supone que ningún jugador tiene incentivos para cambiar su estrategia.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17. La competencia monopolística presenta productos totalmente homog</w:t>
      </w:r>
      <w:r w:rsidRPr="009A0A1A">
        <w:rPr>
          <w:lang w:val="es-MX"/>
        </w:rPr>
        <w:t>éneos.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18. La diferenciación aparente de productos puede apoyarse en publicidad y marca.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19. El VAN acepta proyectos únicamente cuando su resultado es negativo.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20. La TIR representa la tasa máxima que podría pagarse sin perder dinero.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21. El PRI mide el t</w:t>
      </w:r>
      <w:r w:rsidRPr="009A0A1A">
        <w:rPr>
          <w:lang w:val="es-MX"/>
        </w:rPr>
        <w:t>iempo necesario para recuperar la inversión inicial.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22. Una relación beneficio-costo menor a 1 indica rentabilidad positiva.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lastRenderedPageBreak/>
        <w:t>23. El análisis de sensibilidad estudia el efecto de cambios en variables relevantes.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24. El modelo multidimensional de sensibilid</w:t>
      </w:r>
      <w:r w:rsidRPr="009A0A1A">
        <w:rPr>
          <w:lang w:val="es-MX"/>
        </w:rPr>
        <w:t>ad analiza más de una variable simultáneamente.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25. El estudio legal evalúa normas, permisos y riesgos regulatorios del proyecto.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26. El estudio técnico determina la capacidad de producción óptima.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 xml:space="preserve">27. El estudio organizacional analiza la estructura </w:t>
      </w:r>
      <w:r w:rsidRPr="009A0A1A">
        <w:rPr>
          <w:lang w:val="es-MX"/>
        </w:rPr>
        <w:t>interna y los recursos disponibles.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28. El estudio ambiental busca garantizar la sostenibilidad del proyecto.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29. La Agenda 2030 establece 17 Objetivos de Desarrollo Sostenible.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 xml:space="preserve">30. El Acuerdo de París promueve la reducción de emisiones de gases de efecto </w:t>
      </w:r>
      <w:r w:rsidRPr="009A0A1A">
        <w:rPr>
          <w:lang w:val="es-MX"/>
        </w:rPr>
        <w:t>invernadero.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31. El desarrollo sustentable integra dimensiones económicas, sociales y ambientales.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32. Las finanzas sostenibles consideran factores ambientales, sociales y de gobierno corporativo.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33. El modelo financiero y accionarial prioriza exclusivame</w:t>
      </w:r>
      <w:r w:rsidRPr="009A0A1A">
        <w:rPr>
          <w:lang w:val="es-MX"/>
        </w:rPr>
        <w:t xml:space="preserve">nte a los </w:t>
      </w:r>
      <w:proofErr w:type="spellStart"/>
      <w:r w:rsidRPr="009A0A1A">
        <w:rPr>
          <w:lang w:val="es-MX"/>
        </w:rPr>
        <w:t>stakeholders</w:t>
      </w:r>
      <w:proofErr w:type="spellEnd"/>
      <w:r w:rsidRPr="009A0A1A">
        <w:rPr>
          <w:lang w:val="es-MX"/>
        </w:rPr>
        <w:t>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34. Los bonos de carbono son certificados vinculados a la reducción de emisiones.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 xml:space="preserve">35. El Protocolo de </w:t>
      </w:r>
      <w:proofErr w:type="spellStart"/>
      <w:r w:rsidRPr="009A0A1A">
        <w:rPr>
          <w:lang w:val="es-MX"/>
        </w:rPr>
        <w:t>Kyoto</w:t>
      </w:r>
      <w:proofErr w:type="spellEnd"/>
      <w:r w:rsidRPr="009A0A1A">
        <w:rPr>
          <w:lang w:val="es-MX"/>
        </w:rPr>
        <w:t xml:space="preserve"> fomenta modalidades agrícolas sostenibles.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 xml:space="preserve">36. La electrificación del transporte es una estrategia para enfrentar la crisis </w:t>
      </w:r>
      <w:r w:rsidRPr="009A0A1A">
        <w:rPr>
          <w:lang w:val="es-MX"/>
        </w:rPr>
        <w:t>climática.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37. La reutilización y reciclaje de productos contribuyen a reducir residuos industriales.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38. El mercado de bonos de carbono considera a la contaminación como un bien comercializable.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39. El consumidor institucional suele tomar decisiones basad</w:t>
      </w:r>
      <w:r w:rsidRPr="009A0A1A">
        <w:rPr>
          <w:lang w:val="es-MX"/>
        </w:rPr>
        <w:t>as en variables técnicas y racionales.</w:t>
      </w:r>
    </w:p>
    <w:p w:rsidR="00D7295F" w:rsidRPr="009A0A1A" w:rsidRDefault="009A0A1A">
      <w:pPr>
        <w:rPr>
          <w:lang w:val="es-MX"/>
        </w:rPr>
      </w:pPr>
      <w:r w:rsidRPr="009A0A1A">
        <w:rPr>
          <w:lang w:val="es-MX"/>
        </w:rPr>
        <w:t>40. El punto de equilibrio representa el nivel donde ingresos totales igualan costos totales.</w:t>
      </w:r>
    </w:p>
    <w:p w:rsidR="00D7295F" w:rsidRPr="009A0A1A" w:rsidRDefault="00D7295F">
      <w:pPr>
        <w:rPr>
          <w:lang w:val="es-MX"/>
        </w:rPr>
      </w:pPr>
      <w:bookmarkStart w:id="0" w:name="_GoBack"/>
      <w:bookmarkEnd w:id="0"/>
    </w:p>
    <w:sectPr w:rsidR="00D7295F" w:rsidRPr="009A0A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0A1A"/>
    <w:rsid w:val="00AA1D8D"/>
    <w:rsid w:val="00B47730"/>
    <w:rsid w:val="00CB0664"/>
    <w:rsid w:val="00D729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D3A1C1"/>
  <w14:defaultImageDpi w14:val="300"/>
  <w15:docId w15:val="{8A60C7F0-02A7-46C2-B2FC-EB85DD8F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BEFAA0-F20B-45A1-A509-D76D66515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498</Words>
  <Characters>2839</Characters>
  <Application>Microsoft Office Word</Application>
  <DocSecurity>0</DocSecurity>
  <Lines>23</Lines>
  <Paragraphs>6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  <vt:variant>
        <vt:lpstr>Title</vt:lpstr>
      </vt:variant>
      <vt:variant>
        <vt:i4>1</vt:i4>
      </vt:variant>
    </vt:vector>
  </HeadingPairs>
  <TitlesOfParts>
    <vt:vector size="4" baseType="lpstr">
      <vt:lpstr/>
      <vt:lpstr>REPASO INTEGRATIVO SEGUNDO PARCIAL ECONOMÍA APLICADA. LSI.</vt:lpstr>
      <vt:lpstr>    Preguntas módulo 2 y 3:</vt:lpstr>
      <vt:lpstr/>
    </vt:vector>
  </TitlesOfParts>
  <Manager/>
  <Company/>
  <LinksUpToDate>false</LinksUpToDate>
  <CharactersWithSpaces>3331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2026-05-20T12:00:00Z</dcterms:created>
  <dcterms:modified xsi:type="dcterms:W3CDTF">2026-05-20T12:00:00Z</dcterms:modified>
  <cp:category/>
</cp:coreProperties>
</file>