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t xml:space="preserve">Leeres Notizblatt</w:t>
      </w:r>
    </w:p>
    <w:p>
      <w:pPr>
        <w:spacing w:after="200"/>
      </w:pPr>
      <w:r>
        <w:t xml:space="preserve">Diese Seite gehört Ihnen. Tippen Sie hier Ihren Testtext.</w:t>
      </w:r>
    </w:p>
    <w:p>
      <w:pPr>
        <w:spacing w:after="200"/>
      </w:pPr>
      <w:r>
        <w:t xml:space="preserve">Tipp: Formatierungen, Listen und Tabellen funktionieren ebenso wie das gemeinsame Bearbeiten.</w:t>
      </w:r>
    </w:p>
    <w:sectPr>
      <w:pgSz w:w="11906" w:h="16838"/>
      <w:pgMar w:top="1417" w:right="1417" w:bottom="1417" w:left="1417"/>
    </w:sectPr>
  </w:body>
</w:document>
</file>