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A73A" w14:textId="77777777" w:rsidR="009D3E09" w:rsidRPr="009D3E09" w:rsidRDefault="009D3E09">
      <w:pPr>
        <w:rPr>
          <w:rFonts w:ascii="LM Roman 12" w:hAnsi="LM Roman 12" w:cs="Segoe UI"/>
          <w:b/>
          <w:bCs/>
          <w:color w:val="374151"/>
          <w:sz w:val="40"/>
          <w:szCs w:val="40"/>
        </w:rPr>
      </w:pPr>
      <w:r w:rsidRPr="009D3E09">
        <w:rPr>
          <w:rFonts w:ascii="LM Roman 12" w:hAnsi="LM Roman 12" w:cs="Segoe UI"/>
          <w:b/>
          <w:bCs/>
          <w:color w:val="374151"/>
          <w:sz w:val="40"/>
          <w:szCs w:val="40"/>
        </w:rPr>
        <w:t>Unlocking Arbitrage Potential</w:t>
      </w:r>
      <w:r w:rsidRPr="009D3E09">
        <w:rPr>
          <w:rFonts w:ascii="LM Roman 12" w:hAnsi="LM Roman 12" w:cs="Segoe UI"/>
          <w:b/>
          <w:bCs/>
          <w:color w:val="374151"/>
          <w:sz w:val="40"/>
          <w:szCs w:val="40"/>
        </w:rPr>
        <w:t>:</w:t>
      </w:r>
    </w:p>
    <w:p w14:paraId="6410167D" w14:textId="5EBB358E" w:rsidR="009D3E09" w:rsidRPr="009D3E09" w:rsidRDefault="009D3E09">
      <w:pPr>
        <w:rPr>
          <w:rFonts w:ascii="LM Roman 12" w:hAnsi="LM Roman 12" w:cs="Segoe UI"/>
          <w:color w:val="374151"/>
          <w:sz w:val="40"/>
          <w:szCs w:val="40"/>
        </w:rPr>
      </w:pPr>
      <w:r w:rsidRPr="009D3E09">
        <w:rPr>
          <w:rFonts w:ascii="LM Roman 12" w:hAnsi="LM Roman 12" w:cs="Segoe UI"/>
          <w:color w:val="374151"/>
          <w:sz w:val="40"/>
          <w:szCs w:val="40"/>
        </w:rPr>
        <w:t xml:space="preserve">A </w:t>
      </w:r>
      <w:r w:rsidRPr="009D3E09">
        <w:rPr>
          <w:rFonts w:ascii="LM Roman 12" w:hAnsi="LM Roman 12" w:cs="Segoe UI"/>
          <w:color w:val="374151"/>
          <w:sz w:val="40"/>
          <w:szCs w:val="40"/>
        </w:rPr>
        <w:t>Deep</w:t>
      </w:r>
      <w:r w:rsidRPr="009D3E09">
        <w:rPr>
          <w:rFonts w:ascii="LM Roman 12" w:hAnsi="LM Roman 12" w:cs="Segoe UI"/>
          <w:color w:val="374151"/>
          <w:sz w:val="40"/>
          <w:szCs w:val="40"/>
        </w:rPr>
        <w:t xml:space="preserve">-Learning Approach in </w:t>
      </w:r>
      <w:r w:rsidRPr="009D3E09">
        <w:rPr>
          <w:rFonts w:ascii="LM Roman 12" w:hAnsi="LM Roman 12" w:cs="Segoe UI"/>
          <w:color w:val="374151"/>
          <w:sz w:val="40"/>
          <w:szCs w:val="40"/>
        </w:rPr>
        <w:t>Intraday</w:t>
      </w:r>
      <w:r w:rsidRPr="009D3E09">
        <w:rPr>
          <w:rFonts w:ascii="LM Roman 12" w:hAnsi="LM Roman 12" w:cs="Segoe UI"/>
          <w:color w:val="374151"/>
          <w:sz w:val="40"/>
          <w:szCs w:val="40"/>
        </w:rPr>
        <w:t xml:space="preserve"> US Equities</w:t>
      </w:r>
    </w:p>
    <w:p w14:paraId="4E7E0EA8" w14:textId="77777777" w:rsidR="009D3E09" w:rsidRPr="009D3E09" w:rsidRDefault="009D3E09">
      <w:pPr>
        <w:rPr>
          <w:rFonts w:ascii="LM Roman 12" w:hAnsi="LM Roman 12" w:cs="Segoe UI"/>
          <w:color w:val="374151"/>
          <w:sz w:val="40"/>
          <w:szCs w:val="40"/>
        </w:rPr>
      </w:pPr>
    </w:p>
    <w:p w14:paraId="52D3A5B1" w14:textId="2DB0A6B1" w:rsidR="00A578E5" w:rsidRDefault="00A578E5">
      <w:pPr>
        <w:rPr>
          <w:rFonts w:ascii="LM Roman 12" w:hAnsi="LM Roman 12" w:cs="Segoe UI"/>
          <w:color w:val="374151"/>
        </w:rPr>
      </w:pPr>
      <w:r w:rsidRPr="00A578E5">
        <w:rPr>
          <w:rFonts w:ascii="LM Roman 12" w:hAnsi="LM Roman 12" w:cs="Segoe UI"/>
          <w:color w:val="374151"/>
        </w:rPr>
        <w:t>In the pursuit of advancing and refining deep learning techniques for statistical arbitrage in US equities, how can the systematic processes of replication, integration with multivariate GARC</w:t>
      </w:r>
      <w:r>
        <w:rPr>
          <w:rFonts w:ascii="LM Roman 12" w:hAnsi="LM Roman 12" w:cs="Segoe UI"/>
          <w:color w:val="374151"/>
        </w:rPr>
        <w:t>H</w:t>
      </w:r>
      <w:r w:rsidRPr="00A578E5">
        <w:rPr>
          <w:rFonts w:ascii="LM Roman 12" w:hAnsi="LM Roman 12" w:cs="Segoe UI"/>
          <w:color w:val="374151"/>
        </w:rPr>
        <w:t>, and exploration of high-frequency data contribute to improving market neutrality, addressing non-normally distributed returns, and optimizing performance, particularly under the constraints of transaction costs and market dynamics?</w:t>
      </w:r>
    </w:p>
    <w:p w14:paraId="0818E9E8" w14:textId="77777777" w:rsidR="00A578E5" w:rsidRDefault="00A578E5">
      <w:pPr>
        <w:rPr>
          <w:rFonts w:ascii="LM Roman 12" w:hAnsi="LM Roman 12" w:cs="Segoe UI"/>
          <w:color w:val="374151"/>
        </w:rPr>
      </w:pPr>
    </w:p>
    <w:p w14:paraId="24DA2306" w14:textId="112F0BFC" w:rsidR="00A578E5" w:rsidRPr="00A578E5" w:rsidRDefault="00A578E5" w:rsidP="00A578E5">
      <w:pPr>
        <w:pStyle w:val="ListParagraph"/>
        <w:numPr>
          <w:ilvl w:val="0"/>
          <w:numId w:val="4"/>
        </w:numPr>
        <w:rPr>
          <w:rFonts w:ascii="LM Roman 12" w:hAnsi="LM Roman 12" w:cs="Segoe UI"/>
          <w:b/>
          <w:bCs/>
          <w:color w:val="374151"/>
        </w:rPr>
      </w:pPr>
      <w:r w:rsidRPr="00A578E5">
        <w:rPr>
          <w:rFonts w:ascii="LM Roman 12" w:hAnsi="LM Roman 12" w:cs="Segoe UI"/>
          <w:b/>
          <w:bCs/>
          <w:color w:val="374151"/>
        </w:rPr>
        <w:t>Replication and Baseline Evaluation</w:t>
      </w:r>
    </w:p>
    <w:p w14:paraId="0DB21A25" w14:textId="77777777" w:rsidR="00A578E5" w:rsidRPr="00A578E5" w:rsidRDefault="00A578E5" w:rsidP="00A578E5">
      <w:pPr>
        <w:pStyle w:val="ListParagraph"/>
        <w:numPr>
          <w:ilvl w:val="0"/>
          <w:numId w:val="5"/>
        </w:numPr>
        <w:rPr>
          <w:rFonts w:ascii="LM Roman 12" w:hAnsi="LM Roman 12" w:cs="Segoe UI"/>
          <w:color w:val="374151"/>
        </w:rPr>
      </w:pPr>
      <w:r w:rsidRPr="00A578E5">
        <w:rPr>
          <w:rFonts w:ascii="LM Roman 12" w:hAnsi="LM Roman 12" w:cs="Segoe UI"/>
          <w:color w:val="374151"/>
        </w:rPr>
        <w:t>How faithfully does the replicated deep learning-based statistical arbitrage model predict daily movements in US equities, and what performance metrics indicate its effectiveness in comparison to the original study?</w:t>
      </w:r>
    </w:p>
    <w:p w14:paraId="04A1AD66" w14:textId="77777777" w:rsidR="00A578E5" w:rsidRDefault="00A578E5" w:rsidP="00A578E5">
      <w:pPr>
        <w:pStyle w:val="ListParagraph"/>
        <w:numPr>
          <w:ilvl w:val="0"/>
          <w:numId w:val="5"/>
        </w:numPr>
        <w:rPr>
          <w:rFonts w:ascii="LM Roman 12" w:hAnsi="LM Roman 12" w:cs="Segoe UI"/>
          <w:color w:val="374151"/>
        </w:rPr>
      </w:pPr>
      <w:r w:rsidRPr="00A578E5">
        <w:rPr>
          <w:rFonts w:ascii="LM Roman 12" w:hAnsi="LM Roman 12" w:cs="Segoe UI"/>
          <w:color w:val="374151"/>
        </w:rPr>
        <w:t>What insights and limitations emerge during the replication process, setting the stage for subsequent enhancements?</w:t>
      </w:r>
    </w:p>
    <w:p w14:paraId="16F190C2" w14:textId="460901CB" w:rsidR="005465A3" w:rsidRPr="00A578E5" w:rsidRDefault="005465A3" w:rsidP="00A578E5">
      <w:pPr>
        <w:pStyle w:val="ListParagraph"/>
        <w:numPr>
          <w:ilvl w:val="0"/>
          <w:numId w:val="5"/>
        </w:numPr>
        <w:rPr>
          <w:rFonts w:ascii="LM Roman 12" w:hAnsi="LM Roman 12" w:cs="Segoe UI"/>
          <w:color w:val="374151"/>
        </w:rPr>
      </w:pPr>
      <w:r>
        <w:rPr>
          <w:rFonts w:ascii="LM Roman 12" w:hAnsi="LM Roman 12" w:cs="Segoe UI"/>
          <w:color w:val="374151"/>
        </w:rPr>
        <w:t xml:space="preserve">In case the replication fails, why does it fail, and what steps might we take to produce a model with the desired results, e.g. do we need different assumptions? </w:t>
      </w:r>
    </w:p>
    <w:p w14:paraId="437A3A8C" w14:textId="77777777" w:rsidR="00A578E5" w:rsidRDefault="00A578E5" w:rsidP="00A578E5">
      <w:pPr>
        <w:pStyle w:val="ListParagraph"/>
        <w:numPr>
          <w:ilvl w:val="0"/>
          <w:numId w:val="4"/>
        </w:numPr>
        <w:rPr>
          <w:rFonts w:ascii="LM Roman 12" w:hAnsi="LM Roman 12" w:cs="Segoe UI"/>
          <w:b/>
          <w:bCs/>
          <w:color w:val="374151"/>
        </w:rPr>
      </w:pPr>
      <w:r w:rsidRPr="00A578E5">
        <w:rPr>
          <w:rFonts w:ascii="LM Roman 12" w:hAnsi="LM Roman 12" w:cs="Segoe UI"/>
          <w:b/>
          <w:bCs/>
          <w:color w:val="374151"/>
        </w:rPr>
        <w:t>Exploration of High-Frequency Data</w:t>
      </w:r>
    </w:p>
    <w:p w14:paraId="716B764B" w14:textId="021D9217" w:rsidR="00A578E5" w:rsidRPr="00A578E5" w:rsidRDefault="00A578E5" w:rsidP="00A578E5">
      <w:pPr>
        <w:pStyle w:val="ListParagraph"/>
        <w:numPr>
          <w:ilvl w:val="0"/>
          <w:numId w:val="8"/>
        </w:numPr>
        <w:rPr>
          <w:rFonts w:ascii="LM Roman 12" w:hAnsi="LM Roman 12" w:cs="Segoe UI"/>
          <w:b/>
          <w:bCs/>
          <w:color w:val="374151"/>
        </w:rPr>
      </w:pPr>
      <w:r w:rsidRPr="00A578E5">
        <w:rPr>
          <w:rFonts w:ascii="LM Roman 12" w:hAnsi="LM Roman 12" w:cs="Segoe UI"/>
          <w:color w:val="374151"/>
        </w:rPr>
        <w:t>In adapting the model for high-frequency intraday data, how effectively does it address the challenges specific to intraday trading, such as transaction costs and market dynamics?</w:t>
      </w:r>
    </w:p>
    <w:p w14:paraId="3341D366" w14:textId="0C4D9AD9" w:rsidR="00A578E5" w:rsidRDefault="00A578E5" w:rsidP="00A578E5">
      <w:pPr>
        <w:pStyle w:val="ListParagraph"/>
        <w:numPr>
          <w:ilvl w:val="0"/>
          <w:numId w:val="8"/>
        </w:numPr>
        <w:rPr>
          <w:rFonts w:ascii="LM Roman 12" w:hAnsi="LM Roman 12" w:cs="Segoe UI"/>
          <w:color w:val="374151"/>
        </w:rPr>
      </w:pPr>
      <w:r w:rsidRPr="00A578E5">
        <w:rPr>
          <w:rFonts w:ascii="LM Roman 12" w:hAnsi="LM Roman 12" w:cs="Segoe UI"/>
          <w:color w:val="374151"/>
        </w:rPr>
        <w:t>What insights are gained into the model's behavior under high-frequency conditions, and how does its performance compare to the daily version in terms of risk</w:t>
      </w:r>
      <w:r>
        <w:rPr>
          <w:rFonts w:ascii="LM Roman 12" w:hAnsi="LM Roman 12" w:cs="Segoe UI"/>
          <w:color w:val="374151"/>
        </w:rPr>
        <w:t>-adjusted returns</w:t>
      </w:r>
      <w:r w:rsidRPr="00A578E5">
        <w:rPr>
          <w:rFonts w:ascii="LM Roman 12" w:hAnsi="LM Roman 12" w:cs="Segoe UI"/>
          <w:color w:val="374151"/>
        </w:rPr>
        <w:t>?</w:t>
      </w:r>
    </w:p>
    <w:p w14:paraId="1DDC8CD4" w14:textId="77777777" w:rsidR="00331AC2" w:rsidRDefault="00331AC2" w:rsidP="00331AC2">
      <w:pPr>
        <w:pStyle w:val="ListParagraph"/>
        <w:numPr>
          <w:ilvl w:val="0"/>
          <w:numId w:val="4"/>
        </w:numPr>
        <w:rPr>
          <w:rFonts w:ascii="LM Roman 12" w:hAnsi="LM Roman 12" w:cs="Segoe UI"/>
          <w:b/>
          <w:bCs/>
          <w:color w:val="374151"/>
        </w:rPr>
      </w:pPr>
      <w:r w:rsidRPr="00A578E5">
        <w:rPr>
          <w:rFonts w:ascii="LM Roman 12" w:hAnsi="LM Roman 12" w:cs="Segoe UI"/>
          <w:b/>
          <w:bCs/>
          <w:color w:val="374151"/>
        </w:rPr>
        <w:t>Integration of Multivariate GARCH and Copulas</w:t>
      </w:r>
    </w:p>
    <w:p w14:paraId="31137071" w14:textId="77777777" w:rsidR="00331AC2" w:rsidRPr="00A578E5" w:rsidRDefault="00331AC2" w:rsidP="00331AC2">
      <w:pPr>
        <w:pStyle w:val="ListParagraph"/>
        <w:numPr>
          <w:ilvl w:val="0"/>
          <w:numId w:val="7"/>
        </w:numPr>
        <w:rPr>
          <w:rFonts w:ascii="LM Roman 12" w:hAnsi="LM Roman 12" w:cs="Segoe UI"/>
          <w:b/>
          <w:bCs/>
          <w:color w:val="374151"/>
        </w:rPr>
      </w:pPr>
      <w:r w:rsidRPr="00A578E5">
        <w:rPr>
          <w:rFonts w:ascii="LM Roman 12" w:hAnsi="LM Roman 12" w:cs="Segoe UI"/>
          <w:color w:val="374151"/>
        </w:rPr>
        <w:t>How does the incorporation of multivariate GARCH models and copulas into the deep learning model impact market neutrality and improve predictions of intraday US equity movements?</w:t>
      </w:r>
    </w:p>
    <w:p w14:paraId="51CD6735" w14:textId="77777777" w:rsidR="00331AC2" w:rsidRDefault="00331AC2" w:rsidP="00331AC2">
      <w:pPr>
        <w:pStyle w:val="ListParagraph"/>
        <w:numPr>
          <w:ilvl w:val="0"/>
          <w:numId w:val="7"/>
        </w:numPr>
        <w:rPr>
          <w:rFonts w:ascii="LM Roman 12" w:hAnsi="LM Roman 12" w:cs="Segoe UI"/>
          <w:color w:val="374151"/>
        </w:rPr>
      </w:pPr>
      <w:r w:rsidRPr="00A578E5">
        <w:rPr>
          <w:rFonts w:ascii="LM Roman 12" w:hAnsi="LM Roman 12" w:cs="Segoe UI"/>
          <w:color w:val="374151"/>
        </w:rPr>
        <w:t>What statistical evidence supports the enhanced model's performance, and how does it compare to the baseline model in terms of risk-adjusted returns?</w:t>
      </w:r>
    </w:p>
    <w:p w14:paraId="36BD7920" w14:textId="77777777" w:rsidR="00331AC2" w:rsidRPr="00A578E5" w:rsidRDefault="00331AC2" w:rsidP="00331AC2">
      <w:pPr>
        <w:pStyle w:val="ListParagraph"/>
        <w:ind w:left="1080"/>
        <w:rPr>
          <w:rFonts w:ascii="LM Roman 12" w:hAnsi="LM Roman 12" w:cs="Segoe UI"/>
          <w:color w:val="374151"/>
        </w:rPr>
      </w:pPr>
    </w:p>
    <w:sectPr w:rsidR="00331AC2" w:rsidRPr="00A5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096"/>
    <w:multiLevelType w:val="hybridMultilevel"/>
    <w:tmpl w:val="023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449A"/>
    <w:multiLevelType w:val="multilevel"/>
    <w:tmpl w:val="0144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D7549"/>
    <w:multiLevelType w:val="multilevel"/>
    <w:tmpl w:val="A07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12F3F"/>
    <w:multiLevelType w:val="hybridMultilevel"/>
    <w:tmpl w:val="DFC8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44E4D"/>
    <w:multiLevelType w:val="hybridMultilevel"/>
    <w:tmpl w:val="B2F4C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D6822"/>
    <w:multiLevelType w:val="multilevel"/>
    <w:tmpl w:val="77C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5AD3"/>
    <w:multiLevelType w:val="hybridMultilevel"/>
    <w:tmpl w:val="4D066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882363"/>
    <w:multiLevelType w:val="hybridMultilevel"/>
    <w:tmpl w:val="0D3E7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272624">
    <w:abstractNumId w:val="2"/>
  </w:num>
  <w:num w:numId="2" w16cid:durableId="426508965">
    <w:abstractNumId w:val="5"/>
  </w:num>
  <w:num w:numId="3" w16cid:durableId="84308907">
    <w:abstractNumId w:val="1"/>
  </w:num>
  <w:num w:numId="4" w16cid:durableId="1701202405">
    <w:abstractNumId w:val="0"/>
  </w:num>
  <w:num w:numId="5" w16cid:durableId="411664050">
    <w:abstractNumId w:val="4"/>
  </w:num>
  <w:num w:numId="6" w16cid:durableId="2112780881">
    <w:abstractNumId w:val="3"/>
  </w:num>
  <w:num w:numId="7" w16cid:durableId="1484270274">
    <w:abstractNumId w:val="7"/>
  </w:num>
  <w:num w:numId="8" w16cid:durableId="460462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9"/>
    <w:rsid w:val="00331AC2"/>
    <w:rsid w:val="005465A3"/>
    <w:rsid w:val="009D3E09"/>
    <w:rsid w:val="00A578E5"/>
    <w:rsid w:val="00B0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B483"/>
  <w15:chartTrackingRefBased/>
  <w15:docId w15:val="{AD9338AA-5205-C24A-97E3-D23F1E86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Brammer</dc:creator>
  <cp:keywords/>
  <dc:description/>
  <cp:lastModifiedBy>Tobias Brammer</cp:lastModifiedBy>
  <cp:revision>1</cp:revision>
  <dcterms:created xsi:type="dcterms:W3CDTF">2024-01-17T11:02:00Z</dcterms:created>
  <dcterms:modified xsi:type="dcterms:W3CDTF">2024-01-17T14:29:00Z</dcterms:modified>
</cp:coreProperties>
</file>