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5FA4" w14:textId="77777777" w:rsidR="00C22EF5" w:rsidRPr="00DB55B1" w:rsidRDefault="00C22EF5" w:rsidP="00C22EF5">
      <w:pPr>
        <w:spacing w:after="200" w:line="360" w:lineRule="auto"/>
        <w:rPr>
          <w:rFonts w:ascii="Arial" w:eastAsia="Arial" w:hAnsi="Arial" w:cs="Arial"/>
        </w:rPr>
      </w:pPr>
    </w:p>
    <w:tbl>
      <w:tblPr>
        <w:tblStyle w:val="1"/>
        <w:tblW w:w="14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15"/>
        <w:gridCol w:w="1530"/>
        <w:gridCol w:w="1800"/>
        <w:gridCol w:w="2070"/>
        <w:gridCol w:w="2340"/>
        <w:gridCol w:w="2250"/>
        <w:gridCol w:w="1980"/>
      </w:tblGrid>
      <w:tr w:rsidR="00C22EF5" w:rsidRPr="00DB55B1" w14:paraId="0A5EA9DA" w14:textId="77777777" w:rsidTr="002673CE">
        <w:trPr>
          <w:trHeight w:val="414"/>
        </w:trPr>
        <w:tc>
          <w:tcPr>
            <w:tcW w:w="2115" w:type="dxa"/>
            <w:tcBorders>
              <w:top w:val="single" w:sz="6" w:space="0" w:color="000000"/>
              <w:left w:val="single" w:sz="6" w:space="0" w:color="000000"/>
              <w:bottom w:val="single" w:sz="6" w:space="0" w:color="000000"/>
              <w:right w:val="single" w:sz="6" w:space="0" w:color="000000"/>
            </w:tcBorders>
            <w:shd w:val="clear" w:color="auto" w:fill="BDBDBD"/>
            <w:tcMar>
              <w:top w:w="30" w:type="dxa"/>
              <w:left w:w="45" w:type="dxa"/>
              <w:bottom w:w="30" w:type="dxa"/>
              <w:right w:w="45" w:type="dxa"/>
            </w:tcMar>
            <w:vAlign w:val="center"/>
          </w:tcPr>
          <w:p w14:paraId="746AD285" w14:textId="77777777" w:rsidR="00C22EF5" w:rsidRPr="00DB55B1" w:rsidRDefault="00C22EF5" w:rsidP="002673CE">
            <w:pPr>
              <w:rPr>
                <w:rFonts w:ascii="Arial" w:eastAsia="Arial" w:hAnsi="Arial" w:cs="Arial"/>
                <w:b/>
              </w:rPr>
            </w:pPr>
            <w:r w:rsidRPr="00DB55B1">
              <w:rPr>
                <w:rFonts w:ascii="Arial" w:eastAsia="Arial" w:hAnsi="Arial" w:cs="Arial"/>
                <w:b/>
              </w:rPr>
              <w:t>Microbe</w:t>
            </w:r>
          </w:p>
        </w:tc>
        <w:tc>
          <w:tcPr>
            <w:tcW w:w="153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11B1E25" w14:textId="77777777" w:rsidR="00C22EF5" w:rsidRPr="00DB55B1" w:rsidRDefault="00C22EF5" w:rsidP="002673CE">
            <w:pPr>
              <w:rPr>
                <w:rFonts w:ascii="Arial" w:eastAsia="Arial" w:hAnsi="Arial" w:cs="Arial"/>
                <w:b/>
              </w:rPr>
            </w:pPr>
            <w:r w:rsidRPr="00DB55B1">
              <w:rPr>
                <w:rFonts w:ascii="Arial" w:eastAsia="Arial" w:hAnsi="Arial" w:cs="Arial"/>
                <w:b/>
              </w:rPr>
              <w:t>Type</w:t>
            </w:r>
          </w:p>
        </w:tc>
        <w:tc>
          <w:tcPr>
            <w:tcW w:w="180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8604596" w14:textId="77777777" w:rsidR="00C22EF5" w:rsidRPr="00DB55B1" w:rsidRDefault="00C22EF5" w:rsidP="002673CE">
            <w:pPr>
              <w:rPr>
                <w:rFonts w:ascii="Arial" w:eastAsia="Arial" w:hAnsi="Arial" w:cs="Arial"/>
                <w:b/>
              </w:rPr>
            </w:pPr>
            <w:r w:rsidRPr="00DB55B1">
              <w:rPr>
                <w:rFonts w:ascii="Arial" w:eastAsia="Arial" w:hAnsi="Arial" w:cs="Arial"/>
                <w:b/>
              </w:rPr>
              <w:t>Family</w:t>
            </w:r>
          </w:p>
        </w:tc>
        <w:tc>
          <w:tcPr>
            <w:tcW w:w="207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305A64A8" w14:textId="77777777" w:rsidR="00C22EF5" w:rsidRPr="00DB55B1" w:rsidRDefault="00C22EF5" w:rsidP="002673CE">
            <w:pPr>
              <w:rPr>
                <w:rFonts w:ascii="Arial" w:eastAsia="Arial" w:hAnsi="Arial" w:cs="Arial"/>
                <w:b/>
              </w:rPr>
            </w:pPr>
            <w:r w:rsidRPr="00DB55B1">
              <w:rPr>
                <w:rFonts w:ascii="Arial" w:eastAsia="Arial" w:hAnsi="Arial" w:cs="Arial"/>
                <w:b/>
              </w:rPr>
              <w:t>Order</w:t>
            </w:r>
          </w:p>
        </w:tc>
        <w:tc>
          <w:tcPr>
            <w:tcW w:w="234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16D460B8" w14:textId="77777777" w:rsidR="00C22EF5" w:rsidRPr="00DB55B1" w:rsidRDefault="00C22EF5" w:rsidP="002673CE">
            <w:pPr>
              <w:rPr>
                <w:rFonts w:ascii="Arial" w:eastAsia="Arial" w:hAnsi="Arial" w:cs="Arial"/>
                <w:b/>
              </w:rPr>
            </w:pPr>
            <w:r w:rsidRPr="00DB55B1">
              <w:rPr>
                <w:rFonts w:ascii="Arial" w:eastAsia="Arial" w:hAnsi="Arial" w:cs="Arial"/>
                <w:b/>
              </w:rPr>
              <w:t>Class</w:t>
            </w:r>
          </w:p>
        </w:tc>
        <w:tc>
          <w:tcPr>
            <w:tcW w:w="225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6C8F2498" w14:textId="77777777" w:rsidR="00C22EF5" w:rsidRPr="00DB55B1" w:rsidRDefault="00C22EF5" w:rsidP="002673CE">
            <w:pPr>
              <w:rPr>
                <w:rFonts w:ascii="Arial" w:eastAsia="Arial" w:hAnsi="Arial" w:cs="Arial"/>
                <w:b/>
              </w:rPr>
            </w:pPr>
            <w:r w:rsidRPr="00DB55B1">
              <w:rPr>
                <w:rFonts w:ascii="Arial" w:eastAsia="Arial" w:hAnsi="Arial" w:cs="Arial"/>
                <w:b/>
              </w:rPr>
              <w:t>Isolation source</w:t>
            </w:r>
          </w:p>
        </w:tc>
        <w:tc>
          <w:tcPr>
            <w:tcW w:w="1980" w:type="dxa"/>
            <w:tcBorders>
              <w:top w:val="single" w:sz="6" w:space="0" w:color="000000"/>
              <w:left w:val="single" w:sz="6" w:space="0" w:color="CCCCCC"/>
              <w:bottom w:val="single" w:sz="6" w:space="0" w:color="000000"/>
              <w:right w:val="single" w:sz="6" w:space="0" w:color="000000"/>
            </w:tcBorders>
            <w:shd w:val="clear" w:color="auto" w:fill="BDBDBD"/>
            <w:tcMar>
              <w:top w:w="30" w:type="dxa"/>
              <w:left w:w="45" w:type="dxa"/>
              <w:bottom w:w="30" w:type="dxa"/>
              <w:right w:w="45" w:type="dxa"/>
            </w:tcMar>
            <w:vAlign w:val="center"/>
          </w:tcPr>
          <w:p w14:paraId="4A7BCC6F" w14:textId="77777777" w:rsidR="00C22EF5" w:rsidRPr="00DB55B1" w:rsidRDefault="00C22EF5" w:rsidP="002673CE">
            <w:pPr>
              <w:rPr>
                <w:rFonts w:ascii="Arial" w:eastAsia="Arial" w:hAnsi="Arial" w:cs="Arial"/>
                <w:b/>
              </w:rPr>
            </w:pPr>
            <w:r w:rsidRPr="00DB55B1">
              <w:rPr>
                <w:rFonts w:ascii="Arial" w:eastAsia="Arial" w:hAnsi="Arial" w:cs="Arial"/>
                <w:b/>
              </w:rPr>
              <w:t>Frequency of isolation in nectar</w:t>
            </w:r>
          </w:p>
        </w:tc>
      </w:tr>
      <w:tr w:rsidR="00C22EF5" w:rsidRPr="00DB55B1" w14:paraId="7E900207"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6CA6B66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Aureobasidium</w:t>
            </w:r>
            <w:proofErr w:type="spellEnd"/>
            <w:r w:rsidRPr="00DB55B1">
              <w:rPr>
                <w:rFonts w:ascii="Arial" w:eastAsia="Arial" w:hAnsi="Arial" w:cs="Arial"/>
                <w:i/>
              </w:rPr>
              <w:t xml:space="preserve"> pullulans</w:t>
            </w:r>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2B0A60C" w14:textId="77777777" w:rsidR="00C22EF5" w:rsidRPr="00DB55B1" w:rsidRDefault="00C22EF5" w:rsidP="002673CE">
            <w:pPr>
              <w:rPr>
                <w:rFonts w:ascii="Arial" w:eastAsia="Arial" w:hAnsi="Arial" w:cs="Arial"/>
              </w:rPr>
            </w:pPr>
            <w:r w:rsidRPr="00DB55B1">
              <w:rPr>
                <w:rFonts w:ascii="Arial" w:eastAsia="Arial" w:hAnsi="Arial" w:cs="Arial"/>
              </w:rPr>
              <w:t>Ascomycete "black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DDEF45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50D9F1"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C5C3B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Dothioraceae</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AF17901" w14:textId="77777777" w:rsidR="00C22EF5" w:rsidRPr="00DB55B1" w:rsidRDefault="00C22EF5" w:rsidP="002673CE">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CBBE012"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CqWCYszD","properties":{"formattedCitation":"[10]","plainCitation":"[10]","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[10]</w:t>
            </w:r>
            <w:r w:rsidRPr="00DB55B1">
              <w:rPr>
                <w:rFonts w:ascii="Arial" w:eastAsia="Arial" w:hAnsi="Arial" w:cs="Arial"/>
              </w:rPr>
              <w:fldChar w:fldCharType="end"/>
            </w:r>
          </w:p>
        </w:tc>
      </w:tr>
      <w:tr w:rsidR="00C22EF5" w:rsidRPr="00DB55B1" w14:paraId="2713B41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75AAD18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Metschnikowia</w:t>
            </w:r>
            <w:proofErr w:type="spellEnd"/>
            <w:r w:rsidRPr="00DB55B1">
              <w:rPr>
                <w:rFonts w:ascii="Arial" w:eastAsia="Arial" w:hAnsi="Arial" w:cs="Arial"/>
                <w:i/>
              </w:rPr>
              <w:t xml:space="preserve"> </w:t>
            </w:r>
            <w:proofErr w:type="spellStart"/>
            <w:r w:rsidRPr="00DB55B1">
              <w:rPr>
                <w:rFonts w:ascii="Arial" w:eastAsia="Arial" w:hAnsi="Arial" w:cs="Arial"/>
                <w:i/>
              </w:rPr>
              <w:t>reukaufii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5354C83"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C50C0A"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Metschnikowiaceae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A6BBC4B"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22348D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EAF01EE" w14:textId="77777777" w:rsidR="00C22EF5" w:rsidRPr="00DB55B1" w:rsidRDefault="00C22EF5" w:rsidP="002673CE">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AE9D16A"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{"citationID":"2rnyA3p9","properties":{"formattedCitation":"[10, 27]","plainCitation":"[10, 27]","noteIndex":0},"citationItems":[{"id":15,"uris":["http://zotero.org/users/6808850/items/WUEHN69T"],"uri":["http://zotero.org/users/6808850/items/WUEHN69T"],"itemData":{"id":15,"type":"article-journal","abstract":"Floral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[10, 27]</w:t>
            </w:r>
            <w:r w:rsidRPr="00DB55B1">
              <w:rPr>
                <w:rFonts w:ascii="Arial" w:eastAsia="Arial" w:hAnsi="Arial" w:cs="Arial"/>
              </w:rPr>
              <w:fldChar w:fldCharType="end"/>
            </w:r>
          </w:p>
        </w:tc>
      </w:tr>
      <w:tr w:rsidR="00C22EF5" w:rsidRPr="00DB55B1" w14:paraId="71401454"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9EF9AA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Rhodotorula</w:t>
            </w:r>
            <w:proofErr w:type="spellEnd"/>
            <w:r w:rsidRPr="00DB55B1">
              <w:rPr>
                <w:rFonts w:ascii="Arial" w:eastAsia="Arial" w:hAnsi="Arial" w:cs="Arial"/>
                <w:i/>
              </w:rPr>
              <w:t xml:space="preserve"> </w:t>
            </w:r>
            <w:proofErr w:type="spellStart"/>
            <w:r w:rsidRPr="00DB55B1">
              <w:rPr>
                <w:rFonts w:ascii="Arial" w:eastAsia="Arial" w:hAnsi="Arial" w:cs="Arial"/>
                <w:i/>
              </w:rPr>
              <w:t>fujisanensis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80D1EDC" w14:textId="77777777" w:rsidR="00C22EF5" w:rsidRPr="00DB55B1" w:rsidRDefault="00C22EF5" w:rsidP="002673CE">
            <w:pPr>
              <w:rPr>
                <w:rFonts w:ascii="Arial" w:eastAsia="Arial" w:hAnsi="Arial" w:cs="Arial"/>
              </w:rPr>
            </w:pPr>
            <w:r w:rsidRPr="00DB55B1">
              <w:rPr>
                <w:rFonts w:ascii="Arial" w:eastAsia="Arial" w:hAnsi="Arial" w:cs="Arial"/>
              </w:rPr>
              <w:t>Basidiomycete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65B31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Sporidiobolaceae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A954D8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Sporidiobolaceae</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CCC26C2"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Microbotryomycetes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EF7BDD7" w14:textId="77777777" w:rsidR="00C22EF5" w:rsidRPr="00DB55B1" w:rsidRDefault="00C22EF5" w:rsidP="002673CE">
            <w:pPr>
              <w:rPr>
                <w:rFonts w:ascii="Arial" w:eastAsia="Arial" w:hAnsi="Arial" w:cs="Arial"/>
              </w:rPr>
            </w:pPr>
            <w:r w:rsidRPr="00DB55B1">
              <w:rPr>
                <w:rFonts w:ascii="Arial" w:eastAsia="Arial" w:hAnsi="Arial" w:cs="Arial"/>
                <w:i/>
              </w:rPr>
              <w:t xml:space="preserve">Ranunculus </w:t>
            </w:r>
            <w:proofErr w:type="spellStart"/>
            <w:r w:rsidRPr="00DB55B1">
              <w:rPr>
                <w:rFonts w:ascii="Arial" w:eastAsia="Arial" w:hAnsi="Arial" w:cs="Arial"/>
                <w:i/>
              </w:rPr>
              <w:t>californicus</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13AA104"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ciTlrfa4","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7AB3B08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4258E0B6" w14:textId="77777777" w:rsidR="00C22EF5" w:rsidRPr="00DB55B1" w:rsidRDefault="00C22EF5" w:rsidP="002673CE">
            <w:pPr>
              <w:rPr>
                <w:rFonts w:ascii="Arial" w:eastAsia="Arial" w:hAnsi="Arial" w:cs="Arial"/>
                <w:i/>
              </w:rPr>
            </w:pPr>
            <w:r w:rsidRPr="00DB55B1">
              <w:rPr>
                <w:rFonts w:ascii="Arial" w:eastAsia="Arial" w:hAnsi="Arial" w:cs="Arial"/>
                <w:i/>
              </w:rPr>
              <w:t>Saccharomyces cerevisiae</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6B18C3E"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45E167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890BB4E"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36E84A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1E3513C" w14:textId="7FC74221" w:rsidR="00C22EF5" w:rsidRPr="00DB55B1" w:rsidRDefault="00CA464B" w:rsidP="002673CE">
            <w:pPr>
              <w:rPr>
                <w:rFonts w:ascii="Arial" w:eastAsia="Arial" w:hAnsi="Arial" w:cs="Arial"/>
              </w:rPr>
            </w:pPr>
            <w:r>
              <w:rPr>
                <w:rFonts w:ascii="Arial" w:eastAsia="Arial" w:hAnsi="Arial" w:cs="Arial"/>
              </w:rPr>
              <w:t>U</w:t>
            </w:r>
            <w:r w:rsidR="00C22EF5" w:rsidRPr="00DB55B1">
              <w:rPr>
                <w:rFonts w:ascii="Arial" w:eastAsia="Arial" w:hAnsi="Arial" w:cs="Arial"/>
              </w:rPr>
              <w:t>nidentified flower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8B0337A" w14:textId="77777777" w:rsidR="00C22EF5" w:rsidRPr="00DB55B1" w:rsidRDefault="00C22EF5" w:rsidP="002673CE">
            <w:pPr>
              <w:rPr>
                <w:rFonts w:ascii="Arial" w:eastAsia="Arial" w:hAnsi="Arial" w:cs="Arial"/>
              </w:rPr>
            </w:pPr>
            <w:r w:rsidRPr="00DB55B1">
              <w:rPr>
                <w:rFonts w:ascii="Arial" w:eastAsia="Arial" w:hAnsi="Arial" w:cs="Arial"/>
              </w:rPr>
              <w:t>Low*</w:t>
            </w:r>
          </w:p>
        </w:tc>
      </w:tr>
      <w:tr w:rsidR="00C22EF5" w:rsidRPr="00DB55B1" w14:paraId="3135F62D"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5A870EE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Starmerella</w:t>
            </w:r>
            <w:proofErr w:type="spellEnd"/>
            <w:r w:rsidRPr="00DB55B1">
              <w:rPr>
                <w:rFonts w:ascii="Arial" w:eastAsia="Arial" w:hAnsi="Arial" w:cs="Arial"/>
                <w:i/>
              </w:rPr>
              <w:t xml:space="preserve"> </w:t>
            </w:r>
          </w:p>
          <w:p w14:paraId="0A532C5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bombi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3D94546"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1435A5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Incertae</w:t>
            </w:r>
            <w:proofErr w:type="spellEnd"/>
            <w:r w:rsidRPr="00DB55B1">
              <w:rPr>
                <w:rFonts w:ascii="Arial" w:eastAsia="Arial" w:hAnsi="Arial" w:cs="Arial"/>
                <w:i/>
              </w:rPr>
              <w:t xml:space="preserve"> </w:t>
            </w:r>
            <w:proofErr w:type="spellStart"/>
            <w:r w:rsidRPr="00DB55B1">
              <w:rPr>
                <w:rFonts w:ascii="Arial" w:eastAsia="Arial" w:hAnsi="Arial" w:cs="Arial"/>
                <w:i/>
              </w:rPr>
              <w:t>sedis</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ED48CA"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D0E6C6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D60E74F" w14:textId="77777777" w:rsidR="00C22EF5" w:rsidRPr="00DB55B1" w:rsidRDefault="00C22EF5" w:rsidP="002673CE">
            <w:pPr>
              <w:rPr>
                <w:rFonts w:ascii="Arial" w:eastAsia="Arial" w:hAnsi="Arial" w:cs="Arial"/>
              </w:rPr>
            </w:pPr>
            <w:r w:rsidRPr="00DB55B1">
              <w:rPr>
                <w:rFonts w:ascii="Arial" w:eastAsia="Arial" w:hAnsi="Arial" w:cs="Arial"/>
                <w:i/>
              </w:rPr>
              <w:t xml:space="preserve">Bombus </w:t>
            </w:r>
            <w:proofErr w:type="spellStart"/>
            <w:r w:rsidRPr="00DB55B1">
              <w:rPr>
                <w:rFonts w:ascii="Arial" w:eastAsia="Arial" w:hAnsi="Arial" w:cs="Arial"/>
                <w:i/>
              </w:rPr>
              <w:t>vosnesenskii</w:t>
            </w:r>
            <w:proofErr w:type="spellEnd"/>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49969744"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rdsjXsbb","properties":{"formattedCitation":"[27]","plainCitation":"[27]","noteIndex":0},"citationItems":[{"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Pr="00DB55B1">
              <w:rPr>
                <w:rFonts w:ascii="Arial" w:eastAsia="Arial" w:hAnsi="Arial" w:cs="Arial"/>
              </w:rPr>
              <w:fldChar w:fldCharType="separate"/>
            </w:r>
            <w:r w:rsidRPr="00DB55B1">
              <w:rPr>
                <w:rFonts w:ascii="Arial" w:hAnsi="Arial" w:cs="Arial"/>
              </w:rPr>
              <w:t>[27]</w:t>
            </w:r>
            <w:r w:rsidRPr="00DB55B1">
              <w:rPr>
                <w:rFonts w:ascii="Arial" w:eastAsia="Arial" w:hAnsi="Arial" w:cs="Arial"/>
              </w:rPr>
              <w:fldChar w:fldCharType="end"/>
            </w:r>
          </w:p>
        </w:tc>
      </w:tr>
      <w:tr w:rsidR="00C22EF5" w:rsidRPr="00DB55B1" w14:paraId="4EE4B1FB" w14:textId="77777777" w:rsidTr="002673CE">
        <w:trPr>
          <w:trHeight w:val="144"/>
        </w:trPr>
        <w:tc>
          <w:tcPr>
            <w:tcW w:w="2115" w:type="dxa"/>
            <w:tcBorders>
              <w:top w:val="single" w:sz="6" w:space="0" w:color="CCCCCC"/>
              <w:left w:val="single" w:sz="6" w:space="0" w:color="000000"/>
              <w:bottom w:val="single" w:sz="18" w:space="0" w:color="000000"/>
              <w:right w:val="single" w:sz="6" w:space="0" w:color="000000"/>
            </w:tcBorders>
            <w:shd w:val="clear" w:color="auto" w:fill="F3F3F3"/>
            <w:tcMar>
              <w:top w:w="30" w:type="dxa"/>
              <w:left w:w="45" w:type="dxa"/>
              <w:bottom w:w="30" w:type="dxa"/>
              <w:right w:w="45" w:type="dxa"/>
            </w:tcMar>
            <w:vAlign w:val="center"/>
          </w:tcPr>
          <w:p w14:paraId="7E31FA74" w14:textId="77777777" w:rsidR="00C22EF5" w:rsidRPr="00DB55B1" w:rsidRDefault="00C22EF5" w:rsidP="002673CE">
            <w:pPr>
              <w:rPr>
                <w:rFonts w:ascii="Arial" w:eastAsia="Arial" w:hAnsi="Arial" w:cs="Arial"/>
                <w:i/>
              </w:rPr>
            </w:pPr>
            <w:r w:rsidRPr="00DB55B1">
              <w:rPr>
                <w:rFonts w:ascii="Arial" w:eastAsia="Arial" w:hAnsi="Arial" w:cs="Arial"/>
                <w:i/>
              </w:rPr>
              <w:t xml:space="preserve">Zygosaccharomyces </w:t>
            </w:r>
            <w:proofErr w:type="spellStart"/>
            <w:r w:rsidRPr="00DB55B1">
              <w:rPr>
                <w:rFonts w:ascii="Arial" w:eastAsia="Arial" w:hAnsi="Arial" w:cs="Arial"/>
                <w:i/>
              </w:rPr>
              <w:t>bailii</w:t>
            </w:r>
            <w:proofErr w:type="spellEnd"/>
          </w:p>
        </w:tc>
        <w:tc>
          <w:tcPr>
            <w:tcW w:w="153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5E6239BC" w14:textId="77777777" w:rsidR="00C22EF5" w:rsidRPr="00DB55B1" w:rsidRDefault="00C22EF5" w:rsidP="002673CE">
            <w:pPr>
              <w:rPr>
                <w:rFonts w:ascii="Arial" w:eastAsia="Arial" w:hAnsi="Arial" w:cs="Arial"/>
              </w:rPr>
            </w:pPr>
            <w:r w:rsidRPr="00DB55B1">
              <w:rPr>
                <w:rFonts w:ascii="Arial" w:eastAsia="Arial" w:hAnsi="Arial" w:cs="Arial"/>
              </w:rPr>
              <w:t>Ascomycete yeast</w:t>
            </w:r>
          </w:p>
        </w:tc>
        <w:tc>
          <w:tcPr>
            <w:tcW w:w="180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794DDC6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Saccharomycetaceae</w:t>
            </w:r>
            <w:proofErr w:type="spellEnd"/>
          </w:p>
        </w:tc>
        <w:tc>
          <w:tcPr>
            <w:tcW w:w="207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3B0D45F7" w14:textId="77777777" w:rsidR="00C22EF5" w:rsidRPr="00DB55B1" w:rsidRDefault="00C22EF5" w:rsidP="002673CE">
            <w:pPr>
              <w:rPr>
                <w:rFonts w:ascii="Arial" w:eastAsia="Arial" w:hAnsi="Arial" w:cs="Arial"/>
                <w:i/>
              </w:rPr>
            </w:pPr>
            <w:r w:rsidRPr="00DB55B1">
              <w:rPr>
                <w:rFonts w:ascii="Arial" w:eastAsia="Arial" w:hAnsi="Arial" w:cs="Arial"/>
                <w:i/>
              </w:rPr>
              <w:t>Saccharomycetales</w:t>
            </w:r>
          </w:p>
        </w:tc>
        <w:tc>
          <w:tcPr>
            <w:tcW w:w="234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741F9F6"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Saccharomycetes</w:t>
            </w:r>
            <w:proofErr w:type="spellEnd"/>
          </w:p>
        </w:tc>
        <w:tc>
          <w:tcPr>
            <w:tcW w:w="225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91F150F" w14:textId="77777777" w:rsidR="00C22EF5" w:rsidRPr="00DB55B1" w:rsidRDefault="00C22EF5" w:rsidP="002673CE">
            <w:pPr>
              <w:rPr>
                <w:rFonts w:ascii="Arial" w:eastAsia="Arial" w:hAnsi="Arial" w:cs="Arial"/>
              </w:rPr>
            </w:pPr>
            <w:proofErr w:type="spellStart"/>
            <w:r w:rsidRPr="00DB55B1">
              <w:rPr>
                <w:rFonts w:ascii="Arial" w:eastAsia="Arial" w:hAnsi="Arial" w:cs="Arial"/>
                <w:i/>
              </w:rPr>
              <w:t>Apis</w:t>
            </w:r>
            <w:proofErr w:type="spellEnd"/>
            <w:r w:rsidRPr="00DB55B1">
              <w:rPr>
                <w:rFonts w:ascii="Arial" w:eastAsia="Arial" w:hAnsi="Arial" w:cs="Arial"/>
                <w:i/>
              </w:rPr>
              <w:t xml:space="preserve"> mellifera</w:t>
            </w:r>
          </w:p>
        </w:tc>
        <w:tc>
          <w:tcPr>
            <w:tcW w:w="1980" w:type="dxa"/>
            <w:tcBorders>
              <w:top w:val="single" w:sz="6" w:space="0" w:color="CCCCCC"/>
              <w:left w:val="single" w:sz="6" w:space="0" w:color="CCCCCC"/>
              <w:bottom w:val="single" w:sz="18" w:space="0" w:color="000000"/>
              <w:right w:val="single" w:sz="6" w:space="0" w:color="000000"/>
            </w:tcBorders>
            <w:shd w:val="clear" w:color="auto" w:fill="F3F3F3"/>
            <w:tcMar>
              <w:top w:w="30" w:type="dxa"/>
              <w:left w:w="45" w:type="dxa"/>
              <w:bottom w:w="30" w:type="dxa"/>
              <w:right w:w="45" w:type="dxa"/>
            </w:tcMar>
            <w:vAlign w:val="center"/>
          </w:tcPr>
          <w:p w14:paraId="087786E4" w14:textId="77777777" w:rsidR="00C22EF5" w:rsidRPr="00DB55B1" w:rsidRDefault="00C22EF5" w:rsidP="002673CE">
            <w:pPr>
              <w:rPr>
                <w:rFonts w:ascii="Arial" w:eastAsia="Arial" w:hAnsi="Arial" w:cs="Arial"/>
              </w:rPr>
            </w:pPr>
            <w:r w:rsidRPr="00DB55B1">
              <w:rPr>
                <w:rFonts w:ascii="Arial" w:eastAsia="Arial" w:hAnsi="Arial" w:cs="Arial"/>
              </w:rPr>
              <w:t>Low*</w:t>
            </w:r>
          </w:p>
          <w:p w14:paraId="6C7E9345" w14:textId="77777777" w:rsidR="00C22EF5" w:rsidRPr="00DB55B1" w:rsidRDefault="00C22EF5" w:rsidP="002673CE">
            <w:pPr>
              <w:rPr>
                <w:rFonts w:ascii="Arial" w:eastAsia="Arial" w:hAnsi="Arial" w:cs="Arial"/>
              </w:rPr>
            </w:pPr>
          </w:p>
        </w:tc>
      </w:tr>
      <w:tr w:rsidR="00C22EF5" w:rsidRPr="00DB55B1" w14:paraId="3CFA1BF9"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368CC406" w14:textId="77777777" w:rsidR="00C22EF5" w:rsidRPr="00DB55B1" w:rsidRDefault="00C22EF5" w:rsidP="002673CE">
            <w:pPr>
              <w:rPr>
                <w:rFonts w:ascii="Arial" w:eastAsia="Arial" w:hAnsi="Arial" w:cs="Arial"/>
                <w:i/>
              </w:rPr>
            </w:pPr>
            <w:r w:rsidRPr="00DB55B1">
              <w:rPr>
                <w:rFonts w:ascii="Arial" w:eastAsia="Arial" w:hAnsi="Arial" w:cs="Arial"/>
                <w:i/>
              </w:rPr>
              <w:t xml:space="preserve">Acinetobacter </w:t>
            </w:r>
            <w:proofErr w:type="spellStart"/>
            <w:r w:rsidRPr="00DB55B1">
              <w:rPr>
                <w:rFonts w:ascii="Arial" w:eastAsia="Arial" w:hAnsi="Arial" w:cs="Arial"/>
                <w:i/>
              </w:rPr>
              <w:t>nectaris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148EBDA"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58CE39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Moraxellaceae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903BFB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DEC19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FB5D68E" w14:textId="77777777" w:rsidR="00C22EF5" w:rsidRPr="00DB55B1" w:rsidRDefault="00C22EF5" w:rsidP="002673CE">
            <w:pPr>
              <w:rPr>
                <w:rFonts w:ascii="Arial" w:eastAsia="Arial" w:hAnsi="Arial" w:cs="Arial"/>
              </w:rPr>
            </w:pPr>
            <w:r w:rsidRPr="00DB55B1">
              <w:rPr>
                <w:rFonts w:ascii="Arial" w:eastAsia="Arial" w:hAnsi="Arial" w:cs="Arial"/>
                <w:i/>
              </w:rPr>
              <w:t>Penstemon heterophyllus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DF50CD4"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{"citationID":"IceHEuJr","properties":{"formattedCitation":"[11,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1EE67847"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20FFC24" w14:textId="77777777" w:rsidR="00C22EF5" w:rsidRPr="00DB55B1" w:rsidRDefault="00C22EF5" w:rsidP="002673CE">
            <w:pPr>
              <w:rPr>
                <w:rFonts w:ascii="Arial" w:eastAsia="Arial" w:hAnsi="Arial" w:cs="Arial"/>
                <w:i/>
              </w:rPr>
            </w:pPr>
            <w:r w:rsidRPr="00DB55B1">
              <w:rPr>
                <w:rFonts w:ascii="Arial" w:eastAsia="Arial" w:hAnsi="Arial" w:cs="Arial"/>
                <w:i/>
              </w:rPr>
              <w:t xml:space="preserve">Bacillus </w:t>
            </w:r>
          </w:p>
          <w:p w14:paraId="1A48E55F" w14:textId="77777777" w:rsidR="00C22EF5" w:rsidRPr="00DB55B1" w:rsidRDefault="00C22EF5" w:rsidP="002673CE">
            <w:pPr>
              <w:rPr>
                <w:rFonts w:ascii="Arial" w:eastAsia="Arial" w:hAnsi="Arial" w:cs="Arial"/>
                <w:i/>
              </w:rPr>
            </w:pPr>
            <w:r w:rsidRPr="00DB55B1">
              <w:rPr>
                <w:rFonts w:ascii="Arial" w:eastAsia="Arial" w:hAnsi="Arial" w:cs="Arial"/>
                <w:i/>
              </w:rPr>
              <w:t>subtilis</w:t>
            </w:r>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9941D63"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23861CA"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Bacillaceae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0C61E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Bacillales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E153E8C" w14:textId="77777777" w:rsidR="00C22EF5" w:rsidRPr="00DB55B1" w:rsidRDefault="00C22EF5" w:rsidP="002673CE">
            <w:pPr>
              <w:rPr>
                <w:rFonts w:ascii="Arial" w:eastAsia="Arial" w:hAnsi="Arial" w:cs="Arial"/>
                <w:i/>
              </w:rPr>
            </w:pPr>
            <w:r w:rsidRPr="00DB55B1">
              <w:rPr>
                <w:rFonts w:ascii="Arial" w:eastAsia="Arial" w:hAnsi="Arial" w:cs="Arial"/>
                <w:i/>
              </w:rPr>
              <w:t>Bacilli</w:t>
            </w:r>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00D7A51" w14:textId="77777777" w:rsidR="00C22EF5" w:rsidRPr="00DB55B1" w:rsidRDefault="00C22EF5" w:rsidP="002673CE">
            <w:pPr>
              <w:rPr>
                <w:rFonts w:ascii="Arial" w:eastAsia="Arial" w:hAnsi="Arial" w:cs="Arial"/>
                <w:i/>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01A601F"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{"citationID":"wYZXj5r7","properties":{"formattedCitation":"[11,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6D221FD8"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AA10EA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Pantoea</w:t>
            </w:r>
            <w:proofErr w:type="spellEnd"/>
            <w:r w:rsidRPr="00DB55B1">
              <w:rPr>
                <w:rFonts w:ascii="Arial" w:eastAsia="Arial" w:hAnsi="Arial" w:cs="Arial"/>
                <w:i/>
              </w:rPr>
              <w:t xml:space="preserve"> </w:t>
            </w:r>
            <w:proofErr w:type="spellStart"/>
            <w:r w:rsidRPr="00DB55B1">
              <w:rPr>
                <w:rFonts w:ascii="Arial" w:eastAsia="Arial" w:hAnsi="Arial" w:cs="Arial"/>
                <w:i/>
              </w:rPr>
              <w:t>agglomerans</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FBC658D"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90AB3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Erwiniaceae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1E0614E9"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A5CE8A3"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955A5B0" w14:textId="77777777" w:rsidR="00C22EF5" w:rsidRPr="00DB55B1" w:rsidRDefault="00C22EF5" w:rsidP="002673CE">
            <w:pPr>
              <w:rPr>
                <w:rFonts w:ascii="Arial" w:eastAsia="Arial" w:hAnsi="Arial" w:cs="Arial"/>
              </w:rPr>
            </w:pPr>
            <w:proofErr w:type="spellStart"/>
            <w:r w:rsidRPr="00DB55B1">
              <w:rPr>
                <w:rFonts w:ascii="Arial" w:eastAsia="Arial" w:hAnsi="Arial" w:cs="Arial"/>
                <w:i/>
              </w:rPr>
              <w:t>Calystegia</w:t>
            </w:r>
            <w:proofErr w:type="spellEnd"/>
            <w:r w:rsidRPr="00DB55B1">
              <w:rPr>
                <w:rFonts w:ascii="Arial" w:eastAsia="Arial" w:hAnsi="Arial" w:cs="Arial"/>
                <w:i/>
              </w:rPr>
              <w:t xml:space="preserve"> occidentalis</w:t>
            </w:r>
            <w:r w:rsidRPr="00DB55B1">
              <w:rPr>
                <w:rFonts w:ascii="Arial" w:eastAsia="Arial" w:hAnsi="Arial" w:cs="Arial"/>
              </w:rPr>
              <w:t xml:space="preserve"> nectar</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35C1F6B4"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{"citationID":"8ybo994S","properties":{"formattedCitation":"[11,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r w:rsidR="00C22EF5" w:rsidRPr="00DB55B1" w14:paraId="0E91C1BF"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512C941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Pectobacterium</w:t>
            </w:r>
            <w:proofErr w:type="spellEnd"/>
            <w:r w:rsidRPr="00DB55B1">
              <w:rPr>
                <w:rFonts w:ascii="Arial" w:eastAsia="Arial" w:hAnsi="Arial" w:cs="Arial"/>
                <w:i/>
              </w:rPr>
              <w:t xml:space="preserve"> </w:t>
            </w:r>
            <w:proofErr w:type="spellStart"/>
            <w:r w:rsidRPr="00DB55B1">
              <w:rPr>
                <w:rFonts w:ascii="Arial" w:eastAsia="Arial" w:hAnsi="Arial" w:cs="Arial"/>
                <w:i/>
              </w:rPr>
              <w:t>carotovorum</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3ACCB7"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8CC5A75"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Pectobacteriaceae</w:t>
            </w:r>
            <w:proofErr w:type="spellEnd"/>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2B6E30B"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5D30DABC"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364451EA" w14:textId="77777777" w:rsidR="00C22EF5" w:rsidRPr="00DB55B1" w:rsidRDefault="00C22EF5" w:rsidP="002673CE">
            <w:pPr>
              <w:rPr>
                <w:rFonts w:ascii="Arial" w:eastAsia="Arial" w:hAnsi="Arial" w:cs="Arial"/>
                <w:i/>
              </w:rPr>
            </w:pPr>
            <w:r w:rsidRPr="00DB55B1">
              <w:rPr>
                <w:rFonts w:ascii="Arial" w:eastAsia="Arial" w:hAnsi="Arial" w:cs="Arial"/>
                <w:i/>
              </w:rPr>
              <w:t>Solanum tuberosum</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76073BE5" w14:textId="77777777" w:rsidR="00C22EF5" w:rsidRPr="00DB55B1" w:rsidRDefault="00C22EF5" w:rsidP="002673CE">
            <w:pPr>
              <w:rPr>
                <w:rFonts w:ascii="Arial" w:eastAsia="Arial" w:hAnsi="Arial" w:cs="Arial"/>
              </w:rPr>
            </w:pPr>
            <w:r w:rsidRPr="00DB55B1">
              <w:rPr>
                <w:rFonts w:ascii="Arial" w:eastAsia="Arial" w:hAnsi="Arial" w:cs="Arial"/>
              </w:rPr>
              <w:t>Low</w:t>
            </w:r>
            <w:r w:rsidRPr="00DB55B1">
              <w:rPr>
                <w:rFonts w:ascii="Arial" w:eastAsia="Arial" w:hAnsi="Arial" w:cs="Arial"/>
              </w:rPr>
              <w:fldChar w:fldCharType="begin"/>
            </w:r>
            <w:r w:rsidRPr="00DB55B1">
              <w:rPr>
                <w:rFonts w:ascii="Arial" w:eastAsia="Arial" w:hAnsi="Arial" w:cs="Arial"/>
              </w:rPr>
              <w:instrText xml:space="preserve"> ADDIN ZOTERO_ITEM CSL_CITATION {"citationID":"uT05tYhc","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385D3160"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08C2721D" w14:textId="77777777" w:rsidR="00C22EF5" w:rsidRPr="00DB55B1" w:rsidRDefault="00C22EF5" w:rsidP="002673CE">
            <w:pPr>
              <w:rPr>
                <w:rFonts w:ascii="Arial" w:eastAsia="Arial" w:hAnsi="Arial" w:cs="Arial"/>
                <w:i/>
              </w:rPr>
            </w:pPr>
            <w:r w:rsidRPr="00DB55B1">
              <w:rPr>
                <w:rFonts w:ascii="Arial" w:eastAsia="Arial" w:hAnsi="Arial" w:cs="Arial"/>
                <w:i/>
              </w:rPr>
              <w:t xml:space="preserve">Pseudomonas </w:t>
            </w:r>
            <w:proofErr w:type="spellStart"/>
            <w:r w:rsidRPr="00DB55B1">
              <w:rPr>
                <w:rFonts w:ascii="Arial" w:eastAsia="Arial" w:hAnsi="Arial" w:cs="Arial"/>
                <w:i/>
              </w:rPr>
              <w:t>mandelii</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26A07F14"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7637F31C" w14:textId="77777777" w:rsidR="00C22EF5" w:rsidRPr="00DB55B1" w:rsidRDefault="00C22EF5" w:rsidP="002673CE">
            <w:pPr>
              <w:rPr>
                <w:rFonts w:ascii="Arial" w:eastAsia="Arial" w:hAnsi="Arial" w:cs="Arial"/>
                <w:i/>
              </w:rPr>
            </w:pPr>
            <w:r w:rsidRPr="00DB55B1">
              <w:rPr>
                <w:rFonts w:ascii="Arial" w:eastAsia="Arial" w:hAnsi="Arial" w:cs="Arial"/>
                <w:i/>
              </w:rPr>
              <w:t>Pseudomonadaceae</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B767900"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Pseudomonadales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B0CCA57"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64BB6789" w14:textId="77777777" w:rsidR="00C22EF5" w:rsidRPr="00DB55B1" w:rsidRDefault="00C22EF5" w:rsidP="002673CE">
            <w:pPr>
              <w:rPr>
                <w:rFonts w:ascii="Arial" w:eastAsia="Arial" w:hAnsi="Arial" w:cs="Arial"/>
              </w:rPr>
            </w:pPr>
            <w:r w:rsidRPr="00DB55B1">
              <w:rPr>
                <w:rFonts w:ascii="Arial" w:eastAsia="Arial" w:hAnsi="Arial" w:cs="Arial"/>
                <w:i/>
              </w:rPr>
              <w:t xml:space="preserve">Bombus </w:t>
            </w:r>
            <w:proofErr w:type="spellStart"/>
            <w:r w:rsidRPr="00DB55B1">
              <w:rPr>
                <w:rFonts w:ascii="Arial" w:eastAsia="Arial" w:hAnsi="Arial" w:cs="Arial"/>
                <w:i/>
              </w:rPr>
              <w:t>vosnesenskii</w:t>
            </w:r>
            <w:proofErr w:type="spellEnd"/>
            <w:r w:rsidRPr="00DB55B1">
              <w:rPr>
                <w:rFonts w:ascii="Arial" w:eastAsia="Arial" w:hAnsi="Arial" w:cs="Arial"/>
              </w:rPr>
              <w:t xml:space="preserve"> queen regurgitant</w:t>
            </w:r>
          </w:p>
        </w:tc>
        <w:tc>
          <w:tcPr>
            <w:tcW w:w="198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047FDD65" w14:textId="77777777" w:rsidR="00C22EF5" w:rsidRPr="00DB55B1" w:rsidRDefault="00C22EF5" w:rsidP="002673CE">
            <w:pPr>
              <w:rPr>
                <w:rFonts w:ascii="Arial" w:eastAsia="Arial" w:hAnsi="Arial" w:cs="Arial"/>
              </w:rPr>
            </w:pPr>
            <w:r w:rsidRPr="00DB55B1">
              <w:rPr>
                <w:rFonts w:ascii="Arial" w:eastAsia="Arial" w:hAnsi="Arial" w:cs="Arial"/>
              </w:rPr>
              <w:t>Medium</w:t>
            </w:r>
            <w:r w:rsidRPr="00DB55B1">
              <w:rPr>
                <w:rFonts w:ascii="Arial" w:eastAsia="Arial" w:hAnsi="Arial" w:cs="Arial"/>
              </w:rPr>
              <w:fldChar w:fldCharType="begin"/>
            </w:r>
            <w:r w:rsidRPr="00DB55B1">
              <w:rPr>
                <w:rFonts w:ascii="Arial" w:eastAsia="Arial" w:hAnsi="Arial" w:cs="Arial"/>
              </w:rPr>
              <w:instrText xml:space="preserve"> ADDIN ZOTERO_ITEM CSL_CITATION {"citationID":"eREtpVKx","properties":{"formattedCitation":"[11]","plainCitation":"[11]","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w:t>
            </w:r>
            <w:r w:rsidRPr="00DB55B1">
              <w:rPr>
                <w:rFonts w:ascii="Arial" w:eastAsia="Arial" w:hAnsi="Arial" w:cs="Arial"/>
              </w:rPr>
              <w:fldChar w:fldCharType="end"/>
            </w:r>
          </w:p>
        </w:tc>
      </w:tr>
      <w:tr w:rsidR="00C22EF5" w:rsidRPr="00DB55B1" w14:paraId="1E08C758" w14:textId="77777777" w:rsidTr="002673CE">
        <w:trPr>
          <w:trHeight w:val="144"/>
        </w:trPr>
        <w:tc>
          <w:tcPr>
            <w:tcW w:w="2115" w:type="dxa"/>
            <w:tcBorders>
              <w:top w:val="single" w:sz="6" w:space="0" w:color="CCCCCC"/>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center"/>
          </w:tcPr>
          <w:p w14:paraId="6A3C06DD"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Rosenbergiella</w:t>
            </w:r>
            <w:proofErr w:type="spellEnd"/>
            <w:r w:rsidRPr="00DB55B1">
              <w:rPr>
                <w:rFonts w:ascii="Arial" w:eastAsia="Arial" w:hAnsi="Arial" w:cs="Arial"/>
                <w:i/>
              </w:rPr>
              <w:t xml:space="preserve"> </w:t>
            </w:r>
            <w:proofErr w:type="spellStart"/>
            <w:r w:rsidRPr="00DB55B1">
              <w:rPr>
                <w:rFonts w:ascii="Arial" w:eastAsia="Arial" w:hAnsi="Arial" w:cs="Arial"/>
                <w:i/>
              </w:rPr>
              <w:t>nectarea</w:t>
            </w:r>
            <w:proofErr w:type="spellEnd"/>
          </w:p>
        </w:tc>
        <w:tc>
          <w:tcPr>
            <w:tcW w:w="153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1BE04812" w14:textId="77777777" w:rsidR="00C22EF5" w:rsidRPr="00DB55B1" w:rsidRDefault="00C22EF5" w:rsidP="002673CE">
            <w:pPr>
              <w:rPr>
                <w:rFonts w:ascii="Arial" w:eastAsia="Arial" w:hAnsi="Arial" w:cs="Arial"/>
              </w:rPr>
            </w:pPr>
            <w:r w:rsidRPr="00DB55B1">
              <w:rPr>
                <w:rFonts w:ascii="Arial" w:eastAsia="Arial" w:hAnsi="Arial" w:cs="Arial"/>
              </w:rPr>
              <w:t>Bacteria</w:t>
            </w:r>
          </w:p>
        </w:tc>
        <w:tc>
          <w:tcPr>
            <w:tcW w:w="180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063990B7" w14:textId="77777777" w:rsidR="00C22EF5" w:rsidRPr="00DB55B1" w:rsidRDefault="00C22EF5" w:rsidP="002673CE">
            <w:pPr>
              <w:rPr>
                <w:rFonts w:ascii="Arial" w:eastAsia="Arial" w:hAnsi="Arial" w:cs="Arial"/>
                <w:i/>
              </w:rPr>
            </w:pPr>
            <w:r w:rsidRPr="00DB55B1">
              <w:rPr>
                <w:rFonts w:ascii="Arial" w:eastAsia="Arial" w:hAnsi="Arial" w:cs="Arial"/>
                <w:i/>
              </w:rPr>
              <w:t>Enterobacteriaceae</w:t>
            </w:r>
          </w:p>
        </w:tc>
        <w:tc>
          <w:tcPr>
            <w:tcW w:w="207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9717C78"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Enterobacterales</w:t>
            </w:r>
            <w:proofErr w:type="spellEnd"/>
          </w:p>
        </w:tc>
        <w:tc>
          <w:tcPr>
            <w:tcW w:w="234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41C0E614" w14:textId="77777777" w:rsidR="00C22EF5" w:rsidRPr="00DB55B1" w:rsidRDefault="00C22EF5" w:rsidP="002673CE">
            <w:pPr>
              <w:rPr>
                <w:rFonts w:ascii="Arial" w:eastAsia="Arial" w:hAnsi="Arial" w:cs="Arial"/>
                <w:i/>
              </w:rPr>
            </w:pPr>
            <w:proofErr w:type="spellStart"/>
            <w:r w:rsidRPr="00DB55B1">
              <w:rPr>
                <w:rFonts w:ascii="Arial" w:eastAsia="Arial" w:hAnsi="Arial" w:cs="Arial"/>
                <w:i/>
              </w:rPr>
              <w:t>Gammaproteobacteria</w:t>
            </w:r>
            <w:proofErr w:type="spellEnd"/>
          </w:p>
        </w:tc>
        <w:tc>
          <w:tcPr>
            <w:tcW w:w="225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204768FB" w14:textId="77777777" w:rsidR="00C22EF5" w:rsidRPr="00DB55B1" w:rsidRDefault="00C22EF5" w:rsidP="002673CE">
            <w:pPr>
              <w:rPr>
                <w:rFonts w:ascii="Arial" w:eastAsia="Arial" w:hAnsi="Arial" w:cs="Arial"/>
              </w:rPr>
            </w:pPr>
            <w:r w:rsidRPr="00DB55B1">
              <w:rPr>
                <w:rFonts w:ascii="Arial" w:eastAsia="Arial" w:hAnsi="Arial" w:cs="Arial"/>
                <w:i/>
              </w:rPr>
              <w:t xml:space="preserve">Epilobium </w:t>
            </w:r>
            <w:proofErr w:type="spellStart"/>
            <w:r w:rsidRPr="00DB55B1">
              <w:rPr>
                <w:rFonts w:ascii="Arial" w:eastAsia="Arial" w:hAnsi="Arial" w:cs="Arial"/>
                <w:i/>
              </w:rPr>
              <w:t>canum</w:t>
            </w:r>
            <w:proofErr w:type="spellEnd"/>
            <w:r w:rsidRPr="00DB55B1">
              <w:rPr>
                <w:rFonts w:ascii="Arial" w:eastAsia="Arial" w:hAnsi="Arial" w:cs="Arial"/>
                <w:i/>
              </w:rPr>
              <w:t xml:space="preserve"> </w:t>
            </w:r>
            <w:r w:rsidRPr="00DB55B1">
              <w:rPr>
                <w:rFonts w:ascii="Arial" w:eastAsia="Arial" w:hAnsi="Arial" w:cs="Arial"/>
              </w:rPr>
              <w:t>nectar</w:t>
            </w:r>
          </w:p>
        </w:tc>
        <w:tc>
          <w:tcPr>
            <w:tcW w:w="1980" w:type="dxa"/>
            <w:tcBorders>
              <w:top w:val="single" w:sz="6" w:space="0" w:color="CCCCCC"/>
              <w:left w:val="single" w:sz="6" w:space="0" w:color="CCCCCC"/>
              <w:bottom w:val="single" w:sz="6" w:space="0" w:color="000000"/>
              <w:right w:val="single" w:sz="6" w:space="0" w:color="000000"/>
            </w:tcBorders>
            <w:shd w:val="clear" w:color="auto" w:fill="F3F3F3"/>
            <w:tcMar>
              <w:top w:w="30" w:type="dxa"/>
              <w:left w:w="45" w:type="dxa"/>
              <w:bottom w:w="30" w:type="dxa"/>
              <w:right w:w="45" w:type="dxa"/>
            </w:tcMar>
            <w:vAlign w:val="center"/>
          </w:tcPr>
          <w:p w14:paraId="6E93253F" w14:textId="77777777" w:rsidR="00C22EF5" w:rsidRPr="00DB55B1" w:rsidRDefault="00C22EF5" w:rsidP="002673CE">
            <w:pPr>
              <w:rPr>
                <w:rFonts w:ascii="Arial" w:eastAsia="Arial" w:hAnsi="Arial" w:cs="Arial"/>
              </w:rPr>
            </w:pPr>
            <w:r w:rsidRPr="00DB55B1">
              <w:rPr>
                <w:rFonts w:ascii="Arial" w:eastAsia="Arial" w:hAnsi="Arial" w:cs="Arial"/>
              </w:rPr>
              <w:t>High</w:t>
            </w:r>
            <w:r w:rsidRPr="00DB55B1">
              <w:rPr>
                <w:rFonts w:ascii="Arial" w:eastAsia="Arial" w:hAnsi="Arial" w:cs="Arial"/>
              </w:rPr>
              <w:fldChar w:fldCharType="begin"/>
            </w:r>
            <w:r w:rsidRPr="00DB55B1">
              <w:rPr>
                <w:rFonts w:ascii="Arial" w:eastAsia="Arial" w:hAnsi="Arial" w:cs="Arial"/>
              </w:rPr>
              <w:instrText xml:space="preserve"> ADDIN ZOTERO_ITEM CSL_CITATION {"citationID":"rxwSBxod","properties":{"formattedCitation":"[11, 32]","plainCitation":"[11, 32]","noteIndex":0},"citationItems":[{"id":159,"uris":["http://zotero.org/users/6808850/items/EHP2PULH"],"uri":["http://zotero.org/users/6808850/items/EHP2PULH"],"itemData":{"id":159,"type":"article-journal","abstract":"Floral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rPr>
              <w:fldChar w:fldCharType="separate"/>
            </w:r>
            <w:r w:rsidRPr="00DB55B1">
              <w:rPr>
                <w:rFonts w:ascii="Arial" w:hAnsi="Arial" w:cs="Arial"/>
              </w:rPr>
              <w:t>[11, 32]</w:t>
            </w:r>
            <w:r w:rsidRPr="00DB55B1">
              <w:rPr>
                <w:rFonts w:ascii="Arial" w:eastAsia="Arial" w:hAnsi="Arial" w:cs="Arial"/>
              </w:rPr>
              <w:fldChar w:fldCharType="end"/>
            </w:r>
          </w:p>
        </w:tc>
      </w:tr>
    </w:tbl>
    <w:p w14:paraId="443A697C" w14:textId="7C76BA85" w:rsidR="00171E40" w:rsidRPr="00C22EF5" w:rsidRDefault="00CA464B" w:rsidP="00C22EF5">
      <w:pPr>
        <w:spacing w:after="200" w:line="360" w:lineRule="auto"/>
        <w:rPr>
          <w:rFonts w:ascii="Arial" w:eastAsia="Arial" w:hAnsi="Arial" w:cs="Arial"/>
        </w:rPr>
      </w:pPr>
      <w:sdt>
        <w:sdtPr>
          <w:rPr>
            <w:rFonts w:ascii="Arial" w:hAnsi="Arial" w:cs="Arial"/>
          </w:rPr>
          <w:tag w:val="goog_rdk_13"/>
          <w:id w:val="-563951573"/>
        </w:sdtPr>
        <w:sdtEndPr/>
        <w:sdtContent/>
      </w:sdt>
    </w:p>
    <w:sectPr w:rsidR="00171E40" w:rsidRPr="00C22EF5" w:rsidSect="002B0A78">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0F"/>
    <w:rsid w:val="00171E40"/>
    <w:rsid w:val="00C22EF5"/>
    <w:rsid w:val="00CA464B"/>
    <w:rsid w:val="00ED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C65"/>
  <w15:chartTrackingRefBased/>
  <w15:docId w15:val="{BCC6162E-8E39-494C-9954-825FB13E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F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C22EF5"/>
    <w:pPr>
      <w:spacing w:after="0" w:line="240" w:lineRule="auto"/>
    </w:pPr>
    <w:rPr>
      <w:rFonts w:ascii="Calibri" w:eastAsia="Calibri" w:hAnsi="Calibri" w:cs="Calibri"/>
      <w:color w:val="000000"/>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5501</Words>
  <Characters>31362</Characters>
  <Application>Microsoft Office Word</Application>
  <DocSecurity>0</DocSecurity>
  <Lines>261</Lines>
  <Paragraphs>73</Paragraphs>
  <ScaleCrop>false</ScaleCrop>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3</cp:revision>
  <cp:lastPrinted>2022-03-25T19:50:00Z</cp:lastPrinted>
  <dcterms:created xsi:type="dcterms:W3CDTF">2022-03-25T16:02:00Z</dcterms:created>
  <dcterms:modified xsi:type="dcterms:W3CDTF">2022-03-25T19:50:00Z</dcterms:modified>
</cp:coreProperties>
</file>