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2D81" w14:textId="661F709C" w:rsidR="00C31938" w:rsidRDefault="00C31938" w:rsidP="0076128A">
      <w:pPr>
        <w:jc w:val="center"/>
      </w:pPr>
      <w:r w:rsidRPr="006F2E1D">
        <w:rPr>
          <w:b/>
          <w:bCs/>
          <w:u w:val="single"/>
          <w:lang w:val="en-SG"/>
        </w:rPr>
        <w:t>Experimental procedure</w:t>
      </w:r>
      <w:r w:rsidR="0076128A">
        <w:rPr>
          <w:b/>
          <w:bCs/>
          <w:lang w:val="en-SG"/>
        </w:rPr>
        <w:br/>
      </w:r>
      <w:r>
        <w:rPr>
          <w:lang w:val="en-SG"/>
        </w:rPr>
        <w:t xml:space="preserve">Mechanochemical synthesis of </w:t>
      </w:r>
      <w:r w:rsidR="00C20496">
        <w:t>Cs</w:t>
      </w:r>
      <w:r w:rsidRPr="00C31938">
        <w:t>Cu</w:t>
      </w:r>
      <w:r w:rsidRPr="00C31938">
        <w:rPr>
          <w:vertAlign w:val="subscript"/>
        </w:rPr>
        <w:t>2</w:t>
      </w:r>
      <w:r w:rsidRPr="00C31938">
        <w:t>X</w:t>
      </w:r>
      <w:r w:rsidRPr="00C31938">
        <w:rPr>
          <w:vertAlign w:val="subscript"/>
        </w:rPr>
        <w:t>3</w:t>
      </w:r>
      <w:r w:rsidR="003B3984">
        <w:rPr>
          <w:vertAlign w:val="subscript"/>
        </w:rPr>
        <w:t xml:space="preserve"> </w:t>
      </w:r>
      <w:r w:rsidR="003B3984">
        <w:t>powder</w:t>
      </w:r>
    </w:p>
    <w:p w14:paraId="2BB683F8" w14:textId="01B74B62" w:rsidR="004163EB" w:rsidRDefault="004163EB" w:rsidP="004163EB">
      <w:pPr>
        <w:pStyle w:val="Heading1"/>
      </w:pPr>
      <w:r>
        <w:t>Motivation</w:t>
      </w:r>
    </w:p>
    <w:p w14:paraId="25A74ECF" w14:textId="4B2B5600" w:rsidR="004163EB" w:rsidRPr="004163EB" w:rsidRDefault="00A644F2" w:rsidP="004163EB">
      <w:pPr>
        <w:rPr>
          <w:lang w:val="en-SG"/>
        </w:rPr>
      </w:pPr>
      <w:r>
        <w:rPr>
          <w:lang w:val="en-SG"/>
        </w:rPr>
        <w:t>We have successfully synthesised a high-quality CsCu</w:t>
      </w:r>
      <w:r w:rsidRPr="00A644F2">
        <w:rPr>
          <w:vertAlign w:val="subscript"/>
          <w:lang w:val="en-SG"/>
        </w:rPr>
        <w:t>2</w:t>
      </w:r>
      <w:r>
        <w:rPr>
          <w:lang w:val="en-SG"/>
        </w:rPr>
        <w:t>I</w:t>
      </w:r>
      <w:r w:rsidRPr="00A644F2">
        <w:rPr>
          <w:vertAlign w:val="subscript"/>
          <w:lang w:val="en-SG"/>
        </w:rPr>
        <w:t>3</w:t>
      </w:r>
      <w:r>
        <w:rPr>
          <w:lang w:val="en-SG"/>
        </w:rPr>
        <w:t xml:space="preserve"> powder with mechanochemical synthesis. The powder</w:t>
      </w:r>
      <w:r w:rsidR="00B100DA">
        <w:rPr>
          <w:lang w:val="en-SG"/>
        </w:rPr>
        <w:t xml:space="preserve"> depicts a large Stokes shift and fast-nanosecond gamma ray decay.</w:t>
      </w:r>
      <w:r w:rsidR="00C20496">
        <w:rPr>
          <w:lang w:val="en-SG"/>
        </w:rPr>
        <w:t xml:space="preserve"> To increase the contribution </w:t>
      </w:r>
      <w:r w:rsidR="00426750">
        <w:rPr>
          <w:lang w:val="en-SG"/>
        </w:rPr>
        <w:t>of direct recombination</w:t>
      </w:r>
      <w:r w:rsidR="00A243A5">
        <w:rPr>
          <w:lang w:val="en-SG"/>
        </w:rPr>
        <w:t xml:space="preserve"> as we have done previously with Cs</w:t>
      </w:r>
      <w:r w:rsidR="00A243A5" w:rsidRPr="00A243A5">
        <w:rPr>
          <w:vertAlign w:val="subscript"/>
          <w:lang w:val="en-SG"/>
        </w:rPr>
        <w:t>3</w:t>
      </w:r>
      <w:r w:rsidR="00A243A5">
        <w:rPr>
          <w:lang w:val="en-SG"/>
        </w:rPr>
        <w:t>Cu</w:t>
      </w:r>
      <w:r w:rsidR="00A243A5" w:rsidRPr="00A243A5">
        <w:rPr>
          <w:vertAlign w:val="subscript"/>
          <w:lang w:val="en-SG"/>
        </w:rPr>
        <w:t>2</w:t>
      </w:r>
      <w:r w:rsidR="00A243A5">
        <w:rPr>
          <w:lang w:val="en-SG"/>
        </w:rPr>
        <w:t>I</w:t>
      </w:r>
      <w:r w:rsidR="00A243A5" w:rsidRPr="00A243A5">
        <w:rPr>
          <w:vertAlign w:val="subscript"/>
          <w:lang w:val="en-SG"/>
        </w:rPr>
        <w:t>5</w:t>
      </w:r>
      <w:r w:rsidR="00A243A5">
        <w:rPr>
          <w:lang w:val="en-SG"/>
        </w:rPr>
        <w:t xml:space="preserve">, </w:t>
      </w:r>
      <w:r w:rsidR="008F0607">
        <w:rPr>
          <w:lang w:val="en-SG"/>
        </w:rPr>
        <w:t xml:space="preserve">structural changes by Br doping. Herein, we aim to </w:t>
      </w:r>
    </w:p>
    <w:p w14:paraId="541073AA" w14:textId="77777777" w:rsidR="0004593F" w:rsidRPr="0062005A" w:rsidRDefault="00C43B1A" w:rsidP="000C4D71">
      <w:pPr>
        <w:pStyle w:val="Heading1"/>
      </w:pPr>
      <w:r w:rsidRPr="0062005A">
        <w:t>Apparatus preparation</w:t>
      </w:r>
    </w:p>
    <w:p w14:paraId="6715BA3F" w14:textId="2F4A8A5E" w:rsidR="003E497D" w:rsidRDefault="00C43B1A" w:rsidP="00F523F6">
      <w:r>
        <w:t>Please prepare</w:t>
      </w:r>
      <w:r w:rsidR="00A135A3">
        <w:t>/ borrow</w:t>
      </w:r>
      <w:r>
        <w:t xml:space="preserve"> the following</w:t>
      </w:r>
      <w:r w:rsidR="00A135A3">
        <w:t xml:space="preserve"> laboratory apparatus from the CSL lab</w:t>
      </w:r>
      <w:r w:rsidR="0004593F">
        <w:t>:</w:t>
      </w:r>
    </w:p>
    <w:p w14:paraId="0A431D99" w14:textId="77777777" w:rsidR="003E497D" w:rsidRDefault="003E497D" w:rsidP="003E497D">
      <w:pPr>
        <w:pStyle w:val="ListParagraph"/>
        <w:numPr>
          <w:ilvl w:val="0"/>
          <w:numId w:val="2"/>
        </w:numPr>
      </w:pPr>
      <w:r>
        <w:t>A</w:t>
      </w:r>
      <w:r w:rsidR="007B0345">
        <w:t>nalytical balance</w:t>
      </w:r>
    </w:p>
    <w:p w14:paraId="43FD7EAC" w14:textId="56B3C18D" w:rsidR="003E497D" w:rsidRDefault="003E497D" w:rsidP="003E497D">
      <w:pPr>
        <w:pStyle w:val="ListParagraph"/>
        <w:numPr>
          <w:ilvl w:val="0"/>
          <w:numId w:val="2"/>
        </w:numPr>
      </w:pPr>
      <w:r>
        <w:t>U</w:t>
      </w:r>
      <w:r w:rsidR="007B0345">
        <w:t>ltrasonic bath</w:t>
      </w:r>
    </w:p>
    <w:p w14:paraId="3869723A" w14:textId="4B8D955C" w:rsidR="003E497D" w:rsidRDefault="003E497D" w:rsidP="003E497D">
      <w:pPr>
        <w:pStyle w:val="ListParagraph"/>
        <w:numPr>
          <w:ilvl w:val="0"/>
          <w:numId w:val="2"/>
        </w:numPr>
      </w:pPr>
      <w:r>
        <w:t>E</w:t>
      </w:r>
      <w:r w:rsidR="007B0345">
        <w:t>thanol 96%</w:t>
      </w:r>
    </w:p>
    <w:p w14:paraId="0575A7A8" w14:textId="6DCA7CDE" w:rsidR="003E497D" w:rsidRDefault="003E497D" w:rsidP="003E497D">
      <w:pPr>
        <w:pStyle w:val="ListParagraph"/>
        <w:numPr>
          <w:ilvl w:val="0"/>
          <w:numId w:val="2"/>
        </w:numPr>
      </w:pPr>
      <w:r>
        <w:t>P</w:t>
      </w:r>
      <w:r w:rsidR="007B0345">
        <w:t>arafilm tape</w:t>
      </w:r>
    </w:p>
    <w:p w14:paraId="27B77C8A" w14:textId="7B74CACE" w:rsidR="00932D4F" w:rsidRDefault="003E497D" w:rsidP="00932D4F">
      <w:pPr>
        <w:pStyle w:val="ListParagraph"/>
        <w:numPr>
          <w:ilvl w:val="0"/>
          <w:numId w:val="2"/>
        </w:numPr>
      </w:pPr>
      <w:r>
        <w:t>G</w:t>
      </w:r>
      <w:r w:rsidR="007B0345">
        <w:t>lass powder tubes (5 mL)</w:t>
      </w:r>
    </w:p>
    <w:p w14:paraId="1BDD13EF" w14:textId="0821E87B" w:rsidR="00A135A3" w:rsidRDefault="003E497D" w:rsidP="00F523F6">
      <w:r>
        <w:t>From the private cabinet, prepare the following laboratory apparatus:</w:t>
      </w:r>
    </w:p>
    <w:p w14:paraId="1A52162B" w14:textId="0BE16302" w:rsidR="005D4B7C" w:rsidRDefault="00932D4F" w:rsidP="00932D4F">
      <w:pPr>
        <w:pStyle w:val="ListParagraph"/>
        <w:numPr>
          <w:ilvl w:val="0"/>
          <w:numId w:val="3"/>
        </w:numPr>
      </w:pPr>
      <w:r>
        <w:t>Spatula (matched to the number of precursors)</w:t>
      </w:r>
    </w:p>
    <w:p w14:paraId="71EA0DEF" w14:textId="37D64100" w:rsidR="00932D4F" w:rsidRDefault="0038193C" w:rsidP="00932D4F">
      <w:pPr>
        <w:pStyle w:val="ListParagraph"/>
        <w:numPr>
          <w:ilvl w:val="0"/>
          <w:numId w:val="3"/>
        </w:numPr>
      </w:pPr>
      <w:r>
        <w:t>Mortar and pestle</w:t>
      </w:r>
    </w:p>
    <w:p w14:paraId="115B5119" w14:textId="2BFBEA56" w:rsidR="00932D4F" w:rsidRDefault="00932D4F" w:rsidP="00932D4F">
      <w:pPr>
        <w:pStyle w:val="Heading1"/>
      </w:pPr>
      <w:r>
        <w:t>Cleaning procedure</w:t>
      </w:r>
    </w:p>
    <w:p w14:paraId="5C050857" w14:textId="039E27D9" w:rsidR="00932D4F" w:rsidRDefault="00932D4F" w:rsidP="00932D4F">
      <w:pPr>
        <w:rPr>
          <w:lang w:val="en-SG"/>
        </w:rPr>
      </w:pPr>
      <w:r>
        <w:rPr>
          <w:lang w:val="en-SG"/>
        </w:rPr>
        <w:t xml:space="preserve">To ensure </w:t>
      </w:r>
      <w:r w:rsidR="00AE3AD4">
        <w:rPr>
          <w:lang w:val="en-SG"/>
        </w:rPr>
        <w:t>sample purity, you must take the following precautions:</w:t>
      </w:r>
    </w:p>
    <w:p w14:paraId="6420FB9E" w14:textId="12F4C1D1" w:rsidR="00AE3AD4" w:rsidRDefault="002D6C3C" w:rsidP="002D6C3C">
      <w:pPr>
        <w:pStyle w:val="ListParagraph"/>
        <w:numPr>
          <w:ilvl w:val="0"/>
          <w:numId w:val="5"/>
        </w:numPr>
        <w:rPr>
          <w:lang w:val="en-SG"/>
        </w:rPr>
      </w:pPr>
      <w:r>
        <w:rPr>
          <w:lang w:val="en-SG"/>
        </w:rPr>
        <w:t xml:space="preserve">Always wear gloves, mask, hair clip, lab coats, and closed-toe shoes. Do not eat and drink </w:t>
      </w:r>
      <w:r w:rsidR="00A563D6">
        <w:rPr>
          <w:lang w:val="en-SG"/>
        </w:rPr>
        <w:t>during synthesis</w:t>
      </w:r>
      <w:r w:rsidR="008E2CF6">
        <w:rPr>
          <w:lang w:val="en-SG"/>
        </w:rPr>
        <w:t xml:space="preserve"> at any excuse!</w:t>
      </w:r>
    </w:p>
    <w:p w14:paraId="0FD36607" w14:textId="0DF13489" w:rsidR="004E101B" w:rsidRDefault="00B120CF" w:rsidP="004E101B">
      <w:pPr>
        <w:pStyle w:val="ListParagraph"/>
        <w:numPr>
          <w:ilvl w:val="0"/>
          <w:numId w:val="5"/>
        </w:numPr>
        <w:rPr>
          <w:lang w:val="en-SG"/>
        </w:rPr>
      </w:pPr>
      <w:r>
        <w:rPr>
          <w:lang w:val="en-SG"/>
        </w:rPr>
        <w:t>Before starting the synthesis:</w:t>
      </w:r>
    </w:p>
    <w:p w14:paraId="372EFFDE" w14:textId="7FE2077F" w:rsidR="004E101B" w:rsidRPr="004E101B" w:rsidRDefault="004E101B" w:rsidP="004E101B">
      <w:pPr>
        <w:pStyle w:val="ListParagraph"/>
        <w:numPr>
          <w:ilvl w:val="1"/>
          <w:numId w:val="5"/>
        </w:numPr>
        <w:rPr>
          <w:lang w:val="en-SG"/>
        </w:rPr>
      </w:pPr>
      <w:r>
        <w:rPr>
          <w:lang w:val="en-SG"/>
        </w:rPr>
        <w:t>Clean your hands and face. Tie up your hair if applicable. Wear the appropriate clothing.</w:t>
      </w:r>
    </w:p>
    <w:p w14:paraId="6620CD9F" w14:textId="1F9770E9" w:rsidR="00B120CF" w:rsidRDefault="00B120CF" w:rsidP="00B120CF">
      <w:pPr>
        <w:pStyle w:val="ListParagraph"/>
        <w:numPr>
          <w:ilvl w:val="1"/>
          <w:numId w:val="5"/>
        </w:numPr>
        <w:rPr>
          <w:lang w:val="en-SG"/>
        </w:rPr>
      </w:pPr>
      <w:r>
        <w:rPr>
          <w:lang w:val="en-SG"/>
        </w:rPr>
        <w:t>Clean the spatula, mortar-pestle, beakers, and glass powder tube with</w:t>
      </w:r>
      <w:r w:rsidR="009C7A1F">
        <w:rPr>
          <w:lang w:val="en-SG"/>
        </w:rPr>
        <w:t xml:space="preserve"> 96% ethanol. Then, put the apparatus in</w:t>
      </w:r>
      <w:r>
        <w:rPr>
          <w:lang w:val="en-SG"/>
        </w:rPr>
        <w:t xml:space="preserve"> the ultrasonic bath</w:t>
      </w:r>
      <w:r w:rsidR="00DB6BED">
        <w:rPr>
          <w:lang w:val="en-SG"/>
        </w:rPr>
        <w:t xml:space="preserve"> for 15 minutes</w:t>
      </w:r>
      <w:r>
        <w:rPr>
          <w:lang w:val="en-SG"/>
        </w:rPr>
        <w:t>.</w:t>
      </w:r>
      <w:r w:rsidR="00DB6BED">
        <w:rPr>
          <w:lang w:val="en-SG"/>
        </w:rPr>
        <w:t xml:space="preserve"> For the bath, use water from the filtration system available. Use facial tissues </w:t>
      </w:r>
      <w:r w:rsidR="009C7A1F">
        <w:rPr>
          <w:lang w:val="en-SG"/>
        </w:rPr>
        <w:t xml:space="preserve">exclusively to dry the bathed apparatus. </w:t>
      </w:r>
      <w:r w:rsidR="000B17B4">
        <w:rPr>
          <w:lang w:val="en-SG"/>
        </w:rPr>
        <w:t>Clean and wipe them with 96% ethanol again afterwards. To keep things neat, use a basket layered with facial tissues. Change the facial tissues every once it is used.</w:t>
      </w:r>
    </w:p>
    <w:p w14:paraId="0EE2398A" w14:textId="2D0FB695" w:rsidR="001F5D2E" w:rsidRDefault="001F5D2E" w:rsidP="001F5D2E">
      <w:pPr>
        <w:pStyle w:val="ListParagraph"/>
        <w:numPr>
          <w:ilvl w:val="0"/>
          <w:numId w:val="5"/>
        </w:numPr>
        <w:rPr>
          <w:lang w:val="en-SG"/>
        </w:rPr>
      </w:pPr>
      <w:r>
        <w:rPr>
          <w:lang w:val="en-SG"/>
        </w:rPr>
        <w:t>During synthesis:</w:t>
      </w:r>
    </w:p>
    <w:p w14:paraId="74163DDE" w14:textId="60A4B674" w:rsidR="001F5D2E" w:rsidRDefault="00EA6198" w:rsidP="001F5D2E">
      <w:pPr>
        <w:pStyle w:val="ListParagraph"/>
        <w:numPr>
          <w:ilvl w:val="1"/>
          <w:numId w:val="5"/>
        </w:numPr>
        <w:rPr>
          <w:lang w:val="en-SG"/>
        </w:rPr>
      </w:pPr>
      <w:r>
        <w:rPr>
          <w:lang w:val="en-SG"/>
        </w:rPr>
        <w:t>Do not use the same spatula to obtain two different precursors. If your hands are sweaty, change the gloves often</w:t>
      </w:r>
      <w:r w:rsidR="00C75E92">
        <w:rPr>
          <w:lang w:val="en-SG"/>
        </w:rPr>
        <w:t>.</w:t>
      </w:r>
    </w:p>
    <w:p w14:paraId="1E29C7C7" w14:textId="2A5B7A0B" w:rsidR="005209A2" w:rsidRDefault="005209A2" w:rsidP="005209A2">
      <w:pPr>
        <w:pStyle w:val="ListParagraph"/>
        <w:numPr>
          <w:ilvl w:val="0"/>
          <w:numId w:val="5"/>
        </w:numPr>
        <w:rPr>
          <w:lang w:val="en-SG"/>
        </w:rPr>
      </w:pPr>
      <w:r>
        <w:rPr>
          <w:lang w:val="en-SG"/>
        </w:rPr>
        <w:t>After finishing the synthesis:</w:t>
      </w:r>
    </w:p>
    <w:p w14:paraId="6774CD4F" w14:textId="77EB847C" w:rsidR="005209A2" w:rsidRDefault="005209A2" w:rsidP="005209A2">
      <w:pPr>
        <w:pStyle w:val="ListParagraph"/>
        <w:numPr>
          <w:ilvl w:val="1"/>
          <w:numId w:val="5"/>
        </w:numPr>
        <w:rPr>
          <w:lang w:val="en-SG"/>
        </w:rPr>
      </w:pPr>
      <w:r>
        <w:rPr>
          <w:lang w:val="en-SG"/>
        </w:rPr>
        <w:t>Clean and wipe the apparatus with ethanol. Wrap them with facial tissues and store them inside a designated cabinet.</w:t>
      </w:r>
    </w:p>
    <w:p w14:paraId="1DD4D42F" w14:textId="7475ABEF" w:rsidR="004B409C" w:rsidRPr="002D6C3C" w:rsidRDefault="004B409C" w:rsidP="005209A2">
      <w:pPr>
        <w:pStyle w:val="ListParagraph"/>
        <w:numPr>
          <w:ilvl w:val="1"/>
          <w:numId w:val="5"/>
        </w:numPr>
        <w:rPr>
          <w:lang w:val="en-SG"/>
        </w:rPr>
      </w:pPr>
      <w:r>
        <w:rPr>
          <w:lang w:val="en-SG"/>
        </w:rPr>
        <w:t>Throw away</w:t>
      </w:r>
      <w:r w:rsidR="00F00365">
        <w:rPr>
          <w:lang w:val="en-SG"/>
        </w:rPr>
        <w:t xml:space="preserve"> your gloves and masks. Do not reuse them on the next day.</w:t>
      </w:r>
    </w:p>
    <w:p w14:paraId="563C444A" w14:textId="4D6FFE6B" w:rsidR="00583D7B" w:rsidRDefault="00583D7B" w:rsidP="00932D4F">
      <w:pPr>
        <w:rPr>
          <w:b/>
          <w:bCs/>
          <w:lang w:val="en-SG"/>
        </w:rPr>
      </w:pPr>
      <w:r>
        <w:rPr>
          <w:b/>
          <w:bCs/>
          <w:lang w:val="en-SG"/>
        </w:rPr>
        <w:t>Experimental</w:t>
      </w:r>
    </w:p>
    <w:p w14:paraId="42B7A50F" w14:textId="57624618" w:rsidR="0071559F" w:rsidRDefault="0038193C" w:rsidP="00932D4F">
      <w:pPr>
        <w:rPr>
          <w:lang w:val="en-SG"/>
        </w:rPr>
      </w:pPr>
      <w:r>
        <w:rPr>
          <w:lang w:val="en-SG"/>
        </w:rPr>
        <w:t>We will use the mechanochemical synthesis procedure similar to previous works</w:t>
      </w:r>
      <w:r w:rsidR="00B8466A">
        <w:rPr>
          <w:lang w:val="en-SG"/>
        </w:rPr>
        <w:fldChar w:fldCharType="begin"/>
      </w:r>
      <w:r w:rsidR="00B8466A">
        <w:rPr>
          <w:lang w:val="en-SG"/>
        </w:rPr>
        <w:instrText xml:space="preserve"> ADDIN ZOTERO_ITEM CSL_CITATION {"citationID":"1OKU47Gg","properties":{"formattedCitation":"\\super 1\\nosupersub{}","plainCitation":"1","noteIndex":0},"citationItems":[{"id":736,"uris":["http://zotero.org/groups/4987397/items/TP7HAVUU"],"itemData":{"id":736,"type":"article-journal","abstract":"Cesium copper halides (CCHs) show promise for optoelectronic applications, and their syntheses usually involve high-temperatures and hazard solvents. Herein, the synthesis of highly luminescent and phase-pure Cs3Cu2X5 (X = Cl, Br, and I) and CsCu2I3 via a solvent-free mechanochemical approach through manual grinding is demonstrated. This cost-effective approach can produce CCHs on a scale of tens to hundreds of grams. Rietveld refinement analysis of the X-ray diffraction patterns of the as-synthesized CCHs reveals their structural details. Notably, the emission characteristics of green-emitting, chloride-based CCHs remain stable even at elevated temperatures—maintaining 80% of initial PL efficiency at 150 °C. Lastly, a postsynthetic reversible transformation between zero- and one-dimensional CCH materials is demonstrated, indicating the labile nature of their crystal structure. The proposed study suggests that mechanochemistry can be an alternative and promising synthetic tool for fabricating high-quality lead-free metal halides.","container-title":"J. Phys. Chem. Lett.","DOI":"10.1021/acs.jpclett.0c02384","issue":"18","journalAbbreviation":"J. Phys. Chem. Lett.","page":"7723-7729","source":"ACS Publications","title":"Mechanochemistry as a Green Route: Synthesis, Thermal Stability, and Postsynthetic Reversible Phase Transformation of Highly-Luminescent Cesium Copper Halides","title-short":"Mechanochemistry as a Green Route","volume":"11","author":[{"family":"Grandhi","given":"G. Krishnamurthy"},{"family":"Viswanath","given":"N. S. M."},{"family":"Cho","given":"Han Bin"},{"family":"Han","given":"Joo Hyeong"},{"family":"Kim","given":"Seong Min"},{"family":"Choi","given":"Sungho"},{"family":"Im","given":"Won Bin"}],"issued":{"date-parts":[["2020",9,17]]}}}],"schema":"https://github.com/citation-style-language/schema/raw/master/csl-citation.json"} </w:instrText>
      </w:r>
      <w:r w:rsidR="00B8466A">
        <w:rPr>
          <w:lang w:val="en-SG"/>
        </w:rPr>
        <w:fldChar w:fldCharType="separate"/>
      </w:r>
      <w:r w:rsidR="00EE6E75" w:rsidRPr="00EE6E75">
        <w:rPr>
          <w:rFonts w:ascii="Palatino Linotype" w:hAnsi="Palatino Linotype" w:cs="Times New Roman"/>
          <w:kern w:val="0"/>
          <w:szCs w:val="24"/>
          <w:vertAlign w:val="superscript"/>
        </w:rPr>
        <w:t>1</w:t>
      </w:r>
      <w:r w:rsidR="00B8466A">
        <w:rPr>
          <w:lang w:val="en-SG"/>
        </w:rPr>
        <w:fldChar w:fldCharType="end"/>
      </w:r>
      <w:r w:rsidR="009821BB">
        <w:rPr>
          <w:lang w:val="en-SG"/>
        </w:rPr>
        <w:t xml:space="preserve">, as illustrated in Figure </w:t>
      </w:r>
      <w:r w:rsidR="00A65CE9">
        <w:rPr>
          <w:lang w:val="en-SG"/>
        </w:rPr>
        <w:t>1a.</w:t>
      </w:r>
    </w:p>
    <w:p w14:paraId="4B26A279" w14:textId="77777777" w:rsidR="00A65CE9" w:rsidRDefault="00A65CE9" w:rsidP="00A65CE9">
      <w:pPr>
        <w:keepNext/>
      </w:pPr>
      <w:r>
        <w:rPr>
          <w:noProof/>
          <w:lang w:val="en-SG"/>
        </w:rPr>
        <w:lastRenderedPageBreak/>
        <w:drawing>
          <wp:inline distT="0" distB="0" distL="0" distR="0" wp14:anchorId="350D26D6" wp14:editId="75B58DB9">
            <wp:extent cx="5727700" cy="2889885"/>
            <wp:effectExtent l="0" t="0" r="6350" b="5715"/>
            <wp:docPr id="1881757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2216" w14:textId="1C4E33BA" w:rsidR="00A65CE9" w:rsidRDefault="00A65CE9" w:rsidP="00A65CE9">
      <w:pPr>
        <w:pStyle w:val="Caption"/>
        <w:rPr>
          <w:lang w:val="en-SG"/>
        </w:rPr>
      </w:pPr>
      <w:r w:rsidRPr="00A65CE9">
        <w:rPr>
          <w:b/>
          <w:bCs/>
        </w:rPr>
        <w:t xml:space="preserve">Figure </w:t>
      </w:r>
      <w:r w:rsidRPr="00A65CE9">
        <w:rPr>
          <w:b/>
          <w:bCs/>
        </w:rPr>
        <w:fldChar w:fldCharType="begin"/>
      </w:r>
      <w:r w:rsidRPr="00A65CE9">
        <w:rPr>
          <w:b/>
          <w:bCs/>
        </w:rPr>
        <w:instrText xml:space="preserve"> SEQ Figure \* ARABIC </w:instrText>
      </w:r>
      <w:r w:rsidRPr="00A65CE9">
        <w:rPr>
          <w:b/>
          <w:bCs/>
        </w:rPr>
        <w:fldChar w:fldCharType="separate"/>
      </w:r>
      <w:r w:rsidR="00EE6E75">
        <w:rPr>
          <w:b/>
          <w:bCs/>
          <w:noProof/>
        </w:rPr>
        <w:t>1</w:t>
      </w:r>
      <w:r w:rsidRPr="00A65CE9">
        <w:rPr>
          <w:b/>
          <w:bCs/>
        </w:rPr>
        <w:fldChar w:fldCharType="end"/>
      </w:r>
      <w:r>
        <w:t xml:space="preserve"> </w:t>
      </w:r>
      <w:r w:rsidRPr="000963CA">
        <w:t xml:space="preserve">(a) Mechanochemical synthesis steps of caesium copper iodide perovskite; photographs of precursor mixture under (b) daylight and (c) 254 nm UV light; photographs of the </w:t>
      </w:r>
      <w:proofErr w:type="spellStart"/>
      <w:r w:rsidRPr="000963CA">
        <w:t>mechanosynthesised</w:t>
      </w:r>
      <w:proofErr w:type="spellEnd"/>
      <w:r w:rsidRPr="000963CA">
        <w:t xml:space="preserve"> perovskite under (d) daylight and (e) 254 nm UV light.</w:t>
      </w:r>
    </w:p>
    <w:p w14:paraId="5BDC40EC" w14:textId="7B8E64C4" w:rsidR="0038193C" w:rsidRPr="000E6E7C" w:rsidRDefault="0071559F" w:rsidP="00932D4F">
      <w:pPr>
        <w:rPr>
          <w:b/>
          <w:bCs/>
          <w:i/>
          <w:iCs/>
          <w:lang w:val="en-SG"/>
        </w:rPr>
      </w:pPr>
      <w:r w:rsidRPr="0071559F">
        <w:rPr>
          <w:b/>
          <w:bCs/>
          <w:i/>
          <w:iCs/>
          <w:lang w:val="en-SG"/>
        </w:rPr>
        <w:t>CsCu</w:t>
      </w:r>
      <w:r w:rsidRPr="0071559F">
        <w:rPr>
          <w:b/>
          <w:bCs/>
          <w:i/>
          <w:iCs/>
          <w:vertAlign w:val="subscript"/>
          <w:lang w:val="en-SG"/>
        </w:rPr>
        <w:t>2</w:t>
      </w:r>
      <w:r w:rsidRPr="0071559F">
        <w:rPr>
          <w:b/>
          <w:bCs/>
          <w:i/>
          <w:iCs/>
          <w:lang w:val="en-SG"/>
        </w:rPr>
        <w:t>X</w:t>
      </w:r>
      <w:r w:rsidRPr="0071559F">
        <w:rPr>
          <w:b/>
          <w:bCs/>
          <w:i/>
          <w:iCs/>
          <w:vertAlign w:val="subscript"/>
          <w:lang w:val="en-SG"/>
        </w:rPr>
        <w:t>3</w:t>
      </w:r>
      <w:r w:rsidR="000E6E7C">
        <w:rPr>
          <w:b/>
          <w:bCs/>
          <w:i/>
          <w:iCs/>
          <w:lang w:val="en-SG"/>
        </w:rPr>
        <w:t xml:space="preserve">. </w:t>
      </w:r>
      <w:r w:rsidR="00F819B6">
        <w:rPr>
          <w:lang w:val="en-SG"/>
        </w:rPr>
        <w:t>The initial and final product will have a white colour but should be yellow</w:t>
      </w:r>
      <w:r w:rsidR="007E6BC7">
        <w:rPr>
          <w:lang w:val="en-SG"/>
        </w:rPr>
        <w:t xml:space="preserve"> under 254 nm light</w:t>
      </w:r>
      <w:r w:rsidR="00F819B6">
        <w:rPr>
          <w:lang w:val="en-SG"/>
        </w:rPr>
        <w:t xml:space="preserve"> (or near that wavelength)</w:t>
      </w:r>
      <w:r w:rsidR="007A6678">
        <w:rPr>
          <w:lang w:val="en-SG"/>
        </w:rPr>
        <w:t>.</w:t>
      </w:r>
      <w:r w:rsidR="000E6E7C">
        <w:rPr>
          <w:lang w:val="en-SG"/>
        </w:rPr>
        <w:t xml:space="preserve"> </w:t>
      </w:r>
    </w:p>
    <w:p w14:paraId="17D20723" w14:textId="545013AC" w:rsidR="00015BFD" w:rsidRDefault="00015BFD" w:rsidP="00932D4F">
      <w:pPr>
        <w:rPr>
          <w:b/>
          <w:bCs/>
          <w:lang w:val="en-SG"/>
        </w:rPr>
      </w:pPr>
    </w:p>
    <w:p w14:paraId="1ACA1480" w14:textId="2538F4E5" w:rsidR="003241B7" w:rsidRDefault="003241B7" w:rsidP="00932D4F">
      <w:pPr>
        <w:rPr>
          <w:b/>
          <w:bCs/>
          <w:lang w:val="en-SG"/>
        </w:rPr>
      </w:pPr>
      <w:r>
        <w:rPr>
          <w:b/>
          <w:bCs/>
          <w:lang w:val="en-SG"/>
        </w:rPr>
        <w:t>Refer</w:t>
      </w:r>
      <w:r w:rsidR="000E0206">
        <w:rPr>
          <w:b/>
          <w:bCs/>
          <w:lang w:val="en-SG"/>
        </w:rPr>
        <w:t>ences</w:t>
      </w:r>
    </w:p>
    <w:p w14:paraId="51C0F082" w14:textId="77777777" w:rsidR="00EE6E75" w:rsidRPr="00EE6E75" w:rsidRDefault="0038193C" w:rsidP="00EE6E75">
      <w:pPr>
        <w:pStyle w:val="Bibliography"/>
        <w:rPr>
          <w:rFonts w:ascii="Palatino Linotype" w:hAnsi="Palatino Linotype"/>
        </w:rPr>
      </w:pPr>
      <w:r>
        <w:rPr>
          <w:b/>
          <w:bCs/>
          <w:lang w:val="en-SG"/>
        </w:rPr>
        <w:fldChar w:fldCharType="begin"/>
      </w:r>
      <w:r w:rsidR="00EE6E75">
        <w:rPr>
          <w:b/>
          <w:bCs/>
          <w:lang w:val="en-SG"/>
        </w:rPr>
        <w:instrText xml:space="preserve"> ADDIN ZOTERO_BIBL {"uncited":[],"omitted":[],"custom":[]} CSL_BIBLIOGRAPHY </w:instrText>
      </w:r>
      <w:r>
        <w:rPr>
          <w:b/>
          <w:bCs/>
          <w:lang w:val="en-SG"/>
        </w:rPr>
        <w:fldChar w:fldCharType="separate"/>
      </w:r>
      <w:r w:rsidR="00EE6E75" w:rsidRPr="00EE6E75">
        <w:rPr>
          <w:rFonts w:ascii="Palatino Linotype" w:hAnsi="Palatino Linotype"/>
        </w:rPr>
        <w:t>(1)</w:t>
      </w:r>
      <w:r w:rsidR="00EE6E75" w:rsidRPr="00EE6E75">
        <w:rPr>
          <w:rFonts w:ascii="Palatino Linotype" w:hAnsi="Palatino Linotype"/>
        </w:rPr>
        <w:tab/>
        <w:t xml:space="preserve">Grandhi, G. K.; Viswanath, N. S. M.; Cho, H. B.; Han, J. H.; Kim, S. M.; Choi, S.; </w:t>
      </w:r>
      <w:proofErr w:type="spellStart"/>
      <w:r w:rsidR="00EE6E75" w:rsidRPr="00EE6E75">
        <w:rPr>
          <w:rFonts w:ascii="Palatino Linotype" w:hAnsi="Palatino Linotype"/>
        </w:rPr>
        <w:t>Im</w:t>
      </w:r>
      <w:proofErr w:type="spellEnd"/>
      <w:r w:rsidR="00EE6E75" w:rsidRPr="00EE6E75">
        <w:rPr>
          <w:rFonts w:ascii="Palatino Linotype" w:hAnsi="Palatino Linotype"/>
        </w:rPr>
        <w:t xml:space="preserve">, W. B. Mechanochemistry as a Green Route: Synthesis, Thermal Stability, and </w:t>
      </w:r>
      <w:proofErr w:type="spellStart"/>
      <w:r w:rsidR="00EE6E75" w:rsidRPr="00EE6E75">
        <w:rPr>
          <w:rFonts w:ascii="Palatino Linotype" w:hAnsi="Palatino Linotype"/>
        </w:rPr>
        <w:t>Postsynthetic</w:t>
      </w:r>
      <w:proofErr w:type="spellEnd"/>
      <w:r w:rsidR="00EE6E75" w:rsidRPr="00EE6E75">
        <w:rPr>
          <w:rFonts w:ascii="Palatino Linotype" w:hAnsi="Palatino Linotype"/>
        </w:rPr>
        <w:t xml:space="preserve"> Reversible Phase Transformation of Highly-Luminescent </w:t>
      </w:r>
      <w:proofErr w:type="spellStart"/>
      <w:r w:rsidR="00EE6E75" w:rsidRPr="00EE6E75">
        <w:rPr>
          <w:rFonts w:ascii="Palatino Linotype" w:hAnsi="Palatino Linotype"/>
        </w:rPr>
        <w:t>Cesium</w:t>
      </w:r>
      <w:proofErr w:type="spellEnd"/>
      <w:r w:rsidR="00EE6E75" w:rsidRPr="00EE6E75">
        <w:rPr>
          <w:rFonts w:ascii="Palatino Linotype" w:hAnsi="Palatino Linotype"/>
        </w:rPr>
        <w:t xml:space="preserve"> Copper Halides. </w:t>
      </w:r>
      <w:r w:rsidR="00EE6E75" w:rsidRPr="00EE6E75">
        <w:rPr>
          <w:rFonts w:ascii="Palatino Linotype" w:hAnsi="Palatino Linotype"/>
          <w:i/>
          <w:iCs/>
        </w:rPr>
        <w:t>J. Phys. Chem. Lett.</w:t>
      </w:r>
      <w:r w:rsidR="00EE6E75" w:rsidRPr="00EE6E75">
        <w:rPr>
          <w:rFonts w:ascii="Palatino Linotype" w:hAnsi="Palatino Linotype"/>
        </w:rPr>
        <w:t xml:space="preserve"> </w:t>
      </w:r>
      <w:r w:rsidR="00EE6E75" w:rsidRPr="00EE6E75">
        <w:rPr>
          <w:rFonts w:ascii="Palatino Linotype" w:hAnsi="Palatino Linotype"/>
          <w:b/>
          <w:bCs/>
        </w:rPr>
        <w:t>2020</w:t>
      </w:r>
      <w:r w:rsidR="00EE6E75" w:rsidRPr="00EE6E75">
        <w:rPr>
          <w:rFonts w:ascii="Palatino Linotype" w:hAnsi="Palatino Linotype"/>
        </w:rPr>
        <w:t xml:space="preserve">, </w:t>
      </w:r>
      <w:r w:rsidR="00EE6E75" w:rsidRPr="00EE6E75">
        <w:rPr>
          <w:rFonts w:ascii="Palatino Linotype" w:hAnsi="Palatino Linotype"/>
          <w:i/>
          <w:iCs/>
        </w:rPr>
        <w:t>11</w:t>
      </w:r>
      <w:r w:rsidR="00EE6E75" w:rsidRPr="00EE6E75">
        <w:rPr>
          <w:rFonts w:ascii="Palatino Linotype" w:hAnsi="Palatino Linotype"/>
        </w:rPr>
        <w:t xml:space="preserve"> (18), 7723–7729. https://doi.org/10.1021/acs.jpclett.0c02384.</w:t>
      </w:r>
    </w:p>
    <w:p w14:paraId="4A211D99" w14:textId="767FD32B" w:rsidR="000E0206" w:rsidRPr="003241B7" w:rsidRDefault="0038193C" w:rsidP="00932D4F">
      <w:pPr>
        <w:rPr>
          <w:b/>
          <w:bCs/>
          <w:lang w:val="en-SG"/>
        </w:rPr>
      </w:pPr>
      <w:r>
        <w:rPr>
          <w:b/>
          <w:bCs/>
          <w:lang w:val="en-SG"/>
        </w:rPr>
        <w:fldChar w:fldCharType="end"/>
      </w:r>
    </w:p>
    <w:sectPr w:rsidR="000E0206" w:rsidRPr="003241B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9B199" w14:textId="77777777" w:rsidR="00843EA1" w:rsidRDefault="00843EA1" w:rsidP="00F51006">
      <w:pPr>
        <w:spacing w:after="0" w:line="240" w:lineRule="auto"/>
      </w:pPr>
      <w:r>
        <w:separator/>
      </w:r>
    </w:p>
  </w:endnote>
  <w:endnote w:type="continuationSeparator" w:id="0">
    <w:p w14:paraId="1B85576B" w14:textId="77777777" w:rsidR="00843EA1" w:rsidRDefault="00843EA1" w:rsidP="00F51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3A07" w14:textId="463AEFC9" w:rsidR="00F51006" w:rsidRDefault="00F523F6" w:rsidP="00A85B19">
    <w:pPr>
      <w:pStyle w:val="Footer"/>
      <w:pBdr>
        <w:top w:val="single" w:sz="4" w:space="1" w:color="auto"/>
      </w:pBdr>
    </w:pPr>
    <w:r>
      <w:t>17/11/2023</w:t>
    </w:r>
    <w:r w:rsidR="00F51006">
      <w:tab/>
    </w:r>
    <w:r w:rsidR="00F51006">
      <w:tab/>
    </w:r>
    <w:sdt>
      <w:sdtPr>
        <w:id w:val="2002160725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F51006">
              <w:t xml:space="preserve">Page </w:t>
            </w:r>
            <w:r w:rsidR="00F51006">
              <w:rPr>
                <w:b/>
                <w:bCs/>
                <w:sz w:val="24"/>
                <w:szCs w:val="24"/>
              </w:rPr>
              <w:fldChar w:fldCharType="begin"/>
            </w:r>
            <w:r w:rsidR="00F51006">
              <w:rPr>
                <w:b/>
                <w:bCs/>
              </w:rPr>
              <w:instrText xml:space="preserve"> PAGE </w:instrText>
            </w:r>
            <w:r w:rsidR="00F51006">
              <w:rPr>
                <w:b/>
                <w:bCs/>
                <w:sz w:val="24"/>
                <w:szCs w:val="24"/>
              </w:rPr>
              <w:fldChar w:fldCharType="separate"/>
            </w:r>
            <w:r w:rsidR="00F51006">
              <w:rPr>
                <w:b/>
                <w:bCs/>
                <w:noProof/>
              </w:rPr>
              <w:t>2</w:t>
            </w:r>
            <w:r w:rsidR="00F51006">
              <w:rPr>
                <w:b/>
                <w:bCs/>
                <w:sz w:val="24"/>
                <w:szCs w:val="24"/>
              </w:rPr>
              <w:fldChar w:fldCharType="end"/>
            </w:r>
            <w:r w:rsidR="00F51006">
              <w:t xml:space="preserve"> of </w:t>
            </w:r>
            <w:r w:rsidR="00F51006">
              <w:rPr>
                <w:b/>
                <w:bCs/>
                <w:sz w:val="24"/>
                <w:szCs w:val="24"/>
              </w:rPr>
              <w:fldChar w:fldCharType="begin"/>
            </w:r>
            <w:r w:rsidR="00F51006">
              <w:rPr>
                <w:b/>
                <w:bCs/>
              </w:rPr>
              <w:instrText xml:space="preserve"> NUMPAGES  </w:instrText>
            </w:r>
            <w:r w:rsidR="00F51006">
              <w:rPr>
                <w:b/>
                <w:bCs/>
                <w:sz w:val="24"/>
                <w:szCs w:val="24"/>
              </w:rPr>
              <w:fldChar w:fldCharType="separate"/>
            </w:r>
            <w:r w:rsidR="00F51006">
              <w:rPr>
                <w:b/>
                <w:bCs/>
                <w:noProof/>
              </w:rPr>
              <w:t>2</w:t>
            </w:r>
            <w:r w:rsidR="00F51006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4D218" w14:textId="77777777" w:rsidR="00843EA1" w:rsidRDefault="00843EA1" w:rsidP="00F51006">
      <w:pPr>
        <w:spacing w:after="0" w:line="240" w:lineRule="auto"/>
      </w:pPr>
      <w:r>
        <w:separator/>
      </w:r>
    </w:p>
  </w:footnote>
  <w:footnote w:type="continuationSeparator" w:id="0">
    <w:p w14:paraId="504B73E6" w14:textId="77777777" w:rsidR="00843EA1" w:rsidRDefault="00843EA1" w:rsidP="00F51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1FA5"/>
    <w:multiLevelType w:val="hybridMultilevel"/>
    <w:tmpl w:val="E174A6BA"/>
    <w:lvl w:ilvl="0" w:tplc="E7E85574">
      <w:start w:val="1"/>
      <w:numFmt w:val="decimal"/>
      <w:lvlText w:val="%1."/>
      <w:lvlJc w:val="left"/>
      <w:pPr>
        <w:ind w:left="2160" w:hanging="360"/>
      </w:pPr>
    </w:lvl>
    <w:lvl w:ilvl="1" w:tplc="48090019" w:tentative="1">
      <w:start w:val="1"/>
      <w:numFmt w:val="lowerLetter"/>
      <w:lvlText w:val="%2."/>
      <w:lvlJc w:val="left"/>
      <w:pPr>
        <w:ind w:left="2880" w:hanging="360"/>
      </w:pPr>
    </w:lvl>
    <w:lvl w:ilvl="2" w:tplc="4809001B" w:tentative="1">
      <w:start w:val="1"/>
      <w:numFmt w:val="lowerRoman"/>
      <w:lvlText w:val="%3."/>
      <w:lvlJc w:val="right"/>
      <w:pPr>
        <w:ind w:left="3600" w:hanging="180"/>
      </w:pPr>
    </w:lvl>
    <w:lvl w:ilvl="3" w:tplc="4809000F" w:tentative="1">
      <w:start w:val="1"/>
      <w:numFmt w:val="decimal"/>
      <w:lvlText w:val="%4."/>
      <w:lvlJc w:val="left"/>
      <w:pPr>
        <w:ind w:left="4320" w:hanging="360"/>
      </w:pPr>
    </w:lvl>
    <w:lvl w:ilvl="4" w:tplc="48090019" w:tentative="1">
      <w:start w:val="1"/>
      <w:numFmt w:val="lowerLetter"/>
      <w:lvlText w:val="%5."/>
      <w:lvlJc w:val="left"/>
      <w:pPr>
        <w:ind w:left="5040" w:hanging="360"/>
      </w:pPr>
    </w:lvl>
    <w:lvl w:ilvl="5" w:tplc="4809001B" w:tentative="1">
      <w:start w:val="1"/>
      <w:numFmt w:val="lowerRoman"/>
      <w:lvlText w:val="%6."/>
      <w:lvlJc w:val="right"/>
      <w:pPr>
        <w:ind w:left="5760" w:hanging="180"/>
      </w:pPr>
    </w:lvl>
    <w:lvl w:ilvl="6" w:tplc="4809000F" w:tentative="1">
      <w:start w:val="1"/>
      <w:numFmt w:val="decimal"/>
      <w:lvlText w:val="%7."/>
      <w:lvlJc w:val="left"/>
      <w:pPr>
        <w:ind w:left="6480" w:hanging="360"/>
      </w:pPr>
    </w:lvl>
    <w:lvl w:ilvl="7" w:tplc="48090019" w:tentative="1">
      <w:start w:val="1"/>
      <w:numFmt w:val="lowerLetter"/>
      <w:lvlText w:val="%8."/>
      <w:lvlJc w:val="left"/>
      <w:pPr>
        <w:ind w:left="7200" w:hanging="360"/>
      </w:pPr>
    </w:lvl>
    <w:lvl w:ilvl="8" w:tplc="4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DC864A3"/>
    <w:multiLevelType w:val="hybridMultilevel"/>
    <w:tmpl w:val="3FAC05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11B31"/>
    <w:multiLevelType w:val="hybridMultilevel"/>
    <w:tmpl w:val="CF265E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F1EB0"/>
    <w:multiLevelType w:val="hybridMultilevel"/>
    <w:tmpl w:val="DE8E82F4"/>
    <w:lvl w:ilvl="0" w:tplc="62DAB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E4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DA3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96B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EA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928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989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9A5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BE5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29207C"/>
    <w:multiLevelType w:val="hybridMultilevel"/>
    <w:tmpl w:val="DFF67E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91321"/>
    <w:multiLevelType w:val="hybridMultilevel"/>
    <w:tmpl w:val="21B800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100978">
    <w:abstractNumId w:val="0"/>
  </w:num>
  <w:num w:numId="2" w16cid:durableId="1741831923">
    <w:abstractNumId w:val="2"/>
  </w:num>
  <w:num w:numId="3" w16cid:durableId="30225192">
    <w:abstractNumId w:val="5"/>
  </w:num>
  <w:num w:numId="4" w16cid:durableId="670834824">
    <w:abstractNumId w:val="4"/>
  </w:num>
  <w:num w:numId="5" w16cid:durableId="1041704722">
    <w:abstractNumId w:val="1"/>
  </w:num>
  <w:num w:numId="6" w16cid:durableId="308947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38"/>
    <w:rsid w:val="00006FA6"/>
    <w:rsid w:val="00015BFD"/>
    <w:rsid w:val="00042E4A"/>
    <w:rsid w:val="0004593F"/>
    <w:rsid w:val="00057088"/>
    <w:rsid w:val="000A3EDA"/>
    <w:rsid w:val="000A5148"/>
    <w:rsid w:val="000B17B4"/>
    <w:rsid w:val="000C4D71"/>
    <w:rsid w:val="000E0206"/>
    <w:rsid w:val="000E6E7C"/>
    <w:rsid w:val="00111DFD"/>
    <w:rsid w:val="001E1037"/>
    <w:rsid w:val="001F5D2E"/>
    <w:rsid w:val="002D6C3C"/>
    <w:rsid w:val="002E64E0"/>
    <w:rsid w:val="003241B7"/>
    <w:rsid w:val="00333AA9"/>
    <w:rsid w:val="0038193C"/>
    <w:rsid w:val="003A3722"/>
    <w:rsid w:val="003B3984"/>
    <w:rsid w:val="003D20D2"/>
    <w:rsid w:val="003E497D"/>
    <w:rsid w:val="004163EB"/>
    <w:rsid w:val="00426750"/>
    <w:rsid w:val="0046119F"/>
    <w:rsid w:val="00470BAA"/>
    <w:rsid w:val="00474E92"/>
    <w:rsid w:val="00492D4E"/>
    <w:rsid w:val="004B409C"/>
    <w:rsid w:val="004E101B"/>
    <w:rsid w:val="004F4458"/>
    <w:rsid w:val="005209A2"/>
    <w:rsid w:val="00537BC7"/>
    <w:rsid w:val="00575590"/>
    <w:rsid w:val="00583D7B"/>
    <w:rsid w:val="005B656B"/>
    <w:rsid w:val="005D4B7C"/>
    <w:rsid w:val="00611FEA"/>
    <w:rsid w:val="0062005A"/>
    <w:rsid w:val="006A29BB"/>
    <w:rsid w:val="006F20B7"/>
    <w:rsid w:val="006F2E1D"/>
    <w:rsid w:val="006F3BBD"/>
    <w:rsid w:val="0071559F"/>
    <w:rsid w:val="0076128A"/>
    <w:rsid w:val="00795C1F"/>
    <w:rsid w:val="007A6678"/>
    <w:rsid w:val="007B0345"/>
    <w:rsid w:val="007E6BC7"/>
    <w:rsid w:val="008317B7"/>
    <w:rsid w:val="00843EA1"/>
    <w:rsid w:val="00845DB5"/>
    <w:rsid w:val="008E2CF6"/>
    <w:rsid w:val="008E3683"/>
    <w:rsid w:val="008F0607"/>
    <w:rsid w:val="00900DC7"/>
    <w:rsid w:val="00932D4F"/>
    <w:rsid w:val="009610D8"/>
    <w:rsid w:val="009821BB"/>
    <w:rsid w:val="009C7A1F"/>
    <w:rsid w:val="00A135A3"/>
    <w:rsid w:val="00A243A5"/>
    <w:rsid w:val="00A563D6"/>
    <w:rsid w:val="00A6225C"/>
    <w:rsid w:val="00A644F2"/>
    <w:rsid w:val="00A65CE9"/>
    <w:rsid w:val="00A66D80"/>
    <w:rsid w:val="00A85B19"/>
    <w:rsid w:val="00AD6342"/>
    <w:rsid w:val="00AE3AD4"/>
    <w:rsid w:val="00B100DA"/>
    <w:rsid w:val="00B120CF"/>
    <w:rsid w:val="00B8466A"/>
    <w:rsid w:val="00BA62D7"/>
    <w:rsid w:val="00C06FF8"/>
    <w:rsid w:val="00C113B0"/>
    <w:rsid w:val="00C14449"/>
    <w:rsid w:val="00C20496"/>
    <w:rsid w:val="00C205B2"/>
    <w:rsid w:val="00C23C1A"/>
    <w:rsid w:val="00C27040"/>
    <w:rsid w:val="00C31938"/>
    <w:rsid w:val="00C43B1A"/>
    <w:rsid w:val="00C52119"/>
    <w:rsid w:val="00C75E92"/>
    <w:rsid w:val="00CE45B6"/>
    <w:rsid w:val="00CF02E6"/>
    <w:rsid w:val="00D4350A"/>
    <w:rsid w:val="00DB6BED"/>
    <w:rsid w:val="00DC47B6"/>
    <w:rsid w:val="00DE5D21"/>
    <w:rsid w:val="00E47B0C"/>
    <w:rsid w:val="00E9594B"/>
    <w:rsid w:val="00EA6198"/>
    <w:rsid w:val="00EB6DE2"/>
    <w:rsid w:val="00EE6E75"/>
    <w:rsid w:val="00F00365"/>
    <w:rsid w:val="00F51006"/>
    <w:rsid w:val="00F523F6"/>
    <w:rsid w:val="00F819B6"/>
    <w:rsid w:val="00F94D80"/>
    <w:rsid w:val="00FC180C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6207"/>
  <w15:chartTrackingRefBased/>
  <w15:docId w15:val="{097B8542-446E-49F1-AD63-B7E66F0A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FA6"/>
    <w:pPr>
      <w:jc w:val="both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accent1" w:themeShade="BF"/>
      <w:szCs w:val="32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F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FA6"/>
    <w:rPr>
      <w:rFonts w:asciiTheme="majorHAnsi" w:eastAsiaTheme="majorEastAsia" w:hAnsiTheme="majorHAnsi" w:cstheme="majorBidi"/>
      <w:b/>
      <w:color w:val="000000" w:themeColor="accent1" w:themeShade="BF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FA6"/>
    <w:rPr>
      <w:rFonts w:asciiTheme="majorHAnsi" w:eastAsiaTheme="majorEastAsia" w:hAnsiTheme="majorHAnsi" w:cstheme="majorBidi"/>
      <w:b/>
      <w:color w:val="000000" w:themeColor="accent1" w:themeShade="BF"/>
      <w:sz w:val="20"/>
      <w:szCs w:val="2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D4350A"/>
    <w:pPr>
      <w:spacing w:after="200" w:line="240" w:lineRule="auto"/>
    </w:pPr>
    <w:rPr>
      <w:rFonts w:ascii="Calibri" w:hAnsi="Calibri"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06FA6"/>
    <w:pPr>
      <w:spacing w:after="24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28"/>
      <w:szCs w:val="56"/>
      <w:lang w:val="en-SG"/>
    </w:rPr>
  </w:style>
  <w:style w:type="character" w:customStyle="1" w:styleId="TitleChar">
    <w:name w:val="Title Char"/>
    <w:basedOn w:val="DefaultParagraphFont"/>
    <w:link w:val="Title"/>
    <w:uiPriority w:val="10"/>
    <w:rsid w:val="00006FA6"/>
    <w:rPr>
      <w:rFonts w:asciiTheme="majorHAnsi" w:eastAsiaTheme="majorEastAsia" w:hAnsiTheme="majorHAnsi" w:cstheme="majorBidi"/>
      <w:b/>
      <w:bCs/>
      <w:spacing w:val="-10"/>
      <w:kern w:val="28"/>
      <w:sz w:val="28"/>
      <w:szCs w:val="56"/>
    </w:rPr>
  </w:style>
  <w:style w:type="paragraph" w:styleId="ListParagraph">
    <w:name w:val="List Paragraph"/>
    <w:basedOn w:val="Normal"/>
    <w:uiPriority w:val="34"/>
    <w:qFormat/>
    <w:rsid w:val="00006F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1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006"/>
    <w:rPr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51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006"/>
    <w:rPr>
      <w:sz w:val="20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38193C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0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1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E7E6E6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563C1"/>
      </a:hlink>
      <a:folHlink>
        <a:srgbClr val="954F72"/>
      </a:folHlink>
    </a:clrScheme>
    <a:fontScheme name="Custom 2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D5BAC-9690-4D94-BA87-5C56AA961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Haposan</dc:creator>
  <cp:keywords/>
  <dc:description/>
  <cp:lastModifiedBy>Tobias Haposan</cp:lastModifiedBy>
  <cp:revision>116</cp:revision>
  <dcterms:created xsi:type="dcterms:W3CDTF">2023-11-17T04:41:00Z</dcterms:created>
  <dcterms:modified xsi:type="dcterms:W3CDTF">2023-11-17T08:47:00Z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id="0ukEeBzq"/&gt;&lt;style id="http://www.zotero.org/styles/american-chemical-society" hasBibliography="1" bibliographyStyleHasBeenSet="1"/&gt;&lt;prefs&gt;&lt;pref name="fieldType" value="Field"/&gt;&lt;/prefs&gt;&lt;/data&gt;</vt:lpwstr>
  </property>
</Properties>
</file>