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400"/>
        <w:jc w:val="center"/>
      </w:pPr>
      <w:r>
        <w:drawing>
          <wp:inline distT="0" distB="0" distL="0" distR="0">
            <wp:extent cx="1809750" cy="1809750"/>
            <wp:effectExtent t="0" r="0" b="0" l="0"/>
            <wp:docPr id="1" name="as/isotipo.png" descr="as/isotipo.png" title="as/isoti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as/isologo.png" descr="as/isologo.png" title="as/iso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2B2B2B"/>
          <w:spacing w:val="60"/>
          <w:sz w:val="40"/>
          <w:szCs w:val="40"/>
        </w:rPr>
        <w:t xml:space="preserve">MANUAL DE IDENTIDAD VISUAL</w:t>
      </w:r>
    </w:p>
    <w:p>
      <w:pPr>
        <w:spacing w:after="1600"/>
        <w:jc w:val="center"/>
      </w:pPr>
      <w:r>
        <w:rPr>
          <w:color w:val="7A6A2F"/>
          <w:sz w:val="24"/>
          <w:szCs w:val="24"/>
        </w:rPr>
        <w:t xml:space="preserve">Identidad visual · Mockups · Documentación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Alumno: Tobias Juárez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Curso: 7° 3ª — Técnico en Programación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E.E.S. Técnica N°1 — Esteban Echeverría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Profesor: Pablo Facundo Gareis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</w:p>
    <w:p>
      <w:pPr>
        <w:pStyle w:val="Heading1"/>
        <w:pBdr>
          <w:bottom w:val="single" w:color="F2C229" w:sz="18" w:space="4"/>
        </w:pBdr>
        <w:spacing w:after="200"/>
      </w:pPr>
      <w:r>
        <w:t xml:space="preserve">1. Documentación</w:t>
      </w:r>
    </w:p>
    <w:p>
      <w:pPr>
        <w:pStyle w:val="Heading2"/>
        <w:keepNext/>
        <w:spacing w:after="100" w:before="260"/>
      </w:pPr>
      <w:r>
        <w:t xml:space="preserve">1.1 Fundamentación</w:t>
      </w:r>
    </w:p>
    <w:p>
      <w:pPr>
        <w:spacing w:after="140" w:line="300"/>
        <w:jc w:val="both"/>
      </w:pPr>
      <w:r>
        <w:rPr>
          <w:color w:val="333333"/>
          <w:sz w:val="22"/>
          <w:szCs w:val="22"/>
        </w:rPr>
        <w:t xml:space="preserve">Kebracho es una marca ficticia de bebidas con alcohol pensada para un público joven adulto, mayor de 18 años, que asocia la bebida con la juntada, la previa y los momentos compartidos con amigos. Desarrollé su identidad visual con tres ideas en mente: que la marca se reconozca rápido, que se diferencie en una góndola llena de etiquetas y que funcione igual de bien en una lata, en una remera o en la pantalla de un celular.</w:t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El nombre. </w:t>
      </w:r>
      <w:r>
        <w:rPr>
          <w:color w:val="333333"/>
          <w:sz w:val="22"/>
          <w:szCs w:val="22"/>
        </w:rPr>
        <w:t xml:space="preserve">Toma como referencia al quebracho, un árbol autóctono de la Argentina conocido por la dureza de su madera. Me interesaba esa idea de algo propio, fuerte y que aguanta. Cambié la “Qu” por una “K” para darle un tono más urbano e informal, más cercano a la forma de escribir del público al que apunta la marca, y para que la palabra tenga más impacto visual.</w:t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El isotipo. </w:t>
      </w:r>
      <w:r>
        <w:rPr>
          <w:color w:val="333333"/>
          <w:sz w:val="22"/>
          <w:szCs w:val="22"/>
        </w:rPr>
        <w:t xml:space="preserve">Es una carita sonriente amarilla con contorno negro. Es un símbolo que se entiende sin necesidad de texto y transmite lo que quiero que la gente asocie con la marca: buena onda, disfrute y momentos compartidos. Su forma circular y simple permite usarlo solo (ícono de la app, foto de perfil, tapa de botella, estampados chicos) sin que pierda reconocimiento.</w:t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El logotipo. </w:t>
      </w:r>
      <w:r>
        <w:rPr>
          <w:color w:val="333333"/>
          <w:sz w:val="22"/>
          <w:szCs w:val="22"/>
        </w:rPr>
        <w:t xml:space="preserve">Usa una tipografía gruesa, en cursiva y con una sombra desplazada en capas. La inclinación le da sensación de movimiento y energía, y la sombra le suma volumen y una estética retro-urbana, cercana al streetwear y a la gráfica de latas. Al ser una letra de trazo grueso, se sigue leyendo bien en tamaños chicos.</w:t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El color. </w:t>
      </w:r>
      <w:r>
        <w:rPr>
          <w:color w:val="333333"/>
          <w:sz w:val="22"/>
          <w:szCs w:val="22"/>
        </w:rPr>
        <w:t xml:space="preserve">El amarillo (#F2C229) es el color principal: transmite energía, alegría y calidez, y además remite al tono dorado de la bebida. El negro carbón (#2B2B2B) aporta contraste, peso y legibilidad, y lo elegí en lugar del negro puro para que el conjunto se vea más suave. El crema (#FFF8E0) funciona como fondo cálido y evita el blanco frío. Mantuve una paleta corta a propósito para que la marca sea consistente y fácil de reproducir en cualquier soporte.</w:t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Responsabilidad. </w:t>
      </w:r>
      <w:r>
        <w:rPr>
          <w:color w:val="333333"/>
          <w:sz w:val="22"/>
          <w:szCs w:val="22"/>
        </w:rPr>
        <w:t xml:space="preserve">Por tratarse de una marca de bebidas alcohólicas, la identidad respeta la normativa argentina: las piezas de producto incluyen las leyendas “Beber con moderación” y “Prohibida su venta a menores de 18 años” que exige la Ley 24.788, y la comunicación de la marca no está dirigida a menores.</w:t>
      </w:r>
    </w:p>
    <w:p>
      <w:pPr>
        <w:pStyle w:val="Heading2"/>
        <w:keepNext/>
        <w:spacing w:after="100" w:before="260"/>
      </w:pPr>
      <w:r>
        <w:t xml:space="preserve">1.2 Objetivos</w:t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Objetivo general: </w:t>
      </w:r>
      <w:r>
        <w:rPr>
          <w:color w:val="333333"/>
          <w:sz w:val="22"/>
          <w:szCs w:val="22"/>
        </w:rPr>
        <w:t xml:space="preserve">desarrollar una identidad visual completa y coherente para Kebracho, que permita reconocer la marca en cualquier soporte, tanto físico como digital.</w:t>
      </w:r>
    </w:p>
    <w:p>
      <w:pPr>
        <w:spacing w:after="80" w:line="300"/>
        <w:jc w:val="both"/>
      </w:pPr>
      <w:r>
        <w:rPr>
          <w:b/>
          <w:bCs/>
          <w:color w:val="2B2B2B"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Diseñar un isologo compuesto por isotipo y logotipo, que puedan usarse juntos o por separado.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Definir una paleta de colores oficial con sus códigos HEX y RGB para garantizar una reproducción homogénea.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Establecer los distintos tamaños de uso y la reducción mínima para asegurar la legibilidad.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Crear versiones monocromáticas (positiva, negativa y en escala de grises) para impresiones a una tinta o fondos con limitaciones.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Fijar normas de aplicación: área de protección, fondos permitidos y usos incorrectos.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Mostrar la marca aplicada en al menos 10 productos mediante mockups.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Incorporar en las piezas de producto las leyendas legales obligatorias.</w:t>
      </w:r>
    </w:p>
    <w:p>
      <w:pPr>
        <w:pStyle w:val="Heading2"/>
        <w:keepNext/>
        <w:spacing w:after="100" w:before="260"/>
      </w:pPr>
      <w:r>
        <w:t xml:space="preserve">1.3 Alcance</w:t>
      </w:r>
    </w:p>
    <w:p>
      <w:pPr>
        <w:spacing w:after="80" w:line="300"/>
        <w:jc w:val="both"/>
      </w:pPr>
      <w:r>
        <w:rPr>
          <w:color w:val="333333"/>
          <w:sz w:val="22"/>
          <w:szCs w:val="22"/>
        </w:rPr>
        <w:t xml:space="preserve">Este trabajo comprende: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B2B2B"/>
          <w:sz w:val="22"/>
          <w:szCs w:val="22"/>
        </w:rPr>
        <w:t xml:space="preserve">Identificador: </w:t>
      </w:r>
      <w:r>
        <w:rPr>
          <w:color w:val="333333"/>
          <w:sz w:val="22"/>
          <w:szCs w:val="22"/>
        </w:rPr>
        <w:t xml:space="preserve">isologo, isotipo y logotipo.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B2B2B"/>
          <w:sz w:val="22"/>
          <w:szCs w:val="22"/>
        </w:rPr>
        <w:t xml:space="preserve">Color: </w:t>
      </w:r>
      <w:r>
        <w:rPr>
          <w:color w:val="333333"/>
          <w:sz w:val="22"/>
          <w:szCs w:val="22"/>
        </w:rPr>
        <w:t xml:space="preserve">paleta cromática con colores primarios, secundarios y terciarios.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B2B2B"/>
          <w:sz w:val="22"/>
          <w:szCs w:val="22"/>
        </w:rPr>
        <w:t xml:space="preserve">Tamaños: </w:t>
      </w:r>
      <w:r>
        <w:rPr>
          <w:color w:val="333333"/>
          <w:sz w:val="22"/>
          <w:szCs w:val="22"/>
        </w:rPr>
        <w:t xml:space="preserve">escalas de uso, área de protección y reducción mínima.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B2B2B"/>
          <w:sz w:val="22"/>
          <w:szCs w:val="22"/>
        </w:rPr>
        <w:t xml:space="preserve">Versiones monocromáticas: </w:t>
      </w:r>
      <w:r>
        <w:rPr>
          <w:color w:val="333333"/>
          <w:sz w:val="22"/>
          <w:szCs w:val="22"/>
        </w:rPr>
        <w:t xml:space="preserve">del isologo y del isotipo.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B2B2B"/>
          <w:sz w:val="22"/>
          <w:szCs w:val="22"/>
        </w:rPr>
        <w:t xml:space="preserve">Aplicación del logo: </w:t>
      </w:r>
      <w:r>
        <w:rPr>
          <w:color w:val="333333"/>
          <w:sz w:val="22"/>
          <w:szCs w:val="22"/>
        </w:rPr>
        <w:t xml:space="preserve">uso sobre distintos fondos, íconos de aplicación y usos incorrectos.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B2B2B"/>
          <w:sz w:val="22"/>
          <w:szCs w:val="22"/>
        </w:rPr>
        <w:t xml:space="preserve">Mockups: </w:t>
      </w:r>
      <w:r>
        <w:rPr>
          <w:color w:val="333333"/>
          <w:sz w:val="22"/>
          <w:szCs w:val="22"/>
        </w:rPr>
        <w:t xml:space="preserve">10 productos (lata, botella, buzo, remera, gorra, mate, termo, riñonera, mochila y tote bag).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B2B2B"/>
          <w:sz w:val="22"/>
          <w:szCs w:val="22"/>
        </w:rPr>
        <w:t xml:space="preserve">Medios digitales: </w:t>
      </w:r>
      <w:r>
        <w:rPr>
          <w:color w:val="333333"/>
          <w:sz w:val="22"/>
          <w:szCs w:val="22"/>
        </w:rPr>
        <w:t xml:space="preserve">la identidad se aplica también en la app móvil y en la página web de Kebracho que desarrollé, con catálogo, carrito y verificación de edad.</w:t>
      </w:r>
    </w:p>
    <w:p>
      <w:pPr>
        <w:pStyle w:val="Heading2"/>
        <w:keepNext/>
        <w:spacing w:after="100" w:before="260"/>
      </w:pPr>
      <w:r>
        <w:t xml:space="preserve">1.4 Límites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Kebracho es una marca ficticia con fines académicos: no está registrada ni tiene producción ni venta real.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Los mockups son simulaciones digitales; no representan productos fabricados ni incluyen costos de producción.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No abarca el desarrollo de la bebida (receta, graduación alcohólica, envase real) ni un estudio de mercado.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No incluye plan de medios, campañas publicitarias ni presupuesto.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33333"/>
          <w:sz w:val="22"/>
          <w:szCs w:val="22"/>
        </w:rPr>
        <w:t xml:space="preserve">Por ser una marca de alcohol, su aplicación queda limitada por la Ley 24.788: no puede orientarse a menores de 18 años y toda pieza de producto o publicidad debe llevar las leyendas obligatorias.</w:t>
      </w:r>
    </w:p>
    <w:p>
      <w:pPr>
        <w:pStyle w:val="Heading1"/>
        <w:pageBreakBefore/>
        <w:pBdr>
          <w:bottom w:val="single" w:color="F2C229" w:sz="18" w:space="4"/>
        </w:pBdr>
        <w:spacing w:after="200"/>
      </w:pPr>
      <w:r>
        <w:t xml:space="preserve">2. Identidad Visual</w:t>
      </w:r>
    </w:p>
    <w:p>
      <w:pPr>
        <w:pStyle w:val="Heading2"/>
        <w:keepNext/>
        <w:spacing w:after="100" w:before="260"/>
      </w:pPr>
      <w:r>
        <w:t xml:space="preserve">2.1 Paleta de colores</w:t>
      </w:r>
    </w:p>
    <w:p>
      <w:pPr>
        <w:spacing w:after="140" w:line="300"/>
        <w:jc w:val="both"/>
      </w:pPr>
      <w:r>
        <w:rPr>
          <w:color w:val="333333"/>
          <w:sz w:val="22"/>
          <w:szCs w:val="22"/>
        </w:rPr>
        <w:t xml:space="preserve">Estructura armónica de los tonos que componen la identidad visual de Kebracho: el color principal (amarillo), el de contraste (negro carbón) y los tonos cálidos que acompañan la marca.</w:t>
      </w:r>
    </w:p>
    <w:p>
      <w:pPr>
        <w:spacing w:after="16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as/circulo.png" descr="as/circulo.png" title="as/circ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00"/>
        <w:jc w:val="both"/>
      </w:pPr>
      <w:r>
        <w:rPr>
          <w:b/>
          <w:bCs/>
          <w:color w:val="2B2B2B"/>
          <w:sz w:val="22"/>
          <w:szCs w:val="22"/>
        </w:rPr>
        <w:t xml:space="preserve">Colores primarios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rHeight w:val="850" w:hRule="atLeast"/>
        </w:trPr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C22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B2B2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Amarillo Kebracho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#F2C229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242, 194, 41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Negro carbón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#2B2B2B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43, 43, 43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Crema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#FFF8E0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255, 248, 224</w:t>
            </w:r>
          </w:p>
        </w:tc>
      </w:tr>
    </w:tbl>
    <w:p>
      <w:pPr>
        <w:spacing w:after="120"/>
      </w:pPr>
    </w:p>
    <w:p>
      <w:pPr>
        <w:spacing w:after="80" w:line="300"/>
        <w:jc w:val="both"/>
      </w:pPr>
      <w:r>
        <w:rPr>
          <w:b/>
          <w:bCs/>
          <w:color w:val="2B2B2B"/>
          <w:sz w:val="22"/>
          <w:szCs w:val="22"/>
        </w:rPr>
        <w:t xml:space="preserve">Colores secundarios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rHeight w:val="850" w:hRule="atLeast"/>
        </w:trPr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D85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A6A2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Amarillo claro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#FBD85A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251, 216, 90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Oliva oscuro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#7A6A2F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122, 106, 47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Blanco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#FFFFFF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255, 255, 255</w:t>
            </w:r>
          </w:p>
        </w:tc>
      </w:tr>
    </w:tbl>
    <w:p>
      <w:pPr>
        <w:spacing w:after="120"/>
      </w:pPr>
    </w:p>
    <w:p>
      <w:pPr>
        <w:spacing w:after="80" w:line="300"/>
        <w:jc w:val="both"/>
      </w:pPr>
      <w:r>
        <w:rPr>
          <w:b/>
          <w:bCs/>
          <w:color w:val="2B2B2B"/>
          <w:sz w:val="22"/>
          <w:szCs w:val="22"/>
        </w:rPr>
        <w:t xml:space="preserve">Colores terciarios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rHeight w:val="850" w:hRule="atLeast"/>
        </w:trPr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9AE12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D76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B27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Mostaza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#D9AE12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217, 174, 18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Amarillo pastel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#F7D766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247, 215, 102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Arena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HEX #C9B27A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RGB 201, 178, 122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60"/>
      </w:pPr>
      <w:r>
        <w:t xml:space="preserve">2.2 Isologo — versión completa</w:t>
      </w:r>
    </w:p>
    <w:p>
      <w:pPr>
        <w:spacing w:after="140" w:line="300"/>
        <w:jc w:val="both"/>
      </w:pPr>
      <w:r>
        <w:rPr>
          <w:color w:val="333333"/>
          <w:sz w:val="22"/>
          <w:szCs w:val="22"/>
        </w:rPr>
        <w:t xml:space="preserve">Combinación del isotipo y el logotipo. Es la representación oficial de la marca y la de aplicación prioritaria.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0" w:color="auto" w:val="clear"/>
            <w:tcMar>
              <w:top w:type="dxa" w:w="500"/>
              <w:left w:type="dxa" w:w="100"/>
              <w:bottom w:type="dxa" w:w="5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0" cy="895350"/>
                  <wp:effectExtent t="0" r="0" b="0" l="0"/>
                  <wp:docPr id="1" name="as/isologo.png" descr="as/isologo.png" title="as/is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  <w:spacing w:after="100" w:before="260"/>
      </w:pPr>
      <w:r>
        <w:t xml:space="preserve">2.3 Elementos del identificador</w:t>
      </w:r>
    </w:p>
    <w:p>
      <w:pPr>
        <w:spacing w:after="140" w:line="300"/>
        <w:jc w:val="both"/>
      </w:pPr>
      <w:r>
        <w:rPr>
          <w:color w:val="333333"/>
          <w:sz w:val="22"/>
          <w:szCs w:val="22"/>
        </w:rPr>
        <w:t xml:space="preserve">El isologo se compone de dos elementos que pueden usarse por separado cuando el espacio o el soporte lo requieren.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0" w:color="auto" w:val="clear"/>
            <w:tcMar>
              <w:top w:type="dxa" w:w="300"/>
              <w:left w:type="dxa" w:w="100"/>
              <w:bottom w:type="dxa" w:w="30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as/isotipo.png" descr="as/isotipo.png" title="as/isotip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Isotipo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0" w:color="auto" w:val="clear"/>
            <w:tcMar>
              <w:top w:type="dxa" w:w="300"/>
              <w:left w:type="dxa" w:w="100"/>
              <w:bottom w:type="dxa" w:w="30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429000" cy="771525"/>
                  <wp:effectExtent t="0" r="0" b="0" l="0"/>
                  <wp:docPr id="1" name="as/logotipo.png" descr="as/logotipo.png" title="as/logotip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Logotipo</w:t>
            </w:r>
          </w:p>
        </w:tc>
      </w:tr>
    </w:tbl>
    <w:p>
      <w:pPr>
        <w:pStyle w:val="Heading1"/>
        <w:pageBreakBefore/>
        <w:pBdr>
          <w:bottom w:val="single" w:color="F2C229" w:sz="18" w:space="4"/>
        </w:pBdr>
        <w:spacing w:after="200"/>
      </w:pPr>
      <w:r>
        <w:t xml:space="preserve">2.4 Distintos tamaños del logo</w:t>
      </w:r>
    </w:p>
    <w:p>
      <w:pPr>
        <w:spacing w:after="140" w:line="300"/>
        <w:jc w:val="both"/>
      </w:pPr>
      <w:r>
        <w:rPr>
          <w:color w:val="333333"/>
          <w:sz w:val="22"/>
          <w:szCs w:val="22"/>
        </w:rPr>
        <w:t xml:space="preserve">Escalas de uso recomendadas. La marca se reduce siempre de forma proporcional, sin deformarla.</w:t>
      </w:r>
    </w:p>
    <w:p>
      <w:pPr>
        <w:spacing w:after="60" w:line="300"/>
        <w:jc w:val="both"/>
      </w:pPr>
      <w:r>
        <w:rPr>
          <w:b/>
          <w:bCs/>
          <w:color w:val="2B2B2B"/>
          <w:sz w:val="22"/>
          <w:szCs w:val="22"/>
        </w:rPr>
        <w:t xml:space="preserve">Isologo</w:t>
      </w:r>
    </w:p>
    <w:p>
      <w:pPr>
        <w:spacing w:after="1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as/escala_isologo.png" descr="as/escala_isologo.png" title="as/escala_iso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jc w:val="both"/>
      </w:pPr>
      <w:r>
        <w:rPr>
          <w:b/>
          <w:bCs/>
          <w:color w:val="2B2B2B"/>
          <w:sz w:val="22"/>
          <w:szCs w:val="22"/>
        </w:rPr>
        <w:t xml:space="preserve">Isotipo (ícono de app, favicon y redes)</w:t>
      </w:r>
    </w:p>
    <w:p>
      <w:pPr>
        <w:spacing w:after="160"/>
        <w:jc w:val="center"/>
      </w:pPr>
      <w:r>
        <w:drawing>
          <wp:inline distT="0" distB="0" distL="0" distR="0">
            <wp:extent cx="5715000" cy="1666875"/>
            <wp:effectExtent t="0" r="0" b="0" l="0"/>
            <wp:docPr id="1" name="as/escala_isotipo.png" descr="as/escala_isotipo.png" title="as/escala_isoti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Reducción mínima. </w:t>
      </w:r>
      <w:r>
        <w:rPr>
          <w:color w:val="333333"/>
          <w:sz w:val="22"/>
          <w:szCs w:val="22"/>
        </w:rPr>
        <w:t xml:space="preserve">Por debajo de estas medidas la marca pierde legibilidad: isologo 25 mm de ancho en impresión o 150 px en pantalla; isotipo 8 mm o 32 px.</w:t>
      </w:r>
    </w:p>
    <w:p>
      <w:pPr>
        <w:pStyle w:val="Heading2"/>
        <w:keepNext/>
        <w:spacing w:after="100" w:before="260"/>
      </w:pPr>
      <w:r>
        <w:t xml:space="preserve">2.5 Área de protección</w:t>
      </w:r>
    </w:p>
    <w:p>
      <w:pPr>
        <w:spacing w:after="140" w:line="300"/>
        <w:jc w:val="both"/>
      </w:pPr>
      <w:r>
        <w:rPr>
          <w:color w:val="333333"/>
          <w:sz w:val="22"/>
          <w:szCs w:val="22"/>
        </w:rPr>
        <w:t xml:space="preserve">Alrededor del isologo se deja un margen libre equivalente a “X” (la mitad de la altura del isologo), donde no puede ubicarse ningún texto, imagen ni borde.</w:t>
      </w:r>
    </w:p>
    <w:p>
      <w:pPr>
        <w:spacing w:after="120"/>
        <w:jc w:val="center"/>
      </w:pPr>
      <w:r>
        <w:drawing>
          <wp:inline distT="0" distB="0" distL="0" distR="0">
            <wp:extent cx="4476750" cy="1628775"/>
            <wp:effectExtent t="0" r="0" b="0" l="0"/>
            <wp:docPr id="1" name="as/area_proteccion.png" descr="as/area_proteccion.png" title="as/area_protec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pBdr>
          <w:bottom w:val="single" w:color="F2C229" w:sz="18" w:space="4"/>
        </w:pBdr>
        <w:spacing w:after="200"/>
      </w:pPr>
      <w:r>
        <w:t xml:space="preserve">2.6 Versiones monocromáticas</w:t>
      </w:r>
    </w:p>
    <w:p>
      <w:pPr>
        <w:spacing w:after="140" w:line="300"/>
        <w:jc w:val="both"/>
      </w:pPr>
      <w:r>
        <w:rPr>
          <w:color w:val="333333"/>
          <w:sz w:val="22"/>
          <w:szCs w:val="22"/>
        </w:rPr>
        <w:t xml:space="preserve">Variantes a un solo color para impresiones a una tinta, sellos, grabados o fondos donde el color no es posible. Se mantiene la separación entre la letra y la sombra para que la marca no pierda forma.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504825"/>
                  <wp:effectExtent t="0" r="0" b="0" l="0"/>
                  <wp:docPr id="1" name="as/isologo_mono_pos.png" descr="as/isologo_mono_pos.png" title="as/isologo_mono_p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Positiva — negro carbón sobre fondo claro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504825"/>
                  <wp:effectExtent t="0" r="0" b="0" l="0"/>
                  <wp:docPr id="1" name="as/isologo_mono_neg.png" descr="as/isologo_mono_neg.png" title="as/isologo_mono_ne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E6E6E6"/>
                <w:sz w:val="18"/>
                <w:szCs w:val="18"/>
              </w:rPr>
              <w:t xml:space="preserve">Negativa — blanco sobre fondo oscuro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504825"/>
                  <wp:effectExtent t="0" r="0" b="0" l="0"/>
                  <wp:docPr id="1" name="as/isologo_gris.png" descr="as/isologo_gris.png" title="as/isologo_gri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Escala de grises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504825"/>
                  <wp:effectExtent t="0" r="0" b="0" l="0"/>
                  <wp:docPr id="1" name="as/isologo.png" descr="as/isologo.png" title="as/is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Color (referencia)</w:t>
            </w:r>
          </w:p>
        </w:tc>
      </w:tr>
    </w:tbl>
    <w:p>
      <w:pPr>
        <w:spacing w:after="120"/>
      </w:pP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as/isotipo_mono_pos.png" descr="as/isotipo_mono_pos.png" title="as/isotipo_mono_p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Isotipo positivo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as/isotipo_mono_neg.png" descr="as/isotipo_mono_neg.png" title="as/isotipo_mono_ne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E6E6E6"/>
                <w:sz w:val="18"/>
                <w:szCs w:val="18"/>
              </w:rPr>
              <w:t xml:space="preserve">Isotipo negativo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0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as/isotipo.png" descr="as/isotipo.png" title="as/isotip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Isotipo color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 </w:t>
      </w:r>
    </w:p>
    <w:p>
      <w:pPr>
        <w:pStyle w:val="Heading1"/>
        <w:pageBreakBefore/>
        <w:pBdr>
          <w:bottom w:val="single" w:color="F2C229" w:sz="18" w:space="4"/>
        </w:pBdr>
        <w:spacing w:after="200"/>
      </w:pPr>
      <w:r>
        <w:t xml:space="preserve">2.7 Aplicación del logo</w:t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Sobre distintos fondos. </w:t>
      </w:r>
      <w:r>
        <w:rPr>
          <w:color w:val="333333"/>
          <w:sz w:val="22"/>
          <w:szCs w:val="22"/>
        </w:rPr>
        <w:t xml:space="preserve">Sobre crema y carbón se usa la versión color; sobre el amarillo de la marca, la versión positiva; sobre fotografías oscuras, la versión negativa.</w:t>
      </w:r>
    </w:p>
    <w:p>
      <w:pPr>
        <w:spacing w:after="16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as/panel_fondos.png" descr="as/panel_fondos.png" title="as/panel_fon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Íconos de aplicación. </w:t>
      </w:r>
      <w:r>
        <w:rPr>
          <w:color w:val="333333"/>
          <w:sz w:val="22"/>
          <w:szCs w:val="22"/>
        </w:rPr>
        <w:t xml:space="preserve">Formato de ícono para la app y los perfiles de redes, en versión oscura y en versión color.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as/image7.png" descr="as/image7.png" title="as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Ícono oscuro — #2B2B2B / #F2C229 / #FFF8E0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as/image8.png" descr="as/image8.png" title="as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Ícono color — #F2C229 / #FFFFFF</w:t>
            </w:r>
          </w:p>
        </w:tc>
      </w:tr>
    </w:tbl>
    <w:p>
      <w:pPr>
        <w:spacing w:after="140" w:line="300"/>
        <w:jc w:val="both"/>
      </w:pPr>
      <w:r>
        <w:rPr>
          <w:b/>
          <w:bCs/>
          <w:color w:val="2B2B2B"/>
          <w:sz w:val="22"/>
          <w:szCs w:val="22"/>
        </w:rPr>
        <w:t xml:space="preserve">Usos incorrectos. </w:t>
      </w:r>
      <w:r>
        <w:rPr>
          <w:color w:val="333333"/>
          <w:sz w:val="22"/>
          <w:szCs w:val="22"/>
        </w:rPr>
        <w:t xml:space="preserve">No se debe deformar, rotar, cambiar los colores del logo ni ubicarlo sobre fondos sin contraste.</w:t>
      </w:r>
    </w:p>
    <w:p>
      <w:pPr>
        <w:spacing w:after="6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as/panel_incorrectos.png" descr="as/panel_incorrectos.png" title="as/panel_incorrec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pBdr>
          <w:bottom w:val="single" w:color="F2C229" w:sz="18" w:space="4"/>
        </w:pBdr>
        <w:spacing w:after="200"/>
      </w:pPr>
      <w:r>
        <w:t xml:space="preserve">3. Mockups — Productos con el logo</w:t>
      </w:r>
    </w:p>
    <w:p>
      <w:pPr>
        <w:spacing w:after="140" w:line="300"/>
        <w:jc w:val="both"/>
      </w:pPr>
      <w:r>
        <w:rPr>
          <w:color w:val="333333"/>
          <w:sz w:val="22"/>
          <w:szCs w:val="22"/>
        </w:rPr>
        <w:t xml:space="preserve">Aplicación de la identidad de Kebracho en 10 productos: los dos envases de la bebida y ocho piezas de merchandising, manteniendo el logo de forma consistente en todos los soportes.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2343150"/>
                  <wp:effectExtent t="0" r="0" b="0" l="0"/>
                  <wp:docPr id="1" name="as/mock_lata.jpg" descr="as/mock_lata.jpg" title="as/mock_la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1. Lata 473 ml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2343150"/>
                  <wp:effectExtent t="0" r="0" b="0" l="0"/>
                  <wp:docPr id="1" name="as/mock_botella.jpg" descr="as/mock_botella.jpg" title="as/mock_botell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2. Botella 1 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1152525"/>
                  <wp:effectExtent t="0" r="0" b="0" l="0"/>
                  <wp:docPr id="1" name="as/image9.jpeg" descr="as/image9.jpeg" title="as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3. Buzo canguro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2381250"/>
                  <wp:effectExtent t="0" r="0" b="0" l="0"/>
                  <wp:docPr id="1" name="as/image17.jpeg" descr="as/image17.jpeg" title="as/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4. Remera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1114425"/>
                  <wp:effectExtent t="0" r="0" b="0" l="0"/>
                  <wp:docPr id="1" name="as/image13.jpeg" descr="as/image13.jpeg" title="as/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5. Gorra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1171575"/>
                  <wp:effectExtent t="0" r="0" b="0" l="0"/>
                  <wp:docPr id="1" name="as/image10.jpeg" descr="as/image10.jpeg" title="as/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6. Mate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1152525"/>
                  <wp:effectExtent t="0" r="0" b="0" l="0"/>
                  <wp:docPr id="1" name="as/image11.jpeg" descr="as/image11.jpeg" title="as/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7. Termo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1152525"/>
                  <wp:effectExtent t="0" r="0" b="0" l="0"/>
                  <wp:docPr id="1" name="as/image12.jpeg" descr="as/image12.jpeg" title="as/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8. Riñonera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1990725"/>
                  <wp:effectExtent t="0" r="0" b="0" l="0"/>
                  <wp:docPr id="1" name="as/image16.jpeg" descr="as/image16.jpeg" title="as/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9. Mochila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762250" cy="3333750"/>
                  <wp:effectExtent t="0" r="0" b="0" l="0"/>
                  <wp:docPr id="1" name="as/image15.jpeg" descr="as/image15.jpeg" title="as/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10. Tote bag (con cartuchera)</w:t>
            </w:r>
          </w:p>
        </w:tc>
      </w:tr>
    </w:tbl>
    <w:p>
      <w:pPr>
        <w:spacing w:after="120"/>
      </w:pPr>
    </w:p>
    <w:p>
      <w:pPr>
        <w:spacing w:after="80" w:line="300"/>
        <w:jc w:val="both"/>
      </w:pPr>
      <w:r>
        <w:rPr>
          <w:b/>
          <w:bCs/>
          <w:color w:val="2B2B2B"/>
          <w:sz w:val="22"/>
          <w:szCs w:val="22"/>
        </w:rPr>
        <w:t xml:space="preserve">Vista de 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476500" cy="1952625"/>
                  <wp:effectExtent t="0" r="0" b="0" l="0"/>
                  <wp:docPr id="1" name="as/image14.jpeg" descr="as/image14.jpeg" title="as/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Gorra — uso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F2C229" w:color="auto" w:val="clear"/>
      <w:tabs>
        <w:tab w:val="right" w:pos="9538"/>
      </w:tabs>
    </w:pPr>
    <w:r>
      <w:rPr>
        <w:b/>
        <w:bCs/>
        <w:color w:val="2B2B2B"/>
        <w:sz w:val="16"/>
        <w:szCs w:val="16"/>
      </w:rPr>
      <w:t xml:space="preserve"> SECTOR MARKETING</w:t>
    </w:r>
    <w:r>
      <w:t xml:space="preserve">	</w:t>
    </w:r>
    <w:r>
      <w:rPr>
        <w:b/>
        <w:bCs/>
        <w:color w:val="2B2B2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2B2B" w:sz="6" w:space="4"/>
      </w:pBdr>
      <w:tabs>
        <w:tab w:val="right" w:pos="9638"/>
      </w:tabs>
    </w:pPr>
    <w:r>
      <w:rPr>
        <w:b/>
        <w:bCs/>
        <w:color w:val="2B2B2B"/>
        <w:sz w:val="18"/>
        <w:szCs w:val="18"/>
      </w:rPr>
      <w:t xml:space="preserve">Kebracho — Manual de Identidad Visual</w:t>
    </w:r>
    <w:r>
      <w:t xml:space="preserve">	</w:t>
    </w:r>
    <w:r>
      <w:drawing>
        <wp:inline distT="0" distB="0" distL="0" distR="0">
          <wp:extent cx="209550" cy="209550"/>
          <wp:effectExtent t="0" r="0" b="0" l="0"/>
          <wp:docPr id="1" name="iso" descr="iso" title="is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2B2B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7A6A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30d3a539ea75d05d8bbddf465870da3fb67f29.png"/><Relationship Id="rId10" Type="http://schemas.openxmlformats.org/officeDocument/2006/relationships/image" Target="media/aaede4ad3882a1ee19a57db81d3aedcc282a174c.png"/><Relationship Id="rId11" Type="http://schemas.openxmlformats.org/officeDocument/2006/relationships/image" Target="media/c30c5b5ecee156f2d83a31d655744f84d62c1f9c.png"/><Relationship Id="rId12" Type="http://schemas.openxmlformats.org/officeDocument/2006/relationships/image" Target="media/200d80bed21feb01de0560bb9419e4af4e691051.png"/><Relationship Id="rId13" Type="http://schemas.openxmlformats.org/officeDocument/2006/relationships/image" Target="media/00a414c4c863c323116df8b3d83f16e475f8f93a.png"/><Relationship Id="rId14" Type="http://schemas.openxmlformats.org/officeDocument/2006/relationships/image" Target="media/01297dfae1ad907e4b20edb6003f9522694ac9ea.png"/><Relationship Id="rId15" Type="http://schemas.openxmlformats.org/officeDocument/2006/relationships/image" Target="media/d595b99d49e71329f3f4d9ea41b173465ec9c9b2.png"/><Relationship Id="rId16" Type="http://schemas.openxmlformats.org/officeDocument/2006/relationships/image" Target="media/2f79c66ea4adc1d7c73df6f58e0f429a791f50b4.png"/><Relationship Id="rId17" Type="http://schemas.openxmlformats.org/officeDocument/2006/relationships/image" Target="media/49a1cfdacc11053818e78d6e0fbd64ec885e4e12.png"/><Relationship Id="rId18" Type="http://schemas.openxmlformats.org/officeDocument/2006/relationships/image" Target="media/502112fdc6a47eef801cf3874b78f5b6cb1b3480.png"/><Relationship Id="rId19" Type="http://schemas.openxmlformats.org/officeDocument/2006/relationships/image" Target="media/1e6e0f0395c3cd28af2556b32f67850c4fd20bd2.png"/><Relationship Id="rId20" Type="http://schemas.openxmlformats.org/officeDocument/2006/relationships/image" Target="media/94fa1a84097d43757a248469379e5d6b56079564.png"/><Relationship Id="rId21" Type="http://schemas.openxmlformats.org/officeDocument/2006/relationships/image" Target="media/f0d93dbf24c2dc636884939f550d5ab17a9a6fba.png"/><Relationship Id="rId22" Type="http://schemas.openxmlformats.org/officeDocument/2006/relationships/image" Target="media/2ccb10d44dfd4ad1608d47c32ca5c8adf3dde3f0.png"/><Relationship Id="rId23" Type="http://schemas.openxmlformats.org/officeDocument/2006/relationships/image" Target="media/0d18503f2cbb880f9a93dd3657c8f2d5015d99ff.png"/><Relationship Id="rId24" Type="http://schemas.openxmlformats.org/officeDocument/2006/relationships/image" Target="media/a46cc3b2f77482bcd9768b4c9271e56ef5385bb6.png"/><Relationship Id="rId25" Type="http://schemas.openxmlformats.org/officeDocument/2006/relationships/image" Target="media/f77ff122aa600434d2a8f8168b014e10332e42a5.jpg"/><Relationship Id="rId26" Type="http://schemas.openxmlformats.org/officeDocument/2006/relationships/image" Target="media/fcfcf97cce4de7673883ac9dba7fd2a6492247b8.jpg"/><Relationship Id="rId27" Type="http://schemas.openxmlformats.org/officeDocument/2006/relationships/image" Target="media/c84bb8f82a6d91d2b2e22044c25206a1327a7328.jpg"/><Relationship Id="rId28" Type="http://schemas.openxmlformats.org/officeDocument/2006/relationships/image" Target="media/4a44d3fd5695c36344754dd827b7951733f0117f.jpg"/><Relationship Id="rId29" Type="http://schemas.openxmlformats.org/officeDocument/2006/relationships/image" Target="media/88d90534ab4f472eb0c951e1af0c362507e5c6a5.jpg"/><Relationship Id="rId30" Type="http://schemas.openxmlformats.org/officeDocument/2006/relationships/image" Target="media/6e78dd7fadd02a5a7a2ba18f608757e04b59d4c1.jpg"/><Relationship Id="rId31" Type="http://schemas.openxmlformats.org/officeDocument/2006/relationships/image" Target="media/93b39e4f0bcd9f80fb416a36b5013e7f78de3ba3.jpg"/><Relationship Id="rId32" Type="http://schemas.openxmlformats.org/officeDocument/2006/relationships/image" Target="media/1f358e9ba1a377ccb01d9be06f78451d383e685f.jpg"/><Relationship Id="rId33" Type="http://schemas.openxmlformats.org/officeDocument/2006/relationships/image" Target="media/8b22cf8e0c22ad58ce9b2011070b973d324a7fe2.jpg"/><Relationship Id="rId34" Type="http://schemas.openxmlformats.org/officeDocument/2006/relationships/image" Target="media/deae81591141eb212934469395a1cfa94adab80f.jpg"/><Relationship Id="rId35" Type="http://schemas.openxmlformats.org/officeDocument/2006/relationships/image" Target="media/429dc8b7ba07ae2e5546ccc1c7b764afcae0ade1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430d3a539ea75d05d8bbddf465870da3fb67f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2026-09-22T19:03:21.067Z</dcterms:created>
  <dcterms:modified xsi:type="dcterms:W3CDTF">2026-09-22T19:03:21.067Z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