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Am linken Rand steht bei jedem Absatz, was er ist. Vorlesen heisst: wörtlich — Erzähltext und die Sätze der Figuren; die Sätze stehen in Gold. An die Schüler heisst: das sagst du ihnen, ebenfalls wörtlich — es ist ihre Aufgabe. Für dich heisst: nur du — Hintergrund, Personen, Antworten. Kampf lädt die Gegner und öffnet den Kampfbildschirm. Ganz unten steht immer, wann es weitergeht.
 Rechts oben steht Wenn … dann: was in dieser Szene abzweigt — „Tam angelogen → kein Führer“, „alle würfeln 10 oder mehr → an den Wachen vorbei“. Die rechte Spalte bleibt beim Scrollen stehen, damit du beim Vorlesen nie suchen musst, was als Nächstes von der Antwort der Gruppe abhängt. — Darunter Stärken der Figuren: je Figur eine Zeile mit ihrem Talent — Magic Hand, Strength, Healing Touch — und, wenn die Szene eine Gelegenheit dafür hat, der Satz aus dem Vorlesetext, der sie ankündigt (Tam hält die verbrannte Hand an die Brust; Marek hat die Hand verbunden). Du liest den Satz vor und wartest. Anklicken zeigt die Folge. Das sind keine Aufgaben und keine Lösungen: Die Zeile sagt dir nur, was du zulassen kannst, falls der Spieler von selbst darauf kommt. Jede Szene funktioniert auch ohne. — Oben rechts steht die Lage: Gefahr, wo die Gruppe ist, was sie gewählt hat, was sie weiss. Auf der Seite steht immer nur, was zu diesem Weg gehört — das andere siehst du gar nicht erst. Und eine Entscheidung lässt sich erst anklicken, wenn die davor getroffen ist. — Der Kampf ist ein eigener Bildschirm. Er öffnet sich, sobald du in einer Szene einen Kampf lädst — oder jederzeit über „⚔ Kampf“ oben rechts, für einen freien Kampf mit Gegnern von Hand. Links stehen die Gegner, rechts die Gruppe, unten das Log. „Kampf vorbei“ heilt alle und bringt dich zur Szene zurück; „← Szene“ lässt den Kampf offen, falls du zwischendurch nachlesen willst.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rechts unter Stärken der Figuren etwas dazu: nimm es.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im Kampfbildschirm in die Karte des Monsters und drückst Schaden. — 3. Das Monster ist dran: Du drückst auf seine Attacke. Die Seite würfelt und sagt dir, ob es trifft. Dann klickst du an, wen es erwischt hat. — Im Kampf heilt niemand — ausser mit dem eigenen Trank. Danach heilt die Lightbearer alle: „Kampf vorbei“ unten im Kampfbildschirm, oder rechts „alle voll“.</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(rechts)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10  →  </w:t>
      </w:r>
      <w:r>
        <w:rPr>
          <w:rFonts w:ascii="Georgia" w:cs="Georgia" w:eastAsia="Georgia" w:hAnsi="Georgia"/>
          <w:color w:val="333333"/>
          <w:sz w:val="17"/>
          <w:szCs w:val="17"/>
        </w:rPr>
        <w:t xml:space="preserve">−1 HP (rechts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10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10,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rechts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zum Spiegel — Bellamy führt euch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(rechts: Stärken).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zum Spiegel — Tam führt euch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(Just roll a d20). Mindestens eine 10 → sie finden den Westgang leise (gelb unten). Keine 10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(rechts)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rechts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Danach · What Happens Now</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 und die einzige ohne Werte. Wie geht es weiter? Hier zählt nur, was die Schüler sagen.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Abend ist gespielt. Das Barometer zählt nicht mehr, kein Wurf, kein Schaden. Das hier ist die freieste Sprechübung des Abends: Jede Figur sagt, was sie jetzt tun will — und sie müssen sich nicht einigen. Drei verschiedene Antworten sind ein gutes Ende, keine gescheiterte Runde.
 Die drei Karten sind Vorschläge, kein Katalog. Will jemand etwas anderes — heimfahren, Lene mitnehmen, Anneke suchen, Mirela fragen, ob sie mitkommt —, sag Ja und lass ihn zwei Sätze dazu sagen. Klick danach die Karte, die am nächsten liegt; unten steht dann der passende Schlusstext. — Marek ist da, obwohl er im Prolog gesagt hat, er fährt noch in derselben Nacht heim. Das ist der Witz der Szene: Er hat die ganze Nacht unten am Hügel gewartet. Er erklärt es nicht.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is waiting, and so is half the village. Every one of you: what do you want to do now — and why? You don’t all have to want the same thing.”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  →  Helfer-Blatt · Teil 10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Raben, der Namen lernt.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will etwas, das nicht auf den Karten steht  →  </w:t>
      </w:r>
      <w:r>
        <w:rPr>
          <w:rFonts w:ascii="Georgia" w:cs="Georgia" w:eastAsia="Georgia" w:hAnsi="Georgia"/>
          <w:color w:val="333333"/>
          <w:sz w:val="17"/>
          <w:szCs w:val="17"/>
        </w:rPr>
        <w:t xml:space="preserve">sag Ja und lass ihn es ausmalen — es gibt nichts mehr zu verlieren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“No talking your way out of this one. But talk to each other: who takes the hound? Who covers the healer?”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2026-09-22T11:04:31.524Z</dcterms:created>
  <dcterms:modified xsi:type="dcterms:W3CDTF">2026-09-22T11:04:31.525Z</dcterms:modified>
</cp:coreProperties>
</file>

<file path=docProps/custom.xml><?xml version="1.0" encoding="utf-8"?>
<Properties xmlns="http://schemas.openxmlformats.org/officeDocument/2006/custom-properties" xmlns:vt="http://schemas.openxmlformats.org/officeDocument/2006/docPropsVTypes"/>
</file>