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Guests</w:t>
      </w:r>
      <w:r>
        <w:rPr>
          <w:rFonts w:ascii="Georgia" w:cs="Georgia" w:eastAsia="Georgia" w:hAnsi="Georgia"/>
          <w:sz w:val="21"/>
          <w:szCs w:val="21"/>
        </w:rPr>
        <w:t xml:space="preserve">. Of course. Nobody tells me anything. Up the stair</w:t>
      </w:r>
      <w:r>
        <w:rPr>
          <w:rFonts w:ascii="Georgia" w:cs="Georgia" w:eastAsia="Georgia" w:hAnsi="Georgia"/>
          <w:sz w:val="21"/>
          <w:szCs w:val="21"/>
        </w:rPr>
        <w:t xml:space="preserve">, wait in the courtyard</w:t>
      </w:r>
      <w:r>
        <w:rPr>
          <w:rFonts w:ascii="Georgia" w:cs="Georgia" w:eastAsia="Georgia" w:hAnsi="Georgia"/>
          <w:sz w:val="21"/>
          <w:szCs w:val="21"/>
        </w:rPr>
        <w:t xml:space="preserve"> — somebody will come for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each action, tell us what you do and why. If you speak to Vaskir, listen to his answer. Give every hunter a turn.”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2026-09-24T12:41:26.390Z</dcterms:created>
  <dcterms:modified xsi:type="dcterms:W3CDTF">2026-09-24T12:41:26.390Z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