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Eine Regel für heute: when your character speaks, speak English.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 in English. Nobody laughs.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“Answer him — each of you. At least two or three sentences.”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Who do you want to talk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asks at least one question — and one follow-up question. Nobody in here tells you anything by themselves.”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i/>
          <w:iCs/>
          <w:sz w:val="18"/>
          <w:szCs w:val="18"/>
        </w:rPr>
        <w:t xml:space="preserve">„Mirela is gone. That is all there is.“  ·  „We don’t go up there. That is the arrangement.“  ·  „You want to help? Go home. That would help.“</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i/>
          <w:iCs/>
          <w:sz w:val="18"/>
          <w:szCs w:val="18"/>
        </w:rPr>
        <w:t xml:space="preserve">„Twenty years! Ask her what happened twenty years ago!“  ·  „Ask her about Anneke! Go on — ask her about Anneke!“  ·  „I dug no grave for that girl. Because there was nothing to bury.“</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i/>
          <w:iCs/>
          <w:sz w:val="18"/>
          <w:szCs w:val="18"/>
        </w:rPr>
        <w:t xml:space="preserve">„She wasn’t taken. She packed a bag.“  ·  „She said it was her turn. She said it like it was a shopping list.“  ·  „She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Tobias ist Mirelas Lehrling. Er will mit ins Schloss. Er darf nicht mit — aber lass ihn fragen. Er bleibt im Dorf und wartet.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Greta: „She is gone. Three nights ago.“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Greta: „Because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Pieter lacht: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that board? Who wrote the names?  </w:t>
      </w:r>
      <w:r>
        <w:rPr>
          <w:rFonts w:ascii="Georgia" w:cs="Georgia" w:eastAsia="Georgia" w:hAnsi="Georgia"/>
          <w:i/>
          <w:iCs/>
          <w:color w:val="333333"/>
          <w:sz w:val="18"/>
          <w:szCs w:val="18"/>
        </w:rPr>
        <w:t xml:space="preserve">Greta: „I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she go by herself?  </w:t>
      </w:r>
      <w:r>
        <w:rPr>
          <w:rFonts w:ascii="Georgia" w:cs="Georgia" w:eastAsia="Georgia" w:hAnsi="Georgia"/>
          <w:i/>
          <w:iCs/>
          <w:color w:val="333333"/>
          <w:sz w:val="18"/>
          <w:szCs w:val="18"/>
        </w:rPr>
        <w:t xml:space="preserve">Tobias: „She packed a bag. She said it was her turn.“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Greta holt eine alte Karte unter der Theke hervor. → vorletzter Block.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Can we look around the room?  </w:t>
      </w:r>
      <w:r>
        <w:rPr>
          <w:rFonts w:ascii="Georgia" w:cs="Georgia" w:eastAsia="Georgia" w:hAnsi="Georgia"/>
          <w:i/>
          <w:iCs/>
          <w:color w:val="333333"/>
          <w:sz w:val="18"/>
          <w:szCs w:val="18"/>
        </w:rPr>
        <w:t xml:space="preserve">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full sentence each: which way — and why. Then we vote.”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Weg nach oben. Hier steht nur noch, was euren Weg betrifft — bis alle drei im selben Hof ankommen.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einer Wache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“Each of you rolls three times — press ‘Just roll a d20’. Under ten, your foot gets stuck and you lose one hit point. Talk to each other while you cross!”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eine Wache hat sie gesehen.  →  Kampf mit der Wache,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“Convince him you are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one calm sentence each, with a reason. No dice here. You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whole sentence to the raven</w:t>
      </w:r>
      <w:r>
        <w:rPr>
          <w:rFonts w:ascii="Georgia" w:cs="Georgia" w:eastAsia="Georgia" w:hAnsi="Georgia"/>
          <w:sz w:val="19"/>
          <w:szCs w:val="19"/>
        </w:rPr>
        <w:t xml:space="preserve"> — slowly and clearly. If you mumble, you get nonsense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w:t>
      </w:r>
    </w:p>
    <w:p>
      <w:pPr>
        <w:pBdr>
          <w:left w:val="single" w:color="D9A441" w:sz="18" w:space="8"/>
        </w:pBdr>
        <w:shd w:fill="FFF6DD" w:color="auto" w:val="clear"/>
        <w:spacing w:after="140"/>
        <w:ind w:left="120"/>
      </w:pPr>
      <w:r>
        <w:rPr>
          <w:rFonts w:ascii="Georgia" w:cs="Georgia" w:eastAsia="Georgia" w:hAnsi="Georgia"/>
          <w:sz w:val="21"/>
          <w:szCs w:val="21"/>
        </w:rPr>
        <w:t xml:space="preserve">You have time for one of them. Which 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full sentence each: which door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Hier steht nur eure Tür. Am Ende steht die Gruppe in jedem Fall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Thirty seconds to think — then one after the other.”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“Give him a real answer — yes or no, and why. No dodging.”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real reason each why she should not do this.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D9A441" w:sz="18" w:space="8"/>
        </w:pBdr>
        <w:shd w:fill="FFF6DD" w:color="auto" w:val="clear"/>
        <w:spacing w:after="140"/>
        <w:ind w:left="120"/>
      </w:pPr>
      <w:r>
        <w:rPr>
          <w:rFonts w:ascii="Georgia" w:cs="Georgia" w:eastAsia="Georgia" w:hAnsi="Georgia"/>
          <w:sz w:val="21"/>
          <w:szCs w:val="21"/>
        </w:rPr>
        <w:t xml:space="preserve">What are you going to do?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“One full sentence each: what should we do — and why? She is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Wie er auftritt, hängt an eurer Wahl und am Barometer. Es steht nur der Fall da, der bei euch gilt. Am Ende trägst du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“Before every attack, one sentence to the Count.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Es steht nur da, was bei euch eingetreten ist. Das letzte Wort haben die Schüler, nicht du.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questions, everybody answers: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2026-09-15T17:08:20.631Z</dcterms:created>
  <dcterms:modified xsi:type="dcterms:W3CDTF">2026-09-15T17:08:20.631Z</dcterms:modified>
</cp:coreProperties>
</file>

<file path=docProps/custom.xml><?xml version="1.0" encoding="utf-8"?>
<Properties xmlns="http://schemas.openxmlformats.org/officeDocument/2006/custom-properties" xmlns:vt="http://schemas.openxmlformats.org/officeDocument/2006/docPropsVTypes"/>
</file>