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“Answer him — each of you. At least two or three sentences.”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Who do you want to talk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 asks at least one question — and one follow-up question. Nobody in here tells you anything by themselves.”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“One full sentence each: which way — and why. Then we vote.”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 rolls three times — press ‘Just roll a d20’. Under ten, your foot gets stuck and you lose one hit point. Talk to each other while you cross!”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“Convince him you are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one calm sentence each, with a reason. No dice here. You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“One whole sentence to the raven</w:t>
      </w:r>
      <w:r>
        <w:rPr>
          <w:rFonts w:ascii="Georgia" w:cs="Georgia" w:eastAsia="Georgia" w:hAnsi="Georgia"/>
          <w:sz w:val="19"/>
          <w:szCs w:val="19"/>
        </w:rPr>
        <w:t xml:space="preserve"> — slowly and clearly. If you mumble, you get nonsense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have time for one of them. Which one?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“One full sentence each: which door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Thirty seconds to think — then one after the other.”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“Give him a real answer — yes or no, and why. No dodging.”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“One real reason each why she should not do this.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“One full sentence each: what should we do — and why? She is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every attack, one sentence to the Count.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questions, everybody answers: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2026-09-15T17:08:20.840Z</dcterms:created>
  <dcterms:modified xsi:type="dcterms:W3CDTF">2026-09-15T17:08:20.840Z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