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“Answer him — each of you. At least two or three sentences.”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Who do you want to talk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asks at least one question — and one follow-up question. Nobody in here tells you anything by themselves.”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full sentence each: which way — and why. Then we vote.”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rolls three times — press ‘Just roll a d20’. Under ten, your foot gets stuck and you lose one hit point. Talk to each other while you cross!”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“Convince him you are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one calm sentence each, with a reason. No dice here. You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whole sentence to the raven</w:t>
      </w:r>
      <w:r>
        <w:rPr>
          <w:rFonts w:ascii="Georgia" w:cs="Georgia" w:eastAsia="Georgia" w:hAnsi="Georgia"/>
          <w:sz w:val="19"/>
          <w:szCs w:val="19"/>
        </w:rPr>
        <w:t xml:space="preserve"> — slowly and clearly. If you mumble, you get nonsense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full sentence each: which door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Thirty seconds to think — then one after the other.”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“Give him a real answer — yes or no, and why. No dodging.”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real reason each why she should not do this.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full sentence each: what should we do — and why? She is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every attack, one sentence to the Count.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questions, everybody answers: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2026-09-15T17:15:14.815Z</dcterms:created>
  <dcterms:modified xsi:type="dcterms:W3CDTF">2026-09-15T17:15:14.816Z</dcterms:modified>
</cp:coreProperties>
</file>

<file path=docProps/custom.xml><?xml version="1.0" encoding="utf-8"?>
<Properties xmlns="http://schemas.openxmlformats.org/officeDocument/2006/custom-properties" xmlns:vt="http://schemas.openxmlformats.org/officeDocument/2006/docPropsVTypes"/>
</file>