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0A80" w14:textId="3846E177" w:rsidR="00494012" w:rsidRPr="00F41A04" w:rsidRDefault="00494012" w:rsidP="00494012">
      <w:pPr>
        <w:tabs>
          <w:tab w:val="num" w:pos="720"/>
        </w:tabs>
        <w:ind w:left="360" w:hanging="360"/>
        <w:jc w:val="both"/>
        <w:rPr>
          <w:rFonts w:ascii="Arial" w:hAnsi="Arial" w:cs="Arial"/>
          <w:sz w:val="24"/>
          <w:szCs w:val="24"/>
        </w:rPr>
      </w:pPr>
      <w:r w:rsidRPr="00F41A04">
        <w:rPr>
          <w:rFonts w:ascii="Arial" w:hAnsi="Arial" w:cs="Arial"/>
          <w:sz w:val="24"/>
          <w:szCs w:val="24"/>
        </w:rPr>
        <w:t xml:space="preserve">NAME: </w:t>
      </w:r>
      <w:r w:rsidR="00F41A04">
        <w:rPr>
          <w:rFonts w:ascii="Arial" w:hAnsi="Arial" w:cs="Arial"/>
          <w:sz w:val="24"/>
          <w:szCs w:val="24"/>
        </w:rPr>
        <w:t>BADEJO AYOMIDE OLUWATOBI</w:t>
      </w:r>
    </w:p>
    <w:p w14:paraId="7C0AE672" w14:textId="2CC0CF27" w:rsidR="00494012" w:rsidRPr="00F41A04" w:rsidRDefault="00494012" w:rsidP="00494012">
      <w:pPr>
        <w:tabs>
          <w:tab w:val="num" w:pos="720"/>
        </w:tabs>
        <w:ind w:left="360" w:hanging="360"/>
        <w:jc w:val="both"/>
        <w:rPr>
          <w:rFonts w:ascii="Arial" w:hAnsi="Arial" w:cs="Arial"/>
          <w:sz w:val="24"/>
          <w:szCs w:val="24"/>
        </w:rPr>
      </w:pPr>
      <w:r w:rsidRPr="00F41A04">
        <w:rPr>
          <w:rFonts w:ascii="Arial" w:hAnsi="Arial" w:cs="Arial"/>
          <w:sz w:val="24"/>
          <w:szCs w:val="24"/>
        </w:rPr>
        <w:t>MATRIC NO: 17</w:t>
      </w:r>
      <w:r w:rsidR="00F41A04">
        <w:rPr>
          <w:rFonts w:ascii="Arial" w:hAnsi="Arial" w:cs="Arial"/>
          <w:sz w:val="24"/>
          <w:szCs w:val="24"/>
        </w:rPr>
        <w:t>CJ</w:t>
      </w:r>
      <w:r w:rsidRPr="00F41A04">
        <w:rPr>
          <w:rFonts w:ascii="Arial" w:hAnsi="Arial" w:cs="Arial"/>
          <w:sz w:val="24"/>
          <w:szCs w:val="24"/>
        </w:rPr>
        <w:t>0224</w:t>
      </w:r>
      <w:r w:rsidR="00F41A04">
        <w:rPr>
          <w:rFonts w:ascii="Arial" w:hAnsi="Arial" w:cs="Arial"/>
          <w:sz w:val="24"/>
          <w:szCs w:val="24"/>
        </w:rPr>
        <w:t>83</w:t>
      </w:r>
    </w:p>
    <w:p w14:paraId="630B7DFE" w14:textId="5ECC3DCD" w:rsidR="00494012" w:rsidRPr="00F41A04" w:rsidRDefault="00494012" w:rsidP="00494012">
      <w:pPr>
        <w:tabs>
          <w:tab w:val="num" w:pos="720"/>
        </w:tabs>
        <w:ind w:left="360" w:hanging="360"/>
        <w:jc w:val="both"/>
        <w:rPr>
          <w:rFonts w:ascii="Arial" w:hAnsi="Arial" w:cs="Arial"/>
          <w:sz w:val="24"/>
          <w:szCs w:val="24"/>
        </w:rPr>
      </w:pPr>
      <w:r w:rsidRPr="00F41A04">
        <w:rPr>
          <w:rFonts w:ascii="Arial" w:hAnsi="Arial" w:cs="Arial"/>
          <w:sz w:val="24"/>
          <w:szCs w:val="24"/>
        </w:rPr>
        <w:t>COURSE: CEN 4</w:t>
      </w:r>
      <w:r w:rsidR="00F41A04">
        <w:rPr>
          <w:rFonts w:ascii="Arial" w:hAnsi="Arial" w:cs="Arial"/>
          <w:sz w:val="24"/>
          <w:szCs w:val="24"/>
        </w:rPr>
        <w:t>1</w:t>
      </w:r>
      <w:r w:rsidRPr="00F41A04">
        <w:rPr>
          <w:rFonts w:ascii="Arial" w:hAnsi="Arial" w:cs="Arial"/>
          <w:sz w:val="24"/>
          <w:szCs w:val="24"/>
        </w:rPr>
        <w:t>4</w:t>
      </w:r>
    </w:p>
    <w:p w14:paraId="0BC55DF2" w14:textId="77777777" w:rsidR="00494012" w:rsidRPr="00F41A04" w:rsidRDefault="00494012" w:rsidP="00494012">
      <w:pPr>
        <w:tabs>
          <w:tab w:val="num" w:pos="720"/>
        </w:tabs>
        <w:ind w:left="360" w:hanging="360"/>
        <w:jc w:val="both"/>
        <w:rPr>
          <w:rFonts w:ascii="Arial" w:hAnsi="Arial" w:cs="Arial"/>
          <w:sz w:val="24"/>
          <w:szCs w:val="24"/>
        </w:rPr>
      </w:pPr>
    </w:p>
    <w:p w14:paraId="1573E1EB" w14:textId="77777777" w:rsidR="00494012" w:rsidRPr="00F41A04" w:rsidRDefault="00494012" w:rsidP="00494012">
      <w:pPr>
        <w:tabs>
          <w:tab w:val="num" w:pos="720"/>
        </w:tabs>
        <w:ind w:left="360" w:hanging="360"/>
        <w:jc w:val="both"/>
        <w:rPr>
          <w:rFonts w:ascii="Arial" w:hAnsi="Arial" w:cs="Arial"/>
          <w:sz w:val="24"/>
          <w:szCs w:val="24"/>
        </w:rPr>
      </w:pPr>
    </w:p>
    <w:p w14:paraId="683C59A2" w14:textId="77777777" w:rsidR="00494012" w:rsidRPr="00F41A04" w:rsidRDefault="00494012" w:rsidP="00494012">
      <w:pPr>
        <w:numPr>
          <w:ilvl w:val="0"/>
          <w:numId w:val="1"/>
        </w:numPr>
        <w:tabs>
          <w:tab w:val="clear" w:pos="360"/>
          <w:tab w:val="num" w:pos="720"/>
        </w:tabs>
        <w:jc w:val="both"/>
        <w:rPr>
          <w:rFonts w:ascii="Arial" w:hAnsi="Arial" w:cs="Arial"/>
          <w:sz w:val="24"/>
          <w:szCs w:val="24"/>
        </w:rPr>
      </w:pPr>
      <w:r w:rsidRPr="00F41A04">
        <w:rPr>
          <w:rFonts w:ascii="Arial" w:hAnsi="Arial" w:cs="Arial"/>
          <w:b/>
          <w:bCs/>
          <w:sz w:val="24"/>
          <w:szCs w:val="24"/>
        </w:rPr>
        <w:t>Atomicity (A):</w:t>
      </w:r>
    </w:p>
    <w:p w14:paraId="6E4794A2"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Definition:</w:t>
      </w:r>
      <w:r w:rsidRPr="00F41A04">
        <w:rPr>
          <w:rFonts w:ascii="Arial" w:hAnsi="Arial" w:cs="Arial"/>
          <w:sz w:val="24"/>
          <w:szCs w:val="24"/>
        </w:rPr>
        <w:t xml:space="preserve"> Atomicity ensures that a transaction is treated as a single, indivisible unit of work. Either all the changes made by the transaction are committed to the database, or none of them are.</w:t>
      </w:r>
    </w:p>
    <w:p w14:paraId="4B1E0390"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Example:</w:t>
      </w:r>
      <w:r w:rsidRPr="00F41A04">
        <w:rPr>
          <w:rFonts w:ascii="Arial" w:hAnsi="Arial" w:cs="Arial"/>
          <w:sz w:val="24"/>
          <w:szCs w:val="24"/>
        </w:rPr>
        <w:t xml:space="preserve"> Consider a bank transfer where money is withdrawn from one account and deposited into another. Atomicity ensures that both operations (withdrawal and deposit) either happen together or not at all.</w:t>
      </w:r>
    </w:p>
    <w:p w14:paraId="597B76C4" w14:textId="77777777" w:rsidR="00494012" w:rsidRPr="00F41A04" w:rsidRDefault="00494012" w:rsidP="00494012">
      <w:pPr>
        <w:numPr>
          <w:ilvl w:val="0"/>
          <w:numId w:val="1"/>
        </w:numPr>
        <w:tabs>
          <w:tab w:val="clear" w:pos="360"/>
          <w:tab w:val="num" w:pos="720"/>
        </w:tabs>
        <w:jc w:val="both"/>
        <w:rPr>
          <w:rFonts w:ascii="Arial" w:hAnsi="Arial" w:cs="Arial"/>
          <w:sz w:val="24"/>
          <w:szCs w:val="24"/>
        </w:rPr>
      </w:pPr>
      <w:r w:rsidRPr="00F41A04">
        <w:rPr>
          <w:rFonts w:ascii="Arial" w:hAnsi="Arial" w:cs="Arial"/>
          <w:b/>
          <w:bCs/>
          <w:sz w:val="24"/>
          <w:szCs w:val="24"/>
        </w:rPr>
        <w:t>Consistency (C):</w:t>
      </w:r>
    </w:p>
    <w:p w14:paraId="708813AB"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Definition:</w:t>
      </w:r>
      <w:r w:rsidRPr="00F41A04">
        <w:rPr>
          <w:rFonts w:ascii="Arial" w:hAnsi="Arial" w:cs="Arial"/>
          <w:sz w:val="24"/>
          <w:szCs w:val="24"/>
        </w:rPr>
        <w:t xml:space="preserve"> Consistency ensures that a transaction brings the database from one valid state to another. The database must satisfy a set of integrity constraints before and after the transaction.</w:t>
      </w:r>
    </w:p>
    <w:p w14:paraId="2F67787D"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Example:</w:t>
      </w:r>
      <w:r w:rsidRPr="00F41A04">
        <w:rPr>
          <w:rFonts w:ascii="Arial" w:hAnsi="Arial" w:cs="Arial"/>
          <w:sz w:val="24"/>
          <w:szCs w:val="24"/>
        </w:rPr>
        <w:t xml:space="preserve"> If an integrity constraint states that the total balance in all bank accounts should remain constant, a transaction violating this constraint would be rejected.</w:t>
      </w:r>
    </w:p>
    <w:p w14:paraId="2F862682" w14:textId="77777777" w:rsidR="00494012" w:rsidRPr="00F41A04" w:rsidRDefault="00494012" w:rsidP="00494012">
      <w:pPr>
        <w:numPr>
          <w:ilvl w:val="0"/>
          <w:numId w:val="1"/>
        </w:numPr>
        <w:tabs>
          <w:tab w:val="clear" w:pos="360"/>
          <w:tab w:val="num" w:pos="720"/>
        </w:tabs>
        <w:jc w:val="both"/>
        <w:rPr>
          <w:rFonts w:ascii="Arial" w:hAnsi="Arial" w:cs="Arial"/>
          <w:sz w:val="24"/>
          <w:szCs w:val="24"/>
        </w:rPr>
      </w:pPr>
      <w:r w:rsidRPr="00F41A04">
        <w:rPr>
          <w:rFonts w:ascii="Arial" w:hAnsi="Arial" w:cs="Arial"/>
          <w:b/>
          <w:bCs/>
          <w:sz w:val="24"/>
          <w:szCs w:val="24"/>
        </w:rPr>
        <w:t>Isolation (I):</w:t>
      </w:r>
    </w:p>
    <w:p w14:paraId="48800D90" w14:textId="4E952E68"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Definition:</w:t>
      </w:r>
      <w:r w:rsidRPr="00F41A04">
        <w:rPr>
          <w:rFonts w:ascii="Arial" w:hAnsi="Arial" w:cs="Arial"/>
          <w:sz w:val="24"/>
          <w:szCs w:val="24"/>
        </w:rPr>
        <w:t xml:space="preserve"> Isolation ensures that the execution of one transaction is isolated from the effects of other transactions. Even though multiple transactions may be executed concurrently, </w:t>
      </w:r>
      <w:r w:rsidR="00F41A04" w:rsidRPr="00F41A04">
        <w:rPr>
          <w:rFonts w:ascii="Arial" w:hAnsi="Arial" w:cs="Arial"/>
          <w:sz w:val="24"/>
          <w:szCs w:val="24"/>
        </w:rPr>
        <w:t>the result</w:t>
      </w:r>
      <w:r w:rsidRPr="00F41A04">
        <w:rPr>
          <w:rFonts w:ascii="Arial" w:hAnsi="Arial" w:cs="Arial"/>
          <w:sz w:val="24"/>
          <w:szCs w:val="24"/>
        </w:rPr>
        <w:t xml:space="preserve"> should be the same as if the transactions were executed serially.</w:t>
      </w:r>
    </w:p>
    <w:p w14:paraId="739519F6" w14:textId="56FE3FEE"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Example:</w:t>
      </w:r>
      <w:r w:rsidRPr="00F41A04">
        <w:rPr>
          <w:rFonts w:ascii="Arial" w:hAnsi="Arial" w:cs="Arial"/>
          <w:sz w:val="24"/>
          <w:szCs w:val="24"/>
        </w:rPr>
        <w:t xml:space="preserve"> If two transactions are transferring money between the same set of accounts simultaneously, isolation ensures that </w:t>
      </w:r>
      <w:r w:rsidR="00F41A04" w:rsidRPr="00F41A04">
        <w:rPr>
          <w:rFonts w:ascii="Arial" w:hAnsi="Arial" w:cs="Arial"/>
          <w:sz w:val="24"/>
          <w:szCs w:val="24"/>
        </w:rPr>
        <w:t>the result</w:t>
      </w:r>
      <w:r w:rsidRPr="00F41A04">
        <w:rPr>
          <w:rFonts w:ascii="Arial" w:hAnsi="Arial" w:cs="Arial"/>
          <w:sz w:val="24"/>
          <w:szCs w:val="24"/>
        </w:rPr>
        <w:t xml:space="preserve"> is consistent, regardless of the order in which the transactions are executed.</w:t>
      </w:r>
    </w:p>
    <w:p w14:paraId="3A11EB9A" w14:textId="77777777" w:rsidR="00494012" w:rsidRPr="00F41A04" w:rsidRDefault="00494012" w:rsidP="00494012">
      <w:pPr>
        <w:numPr>
          <w:ilvl w:val="0"/>
          <w:numId w:val="1"/>
        </w:numPr>
        <w:tabs>
          <w:tab w:val="clear" w:pos="360"/>
          <w:tab w:val="num" w:pos="720"/>
        </w:tabs>
        <w:jc w:val="both"/>
        <w:rPr>
          <w:rFonts w:ascii="Arial" w:hAnsi="Arial" w:cs="Arial"/>
          <w:sz w:val="24"/>
          <w:szCs w:val="24"/>
        </w:rPr>
      </w:pPr>
      <w:r w:rsidRPr="00F41A04">
        <w:rPr>
          <w:rFonts w:ascii="Arial" w:hAnsi="Arial" w:cs="Arial"/>
          <w:b/>
          <w:bCs/>
          <w:sz w:val="24"/>
          <w:szCs w:val="24"/>
        </w:rPr>
        <w:t>Durability (D):</w:t>
      </w:r>
    </w:p>
    <w:p w14:paraId="5C8848E3"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Definition:</w:t>
      </w:r>
      <w:r w:rsidRPr="00F41A04">
        <w:rPr>
          <w:rFonts w:ascii="Arial" w:hAnsi="Arial" w:cs="Arial"/>
          <w:sz w:val="24"/>
          <w:szCs w:val="24"/>
        </w:rPr>
        <w:t xml:space="preserve"> Durability guarantees that once a transaction is committed, its effects will persist even in the face of system failures (such as power outages or crashes). Once data is written to the database, it should remain there, and the changes should survive any subsequent failures.</w:t>
      </w:r>
    </w:p>
    <w:p w14:paraId="7361136A" w14:textId="77777777" w:rsidR="00494012" w:rsidRPr="00F41A04" w:rsidRDefault="00494012" w:rsidP="00494012">
      <w:pPr>
        <w:numPr>
          <w:ilvl w:val="1"/>
          <w:numId w:val="1"/>
        </w:numPr>
        <w:tabs>
          <w:tab w:val="num" w:pos="1440"/>
        </w:tabs>
        <w:jc w:val="both"/>
        <w:rPr>
          <w:rFonts w:ascii="Arial" w:hAnsi="Arial" w:cs="Arial"/>
          <w:sz w:val="24"/>
          <w:szCs w:val="24"/>
        </w:rPr>
      </w:pPr>
      <w:r w:rsidRPr="00F41A04">
        <w:rPr>
          <w:rFonts w:ascii="Arial" w:hAnsi="Arial" w:cs="Arial"/>
          <w:b/>
          <w:bCs/>
          <w:sz w:val="24"/>
          <w:szCs w:val="24"/>
        </w:rPr>
        <w:t>Example:</w:t>
      </w:r>
      <w:r w:rsidRPr="00F41A04">
        <w:rPr>
          <w:rFonts w:ascii="Arial" w:hAnsi="Arial" w:cs="Arial"/>
          <w:sz w:val="24"/>
          <w:szCs w:val="24"/>
        </w:rPr>
        <w:t xml:space="preserve"> If a user receives a confirmation message for a successful fund transfer, durability ensures that the transferred amount is not lost even if the system crashes immediately after the confirmation.</w:t>
      </w:r>
    </w:p>
    <w:p w14:paraId="1FB6863C" w14:textId="77777777" w:rsidR="00F41A04" w:rsidRDefault="00F41A04">
      <w:pPr>
        <w:rPr>
          <w:rFonts w:ascii="Arial" w:hAnsi="Arial" w:cs="Arial"/>
          <w:b/>
          <w:bCs/>
          <w:sz w:val="24"/>
          <w:szCs w:val="24"/>
        </w:rPr>
      </w:pPr>
      <w:r>
        <w:rPr>
          <w:rFonts w:ascii="Arial" w:hAnsi="Arial" w:cs="Arial"/>
          <w:b/>
          <w:bCs/>
          <w:sz w:val="24"/>
          <w:szCs w:val="24"/>
        </w:rPr>
        <w:br w:type="page"/>
      </w:r>
    </w:p>
    <w:p w14:paraId="6E32B960" w14:textId="7BD7C53C" w:rsidR="00494012" w:rsidRPr="00F41A04" w:rsidRDefault="00494012" w:rsidP="00494012">
      <w:pPr>
        <w:jc w:val="both"/>
        <w:rPr>
          <w:rFonts w:ascii="Arial" w:hAnsi="Arial" w:cs="Arial"/>
          <w:sz w:val="24"/>
          <w:szCs w:val="24"/>
        </w:rPr>
      </w:pPr>
      <w:r w:rsidRPr="00F41A04">
        <w:rPr>
          <w:rFonts w:ascii="Arial" w:hAnsi="Arial" w:cs="Arial"/>
          <w:b/>
          <w:bCs/>
          <w:sz w:val="24"/>
          <w:szCs w:val="24"/>
        </w:rPr>
        <w:lastRenderedPageBreak/>
        <w:t>Balancing ACID Properties:</w:t>
      </w:r>
    </w:p>
    <w:p w14:paraId="2AFE790F" w14:textId="77777777" w:rsidR="00494012" w:rsidRPr="00F41A04" w:rsidRDefault="00494012" w:rsidP="00494012">
      <w:pPr>
        <w:numPr>
          <w:ilvl w:val="0"/>
          <w:numId w:val="2"/>
        </w:numPr>
        <w:jc w:val="both"/>
        <w:rPr>
          <w:rFonts w:ascii="Arial" w:hAnsi="Arial" w:cs="Arial"/>
          <w:sz w:val="24"/>
          <w:szCs w:val="24"/>
        </w:rPr>
      </w:pPr>
      <w:r w:rsidRPr="00F41A04">
        <w:rPr>
          <w:rFonts w:ascii="Arial" w:hAnsi="Arial" w:cs="Arial"/>
          <w:b/>
          <w:bCs/>
          <w:sz w:val="24"/>
          <w:szCs w:val="24"/>
        </w:rPr>
        <w:t>Concurrency Control:</w:t>
      </w:r>
      <w:r w:rsidRPr="00F41A04">
        <w:rPr>
          <w:rFonts w:ascii="Arial" w:hAnsi="Arial" w:cs="Arial"/>
          <w:sz w:val="24"/>
          <w:szCs w:val="24"/>
        </w:rPr>
        <w:t xml:space="preserve"> Balancing isolation with performance often involves implementing effective concurrency control mechanisms. Techniques like locking, optimistic concurrency control, and transaction isolation levels help manage the trade-off between transaction isolation and system performance.</w:t>
      </w:r>
    </w:p>
    <w:p w14:paraId="7F76FE8D" w14:textId="77777777" w:rsidR="00494012" w:rsidRPr="00F41A04" w:rsidRDefault="00494012" w:rsidP="00494012">
      <w:pPr>
        <w:numPr>
          <w:ilvl w:val="0"/>
          <w:numId w:val="2"/>
        </w:numPr>
        <w:jc w:val="both"/>
        <w:rPr>
          <w:rFonts w:ascii="Arial" w:hAnsi="Arial" w:cs="Arial"/>
          <w:sz w:val="24"/>
          <w:szCs w:val="24"/>
        </w:rPr>
      </w:pPr>
      <w:r w:rsidRPr="00F41A04">
        <w:rPr>
          <w:rFonts w:ascii="Arial" w:hAnsi="Arial" w:cs="Arial"/>
          <w:b/>
          <w:bCs/>
          <w:sz w:val="24"/>
          <w:szCs w:val="24"/>
        </w:rPr>
        <w:t>Logging and Recovery:</w:t>
      </w:r>
      <w:r w:rsidRPr="00F41A04">
        <w:rPr>
          <w:rFonts w:ascii="Arial" w:hAnsi="Arial" w:cs="Arial"/>
          <w:sz w:val="24"/>
          <w:szCs w:val="24"/>
        </w:rPr>
        <w:t xml:space="preserve"> To ensure durability, databases use logging mechanisms to record changes made by transactions. In the event of a system failure, these logs can be used to recover the database to a consistent state.</w:t>
      </w:r>
    </w:p>
    <w:p w14:paraId="131059B7" w14:textId="77777777" w:rsidR="00494012" w:rsidRPr="00F41A04" w:rsidRDefault="00494012" w:rsidP="00494012">
      <w:pPr>
        <w:numPr>
          <w:ilvl w:val="0"/>
          <w:numId w:val="2"/>
        </w:numPr>
        <w:jc w:val="both"/>
        <w:rPr>
          <w:rFonts w:ascii="Arial" w:hAnsi="Arial" w:cs="Arial"/>
          <w:sz w:val="24"/>
          <w:szCs w:val="24"/>
        </w:rPr>
      </w:pPr>
      <w:r w:rsidRPr="00F41A04">
        <w:rPr>
          <w:rFonts w:ascii="Arial" w:hAnsi="Arial" w:cs="Arial"/>
          <w:b/>
          <w:bCs/>
          <w:sz w:val="24"/>
          <w:szCs w:val="24"/>
        </w:rPr>
        <w:t>Transaction Design:</w:t>
      </w:r>
      <w:r w:rsidRPr="00F41A04">
        <w:rPr>
          <w:rFonts w:ascii="Arial" w:hAnsi="Arial" w:cs="Arial"/>
          <w:sz w:val="24"/>
          <w:szCs w:val="24"/>
        </w:rPr>
        <w:t xml:space="preserve"> Careful design of transactions and breaking down complex operations into smaller, atomic units can help in achieving a balance between atomicity, consistency, and performance.</w:t>
      </w:r>
    </w:p>
    <w:p w14:paraId="754E89EF" w14:textId="77777777" w:rsidR="00494012" w:rsidRPr="00F41A04" w:rsidRDefault="00494012" w:rsidP="00494012">
      <w:pPr>
        <w:numPr>
          <w:ilvl w:val="0"/>
          <w:numId w:val="2"/>
        </w:numPr>
        <w:jc w:val="both"/>
        <w:rPr>
          <w:rFonts w:ascii="Arial" w:hAnsi="Arial" w:cs="Arial"/>
          <w:sz w:val="24"/>
          <w:szCs w:val="24"/>
        </w:rPr>
      </w:pPr>
      <w:r w:rsidRPr="00F41A04">
        <w:rPr>
          <w:rFonts w:ascii="Arial" w:hAnsi="Arial" w:cs="Arial"/>
          <w:b/>
          <w:bCs/>
          <w:sz w:val="24"/>
          <w:szCs w:val="24"/>
        </w:rPr>
        <w:t>System Architecture:</w:t>
      </w:r>
      <w:r w:rsidRPr="00F41A04">
        <w:rPr>
          <w:rFonts w:ascii="Arial" w:hAnsi="Arial" w:cs="Arial"/>
          <w:sz w:val="24"/>
          <w:szCs w:val="24"/>
        </w:rPr>
        <w:t xml:space="preserve"> The overall architecture of the database system, including the use of caching, replication, and distributed transactions, can impact the trade-off between ACID properties and system performance.</w:t>
      </w:r>
    </w:p>
    <w:p w14:paraId="610E8876" w14:textId="77777777" w:rsidR="00494012" w:rsidRPr="00F41A04" w:rsidRDefault="00494012" w:rsidP="00494012">
      <w:pPr>
        <w:jc w:val="both"/>
        <w:rPr>
          <w:rFonts w:ascii="Arial" w:hAnsi="Arial" w:cs="Arial"/>
          <w:sz w:val="24"/>
          <w:szCs w:val="24"/>
        </w:rPr>
      </w:pPr>
      <w:r w:rsidRPr="00F41A04">
        <w:rPr>
          <w:rFonts w:ascii="Arial" w:hAnsi="Arial" w:cs="Arial"/>
          <w:sz w:val="24"/>
          <w:szCs w:val="24"/>
        </w:rPr>
        <w:t>Balancing these properties often involves making trade-offs based on the specific requirements and characteristics of the application and the underlying infrastructure. Different applications may prioritize these properties differently based on factors like performance, scalability, and fault tolerance.</w:t>
      </w:r>
    </w:p>
    <w:p w14:paraId="059613C7" w14:textId="77777777" w:rsidR="00494012" w:rsidRPr="00F41A04" w:rsidRDefault="00494012" w:rsidP="00494012">
      <w:pPr>
        <w:jc w:val="both"/>
        <w:rPr>
          <w:rFonts w:ascii="Arial" w:hAnsi="Arial" w:cs="Arial"/>
          <w:vanish/>
          <w:sz w:val="24"/>
          <w:szCs w:val="24"/>
        </w:rPr>
      </w:pPr>
      <w:r w:rsidRPr="00F41A04">
        <w:rPr>
          <w:rFonts w:ascii="Arial" w:hAnsi="Arial" w:cs="Arial"/>
          <w:vanish/>
          <w:sz w:val="24"/>
          <w:szCs w:val="24"/>
        </w:rPr>
        <w:t>Top of Form</w:t>
      </w:r>
    </w:p>
    <w:p w14:paraId="592735CC" w14:textId="77777777" w:rsidR="00434C2D" w:rsidRPr="00F41A04" w:rsidRDefault="00434C2D" w:rsidP="00494012">
      <w:pPr>
        <w:jc w:val="both"/>
        <w:rPr>
          <w:rFonts w:ascii="Arial" w:hAnsi="Arial" w:cs="Arial"/>
          <w:sz w:val="24"/>
          <w:szCs w:val="24"/>
        </w:rPr>
      </w:pPr>
    </w:p>
    <w:sectPr w:rsidR="00434C2D" w:rsidRPr="00F4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BE4"/>
    <w:multiLevelType w:val="multilevel"/>
    <w:tmpl w:val="C70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883D13"/>
    <w:multiLevelType w:val="multilevel"/>
    <w:tmpl w:val="A54AA23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95314345">
    <w:abstractNumId w:val="1"/>
  </w:num>
  <w:num w:numId="2" w16cid:durableId="21404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12"/>
    <w:rsid w:val="00434C2D"/>
    <w:rsid w:val="00494012"/>
    <w:rsid w:val="00F41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6731"/>
  <w15:chartTrackingRefBased/>
  <w15:docId w15:val="{A49DC33D-CEE4-4854-B6C1-27E72CF6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453">
      <w:bodyDiv w:val="1"/>
      <w:marLeft w:val="0"/>
      <w:marRight w:val="0"/>
      <w:marTop w:val="0"/>
      <w:marBottom w:val="0"/>
      <w:divBdr>
        <w:top w:val="none" w:sz="0" w:space="0" w:color="auto"/>
        <w:left w:val="none" w:sz="0" w:space="0" w:color="auto"/>
        <w:bottom w:val="none" w:sz="0" w:space="0" w:color="auto"/>
        <w:right w:val="none" w:sz="0" w:space="0" w:color="auto"/>
      </w:divBdr>
      <w:divsChild>
        <w:div w:id="1611158540">
          <w:marLeft w:val="0"/>
          <w:marRight w:val="0"/>
          <w:marTop w:val="0"/>
          <w:marBottom w:val="0"/>
          <w:divBdr>
            <w:top w:val="single" w:sz="2" w:space="0" w:color="D9D9E3"/>
            <w:left w:val="single" w:sz="2" w:space="0" w:color="D9D9E3"/>
            <w:bottom w:val="single" w:sz="2" w:space="0" w:color="D9D9E3"/>
            <w:right w:val="single" w:sz="2" w:space="0" w:color="D9D9E3"/>
          </w:divBdr>
          <w:divsChild>
            <w:div w:id="1390111767">
              <w:marLeft w:val="0"/>
              <w:marRight w:val="0"/>
              <w:marTop w:val="0"/>
              <w:marBottom w:val="0"/>
              <w:divBdr>
                <w:top w:val="single" w:sz="2" w:space="0" w:color="D9D9E3"/>
                <w:left w:val="single" w:sz="2" w:space="0" w:color="D9D9E3"/>
                <w:bottom w:val="single" w:sz="2" w:space="0" w:color="D9D9E3"/>
                <w:right w:val="single" w:sz="2" w:space="0" w:color="D9D9E3"/>
              </w:divBdr>
              <w:divsChild>
                <w:div w:id="1746027330">
                  <w:marLeft w:val="0"/>
                  <w:marRight w:val="0"/>
                  <w:marTop w:val="0"/>
                  <w:marBottom w:val="0"/>
                  <w:divBdr>
                    <w:top w:val="single" w:sz="2" w:space="0" w:color="D9D9E3"/>
                    <w:left w:val="single" w:sz="2" w:space="0" w:color="D9D9E3"/>
                    <w:bottom w:val="single" w:sz="2" w:space="0" w:color="D9D9E3"/>
                    <w:right w:val="single" w:sz="2" w:space="0" w:color="D9D9E3"/>
                  </w:divBdr>
                  <w:divsChild>
                    <w:div w:id="958875766">
                      <w:marLeft w:val="0"/>
                      <w:marRight w:val="0"/>
                      <w:marTop w:val="0"/>
                      <w:marBottom w:val="0"/>
                      <w:divBdr>
                        <w:top w:val="single" w:sz="2" w:space="0" w:color="D9D9E3"/>
                        <w:left w:val="single" w:sz="2" w:space="0" w:color="D9D9E3"/>
                        <w:bottom w:val="single" w:sz="2" w:space="0" w:color="D9D9E3"/>
                        <w:right w:val="single" w:sz="2" w:space="0" w:color="D9D9E3"/>
                      </w:divBdr>
                      <w:divsChild>
                        <w:div w:id="1582593597">
                          <w:marLeft w:val="0"/>
                          <w:marRight w:val="0"/>
                          <w:marTop w:val="0"/>
                          <w:marBottom w:val="0"/>
                          <w:divBdr>
                            <w:top w:val="none" w:sz="0" w:space="0" w:color="auto"/>
                            <w:left w:val="none" w:sz="0" w:space="0" w:color="auto"/>
                            <w:bottom w:val="none" w:sz="0" w:space="0" w:color="auto"/>
                            <w:right w:val="none" w:sz="0" w:space="0" w:color="auto"/>
                          </w:divBdr>
                          <w:divsChild>
                            <w:div w:id="9645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0711">
                                  <w:marLeft w:val="0"/>
                                  <w:marRight w:val="0"/>
                                  <w:marTop w:val="0"/>
                                  <w:marBottom w:val="0"/>
                                  <w:divBdr>
                                    <w:top w:val="single" w:sz="2" w:space="0" w:color="D9D9E3"/>
                                    <w:left w:val="single" w:sz="2" w:space="0" w:color="D9D9E3"/>
                                    <w:bottom w:val="single" w:sz="2" w:space="0" w:color="D9D9E3"/>
                                    <w:right w:val="single" w:sz="2" w:space="0" w:color="D9D9E3"/>
                                  </w:divBdr>
                                  <w:divsChild>
                                    <w:div w:id="1564179031">
                                      <w:marLeft w:val="0"/>
                                      <w:marRight w:val="0"/>
                                      <w:marTop w:val="0"/>
                                      <w:marBottom w:val="0"/>
                                      <w:divBdr>
                                        <w:top w:val="single" w:sz="2" w:space="0" w:color="D9D9E3"/>
                                        <w:left w:val="single" w:sz="2" w:space="0" w:color="D9D9E3"/>
                                        <w:bottom w:val="single" w:sz="2" w:space="0" w:color="D9D9E3"/>
                                        <w:right w:val="single" w:sz="2" w:space="0" w:color="D9D9E3"/>
                                      </w:divBdr>
                                      <w:divsChild>
                                        <w:div w:id="1405225427">
                                          <w:marLeft w:val="0"/>
                                          <w:marRight w:val="0"/>
                                          <w:marTop w:val="0"/>
                                          <w:marBottom w:val="0"/>
                                          <w:divBdr>
                                            <w:top w:val="single" w:sz="2" w:space="0" w:color="D9D9E3"/>
                                            <w:left w:val="single" w:sz="2" w:space="0" w:color="D9D9E3"/>
                                            <w:bottom w:val="single" w:sz="2" w:space="0" w:color="D9D9E3"/>
                                            <w:right w:val="single" w:sz="2" w:space="0" w:color="D9D9E3"/>
                                          </w:divBdr>
                                          <w:divsChild>
                                            <w:div w:id="1404794433">
                                              <w:marLeft w:val="0"/>
                                              <w:marRight w:val="0"/>
                                              <w:marTop w:val="0"/>
                                              <w:marBottom w:val="0"/>
                                              <w:divBdr>
                                                <w:top w:val="single" w:sz="2" w:space="0" w:color="D9D9E3"/>
                                                <w:left w:val="single" w:sz="2" w:space="0" w:color="D9D9E3"/>
                                                <w:bottom w:val="single" w:sz="2" w:space="0" w:color="D9D9E3"/>
                                                <w:right w:val="single" w:sz="2" w:space="0" w:color="D9D9E3"/>
                                              </w:divBdr>
                                              <w:divsChild>
                                                <w:div w:id="398989456">
                                                  <w:marLeft w:val="0"/>
                                                  <w:marRight w:val="0"/>
                                                  <w:marTop w:val="0"/>
                                                  <w:marBottom w:val="0"/>
                                                  <w:divBdr>
                                                    <w:top w:val="single" w:sz="2" w:space="0" w:color="D9D9E3"/>
                                                    <w:left w:val="single" w:sz="2" w:space="0" w:color="D9D9E3"/>
                                                    <w:bottom w:val="single" w:sz="2" w:space="0" w:color="D9D9E3"/>
                                                    <w:right w:val="single" w:sz="2" w:space="0" w:color="D9D9E3"/>
                                                  </w:divBdr>
                                                  <w:divsChild>
                                                    <w:div w:id="8565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684169">
          <w:marLeft w:val="0"/>
          <w:marRight w:val="0"/>
          <w:marTop w:val="0"/>
          <w:marBottom w:val="0"/>
          <w:divBdr>
            <w:top w:val="none" w:sz="0" w:space="0" w:color="auto"/>
            <w:left w:val="none" w:sz="0" w:space="0" w:color="auto"/>
            <w:bottom w:val="none" w:sz="0" w:space="0" w:color="auto"/>
            <w:right w:val="none" w:sz="0" w:space="0" w:color="auto"/>
          </w:divBdr>
        </w:div>
      </w:divsChild>
    </w:div>
    <w:div w:id="1910769942">
      <w:bodyDiv w:val="1"/>
      <w:marLeft w:val="0"/>
      <w:marRight w:val="0"/>
      <w:marTop w:val="0"/>
      <w:marBottom w:val="0"/>
      <w:divBdr>
        <w:top w:val="none" w:sz="0" w:space="0" w:color="auto"/>
        <w:left w:val="none" w:sz="0" w:space="0" w:color="auto"/>
        <w:bottom w:val="none" w:sz="0" w:space="0" w:color="auto"/>
        <w:right w:val="none" w:sz="0" w:space="0" w:color="auto"/>
      </w:divBdr>
      <w:divsChild>
        <w:div w:id="1738167817">
          <w:marLeft w:val="0"/>
          <w:marRight w:val="0"/>
          <w:marTop w:val="0"/>
          <w:marBottom w:val="0"/>
          <w:divBdr>
            <w:top w:val="single" w:sz="2" w:space="0" w:color="D9D9E3"/>
            <w:left w:val="single" w:sz="2" w:space="0" w:color="D9D9E3"/>
            <w:bottom w:val="single" w:sz="2" w:space="0" w:color="D9D9E3"/>
            <w:right w:val="single" w:sz="2" w:space="0" w:color="D9D9E3"/>
          </w:divBdr>
          <w:divsChild>
            <w:div w:id="942152705">
              <w:marLeft w:val="0"/>
              <w:marRight w:val="0"/>
              <w:marTop w:val="0"/>
              <w:marBottom w:val="0"/>
              <w:divBdr>
                <w:top w:val="single" w:sz="2" w:space="0" w:color="D9D9E3"/>
                <w:left w:val="single" w:sz="2" w:space="0" w:color="D9D9E3"/>
                <w:bottom w:val="single" w:sz="2" w:space="0" w:color="D9D9E3"/>
                <w:right w:val="single" w:sz="2" w:space="0" w:color="D9D9E3"/>
              </w:divBdr>
              <w:divsChild>
                <w:div w:id="230191694">
                  <w:marLeft w:val="0"/>
                  <w:marRight w:val="0"/>
                  <w:marTop w:val="0"/>
                  <w:marBottom w:val="0"/>
                  <w:divBdr>
                    <w:top w:val="single" w:sz="2" w:space="0" w:color="D9D9E3"/>
                    <w:left w:val="single" w:sz="2" w:space="0" w:color="D9D9E3"/>
                    <w:bottom w:val="single" w:sz="2" w:space="0" w:color="D9D9E3"/>
                    <w:right w:val="single" w:sz="2" w:space="0" w:color="D9D9E3"/>
                  </w:divBdr>
                  <w:divsChild>
                    <w:div w:id="481431770">
                      <w:marLeft w:val="0"/>
                      <w:marRight w:val="0"/>
                      <w:marTop w:val="0"/>
                      <w:marBottom w:val="0"/>
                      <w:divBdr>
                        <w:top w:val="single" w:sz="2" w:space="0" w:color="D9D9E3"/>
                        <w:left w:val="single" w:sz="2" w:space="0" w:color="D9D9E3"/>
                        <w:bottom w:val="single" w:sz="2" w:space="0" w:color="D9D9E3"/>
                        <w:right w:val="single" w:sz="2" w:space="0" w:color="D9D9E3"/>
                      </w:divBdr>
                      <w:divsChild>
                        <w:div w:id="825586383">
                          <w:marLeft w:val="0"/>
                          <w:marRight w:val="0"/>
                          <w:marTop w:val="0"/>
                          <w:marBottom w:val="0"/>
                          <w:divBdr>
                            <w:top w:val="none" w:sz="0" w:space="0" w:color="auto"/>
                            <w:left w:val="none" w:sz="0" w:space="0" w:color="auto"/>
                            <w:bottom w:val="none" w:sz="0" w:space="0" w:color="auto"/>
                            <w:right w:val="none" w:sz="0" w:space="0" w:color="auto"/>
                          </w:divBdr>
                          <w:divsChild>
                            <w:div w:id="189519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478105">
                                  <w:marLeft w:val="0"/>
                                  <w:marRight w:val="0"/>
                                  <w:marTop w:val="0"/>
                                  <w:marBottom w:val="0"/>
                                  <w:divBdr>
                                    <w:top w:val="single" w:sz="2" w:space="0" w:color="D9D9E3"/>
                                    <w:left w:val="single" w:sz="2" w:space="0" w:color="D9D9E3"/>
                                    <w:bottom w:val="single" w:sz="2" w:space="0" w:color="D9D9E3"/>
                                    <w:right w:val="single" w:sz="2" w:space="0" w:color="D9D9E3"/>
                                  </w:divBdr>
                                  <w:divsChild>
                                    <w:div w:id="1505702581">
                                      <w:marLeft w:val="0"/>
                                      <w:marRight w:val="0"/>
                                      <w:marTop w:val="0"/>
                                      <w:marBottom w:val="0"/>
                                      <w:divBdr>
                                        <w:top w:val="single" w:sz="2" w:space="0" w:color="D9D9E3"/>
                                        <w:left w:val="single" w:sz="2" w:space="0" w:color="D9D9E3"/>
                                        <w:bottom w:val="single" w:sz="2" w:space="0" w:color="D9D9E3"/>
                                        <w:right w:val="single" w:sz="2" w:space="0" w:color="D9D9E3"/>
                                      </w:divBdr>
                                      <w:divsChild>
                                        <w:div w:id="1069963856">
                                          <w:marLeft w:val="0"/>
                                          <w:marRight w:val="0"/>
                                          <w:marTop w:val="0"/>
                                          <w:marBottom w:val="0"/>
                                          <w:divBdr>
                                            <w:top w:val="single" w:sz="2" w:space="0" w:color="D9D9E3"/>
                                            <w:left w:val="single" w:sz="2" w:space="0" w:color="D9D9E3"/>
                                            <w:bottom w:val="single" w:sz="2" w:space="0" w:color="D9D9E3"/>
                                            <w:right w:val="single" w:sz="2" w:space="0" w:color="D9D9E3"/>
                                          </w:divBdr>
                                          <w:divsChild>
                                            <w:div w:id="465313776">
                                              <w:marLeft w:val="0"/>
                                              <w:marRight w:val="0"/>
                                              <w:marTop w:val="0"/>
                                              <w:marBottom w:val="0"/>
                                              <w:divBdr>
                                                <w:top w:val="single" w:sz="2" w:space="0" w:color="D9D9E3"/>
                                                <w:left w:val="single" w:sz="2" w:space="0" w:color="D9D9E3"/>
                                                <w:bottom w:val="single" w:sz="2" w:space="0" w:color="D9D9E3"/>
                                                <w:right w:val="single" w:sz="2" w:space="0" w:color="D9D9E3"/>
                                              </w:divBdr>
                                              <w:divsChild>
                                                <w:div w:id="199049048">
                                                  <w:marLeft w:val="0"/>
                                                  <w:marRight w:val="0"/>
                                                  <w:marTop w:val="0"/>
                                                  <w:marBottom w:val="0"/>
                                                  <w:divBdr>
                                                    <w:top w:val="single" w:sz="2" w:space="0" w:color="D9D9E3"/>
                                                    <w:left w:val="single" w:sz="2" w:space="0" w:color="D9D9E3"/>
                                                    <w:bottom w:val="single" w:sz="2" w:space="0" w:color="D9D9E3"/>
                                                    <w:right w:val="single" w:sz="2" w:space="0" w:color="D9D9E3"/>
                                                  </w:divBdr>
                                                  <w:divsChild>
                                                    <w:div w:id="160295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098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Amarie Martin Oreva-Oghene</dc:creator>
  <cp:keywords/>
  <dc:description/>
  <cp:lastModifiedBy>Tobi Badejo</cp:lastModifiedBy>
  <cp:revision>2</cp:revision>
  <dcterms:created xsi:type="dcterms:W3CDTF">2023-11-19T13:56:00Z</dcterms:created>
  <dcterms:modified xsi:type="dcterms:W3CDTF">2023-12-07T19:39:00Z</dcterms:modified>
</cp:coreProperties>
</file>