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AC7FD9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Pr="002F1B41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proofErr w:type="gramStart"/>
      <w:r w:rsidR="00333061">
        <w:rPr>
          <w:rFonts w:ascii="Times New Roman" w:hAnsi="Times New Roman" w:cs="Times New Roman"/>
          <w:sz w:val="24"/>
          <w:szCs w:val="24"/>
        </w:rPr>
        <w:t>frissítik</w:t>
      </w:r>
      <w:proofErr w:type="gramEnd"/>
      <w:r w:rsidR="00333061">
        <w:rPr>
          <w:rFonts w:ascii="Times New Roman" w:hAnsi="Times New Roman" w:cs="Times New Roman"/>
          <w:sz w:val="24"/>
          <w:szCs w:val="24"/>
        </w:rPr>
        <w:t xml:space="preserve">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D0846" w:rsidRDefault="006D0846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 xml:space="preserve">szöveges formátumban kell készülnie úgy, hogy könnyen értelmezhető legyen a felhasználó számára. Tartalmaznia kell egyaránt a sikeres és sikertelen </w:t>
      </w:r>
      <w:r w:rsidR="005A01F6">
        <w:rPr>
          <w:rFonts w:ascii="Times New Roman" w:hAnsi="Times New Roman" w:cs="Times New Roman"/>
          <w:sz w:val="24"/>
          <w:szCs w:val="24"/>
        </w:rPr>
        <w:lastRenderedPageBreak/>
        <w:t>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  <w:proofErr w:type="spellEnd"/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2F4354" w:rsidRPr="003C7250" w:rsidRDefault="002F4354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2F4354" w:rsidRPr="003C7250" w:rsidRDefault="008C0C4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ÁBRA: </w:t>
      </w:r>
      <w:r w:rsidR="002F4354" w:rsidRPr="003C7250">
        <w:rPr>
          <w:rFonts w:ascii="Times New Roman" w:hAnsi="Times New Roman" w:cs="Times New Roman"/>
          <w:sz w:val="24"/>
          <w:szCs w:val="24"/>
        </w:rPr>
        <w:t xml:space="preserve">PG </w:t>
      </w:r>
      <w:proofErr w:type="spellStart"/>
      <w:r w:rsidR="002F4354" w:rsidRPr="003C725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F4354" w:rsidRPr="003C7250">
        <w:rPr>
          <w:rFonts w:ascii="Times New Roman" w:hAnsi="Times New Roman" w:cs="Times New Roman"/>
          <w:sz w:val="24"/>
          <w:szCs w:val="24"/>
        </w:rPr>
        <w:t xml:space="preserve"> képernyőkép</w:t>
      </w:r>
    </w:p>
    <w:p w:rsidR="002F4354" w:rsidRPr="003C7250" w:rsidRDefault="002F4354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virtuális gép (Java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 w:rsidR="008C0C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C0C42">
        <w:rPr>
          <w:rFonts w:ascii="Times New Roman" w:hAnsi="Times New Roman" w:cs="Times New Roman"/>
          <w:sz w:val="24"/>
          <w:szCs w:val="24"/>
        </w:rPr>
        <w:t xml:space="preserve">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8C0C42" w:rsidRPr="003C7250" w:rsidRDefault="008C0C4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példakód a tervezéshez</w:t>
      </w:r>
      <w:r w:rsidR="001A5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50B3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="001A50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A50B3"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 w:rsidR="001A5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0B3">
        <w:rPr>
          <w:rFonts w:ascii="Times New Roman" w:hAnsi="Times New Roman" w:cs="Times New Roman"/>
          <w:sz w:val="24"/>
          <w:szCs w:val="24"/>
        </w:rPr>
        <w:t>statement</w:t>
      </w:r>
      <w:proofErr w:type="spellEnd"/>
    </w:p>
    <w:p w:rsidR="003C7250" w:rsidRPr="003C7250" w:rsidRDefault="008C0C4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ÁBRA: </w:t>
      </w:r>
      <w:r w:rsidR="003C7250" w:rsidRPr="003C7250">
        <w:rPr>
          <w:rFonts w:ascii="Times New Roman" w:hAnsi="Times New Roman" w:cs="Times New Roman"/>
          <w:sz w:val="24"/>
          <w:szCs w:val="24"/>
        </w:rPr>
        <w:t>JDBC működési elve</w:t>
      </w:r>
    </w:p>
    <w:p w:rsidR="003C7250" w:rsidRP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  <w:proofErr w:type="spellEnd"/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leírhatók az objektumok pozíciója és egyéb tulajdonságaik. Minden objektumhoz megadható 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 w:rsidR="0050235D">
        <w:rPr>
          <w:rFonts w:ascii="Times New Roman" w:hAnsi="Times New Roman" w:cs="Times New Roman"/>
          <w:sz w:val="24"/>
          <w:szCs w:val="24"/>
        </w:rPr>
        <w:t>audió</w:t>
      </w:r>
      <w:proofErr w:type="spellEnd"/>
      <w:r w:rsidR="0050235D"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Commons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  <w:proofErr w:type="spellEnd"/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proofErr w:type="gramStart"/>
      <w:r w:rsidR="003233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33C1">
        <w:rPr>
          <w:rFonts w:ascii="Times New Roman" w:hAnsi="Times New Roman" w:cs="Times New Roman"/>
          <w:sz w:val="24"/>
          <w:szCs w:val="24"/>
        </w:rPr>
        <w:t xml:space="preserve">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USE-CASE DIAGRAM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hozzá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kis szöveg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lastRenderedPageBreak/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EE02B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5A3D9D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n</w:t>
      </w:r>
      <w:r w:rsidRPr="005A3D9D">
        <w:rPr>
          <w:rFonts w:ascii="Times New Roman" w:hAnsi="Times New Roman" w:cs="Times New Roman"/>
          <w:sz w:val="24"/>
          <w:szCs w:val="24"/>
        </w:rPr>
        <w:t>aplózás vezérlő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>rán csak a meglévő adatbázisok 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</w:t>
      </w:r>
      <w:r w:rsidR="006A6C63">
        <w:rPr>
          <w:rFonts w:ascii="Times New Roman" w:hAnsi="Times New Roman" w:cs="Times New Roman"/>
          <w:sz w:val="24"/>
          <w:szCs w:val="24"/>
        </w:rPr>
        <w:lastRenderedPageBreak/>
        <w:t>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256018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686F">
        <w:rPr>
          <w:rFonts w:ascii="Times New Roman" w:hAnsi="Times New Roman" w:cs="Times New Roman"/>
          <w:b/>
          <w:sz w:val="24"/>
          <w:szCs w:val="24"/>
        </w:rPr>
        <w:lastRenderedPageBreak/>
        <w:t>Food</w:t>
      </w:r>
      <w:proofErr w:type="spellEnd"/>
      <w:r w:rsidRPr="000468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686F">
        <w:rPr>
          <w:rFonts w:ascii="Times New Roman" w:hAnsi="Times New Roman" w:cs="Times New Roman"/>
          <w:b/>
          <w:sz w:val="24"/>
          <w:szCs w:val="24"/>
        </w:rPr>
        <w:t>Description</w:t>
      </w:r>
      <w:proofErr w:type="spellEnd"/>
      <w:r w:rsidRPr="0004686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686F">
        <w:rPr>
          <w:rFonts w:ascii="Times New Roman" w:hAnsi="Times New Roman" w:cs="Times New Roman"/>
          <w:b/>
          <w:sz w:val="24"/>
          <w:szCs w:val="24"/>
        </w:rPr>
        <w:t>Nutrient</w:t>
      </w:r>
      <w:proofErr w:type="spellEnd"/>
      <w:r w:rsidRPr="0004686F">
        <w:rPr>
          <w:rFonts w:ascii="Times New Roman" w:hAnsi="Times New Roman" w:cs="Times New Roman"/>
          <w:b/>
          <w:sz w:val="24"/>
          <w:szCs w:val="24"/>
        </w:rPr>
        <w:t xml:space="preserve"> Data, </w:t>
      </w:r>
      <w:proofErr w:type="spellStart"/>
      <w:r w:rsidRPr="0004686F">
        <w:rPr>
          <w:rFonts w:ascii="Times New Roman" w:hAnsi="Times New Roman" w:cs="Times New Roman"/>
          <w:b/>
          <w:sz w:val="24"/>
          <w:szCs w:val="24"/>
        </w:rPr>
        <w:t>Weight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56205A" w:rsidP="005620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p w:rsidR="00FB47D3" w:rsidRDefault="00FB47D3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NDB_No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grammban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04686F">
        <w:trPr>
          <w:jc w:val="center"/>
        </w:trPr>
        <w:tc>
          <w:tcPr>
            <w:tcW w:w="1950" w:type="dxa"/>
          </w:tcPr>
          <w:p w:rsidR="00215BF7" w:rsidRPr="0004686F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</w:tcPr>
          <w:p w:rsidR="00215BF7" w:rsidRPr="0004686F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04686F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FB47D3" w:rsidP="00EC1C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tápanyagokra vonatkozó értékeket és információkat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FB47D3" w:rsidRDefault="00FB47D3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F420DB">
        <w:trPr>
          <w:jc w:val="center"/>
        </w:trPr>
        <w:tc>
          <w:tcPr>
            <w:tcW w:w="1803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F420DB">
        <w:trPr>
          <w:jc w:val="center"/>
        </w:trPr>
        <w:tc>
          <w:tcPr>
            <w:tcW w:w="1803" w:type="dxa"/>
          </w:tcPr>
          <w:p w:rsidR="00215BF7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</w:tcPr>
          <w:p w:rsidR="00215BF7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Std_Dev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FB47D3" w:rsidP="00EC1C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200196" w:rsidRDefault="00200196" w:rsidP="00EC1C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994B8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994B8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SR28 darabszám</w:t>
      </w:r>
      <w:r w:rsidR="00200196">
        <w:rPr>
          <w:rFonts w:ascii="Times New Roman" w:hAnsi="Times New Roman" w:cs="Times New Roman"/>
          <w:sz w:val="24"/>
          <w:szCs w:val="24"/>
        </w:rPr>
        <w:t xml:space="preserve"> (adatbázisok bemutatása után)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P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0503BC" w:rsidRP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0B583E" w:rsidRPr="00AA6491" w:rsidRDefault="000B583E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  <w:proofErr w:type="spellEnd"/>
    </w:p>
    <w:p w:rsidR="00290257" w:rsidRDefault="0029025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290257" w:rsidRDefault="0029025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kapott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 adatok,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kezelőfelet, tanulmányozás</w:t>
      </w:r>
    </w:p>
    <w:p w:rsidR="00290257" w:rsidRDefault="0029025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200196" w:rsidRDefault="00200196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>ennek 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Az adatbázis struktúráját a következő ábra mutatja be.</w:t>
      </w:r>
    </w:p>
    <w:p w:rsidR="0016790A" w:rsidRDefault="0016790A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790A" w:rsidRDefault="0016790A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16790A" w:rsidRDefault="0016790A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ER modell</w:t>
      </w:r>
    </w:p>
    <w:p w:rsidR="0016790A" w:rsidRDefault="0016790A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Food_Source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0E55BD">
        <w:rPr>
          <w:rFonts w:ascii="Times New Roman" w:hAnsi="Times New Roman" w:cs="Times New Roman"/>
          <w:sz w:val="24"/>
          <w:szCs w:val="24"/>
        </w:rPr>
        <w:t>Food_content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0E55BD">
        <w:rPr>
          <w:rFonts w:ascii="Times New Roman" w:hAnsi="Times New Roman" w:cs="Times New Roman"/>
          <w:sz w:val="24"/>
          <w:szCs w:val="24"/>
        </w:rPr>
        <w:t>Food_units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>egy egységnyi étel súlyát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mértékegységrendszer helyett, az USDA adatbázisa is metrikus, más néven SI mértékegységrendszert használ. Így az efféle 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Pr="00E44F63" w:rsidRDefault="00E44F63" w:rsidP="0029025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4F63">
        <w:rPr>
          <w:rFonts w:ascii="Times New Roman" w:hAnsi="Times New Roman" w:cs="Times New Roman"/>
          <w:b/>
          <w:i/>
          <w:sz w:val="24"/>
          <w:szCs w:val="24"/>
          <w:u w:val="single"/>
        </w:rPr>
        <w:t>Modulok</w:t>
      </w:r>
    </w:p>
    <w:p w:rsidR="00E44F63" w:rsidRDefault="00693059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3059" w:rsidRDefault="00693059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3059" w:rsidRPr="00E44F63" w:rsidRDefault="00693059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790A" w:rsidRDefault="0016790A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Pr="00C01E47" w:rsidRDefault="005F4A7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5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Megvalósítás</w:t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Tesztelés</w:t>
      </w:r>
    </w:p>
    <w:p w:rsidR="003C7250" w:rsidRDefault="003C7250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verifikáció,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validáció</w:t>
      </w:r>
      <w:proofErr w:type="spellEnd"/>
    </w:p>
    <w:p w:rsidR="000960ED" w:rsidRPr="003C7250" w:rsidRDefault="000960ED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sectPr w:rsidR="000960ED" w:rsidRPr="003C7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17151"/>
    <w:rsid w:val="00040B52"/>
    <w:rsid w:val="0004686F"/>
    <w:rsid w:val="000503BC"/>
    <w:rsid w:val="0005770E"/>
    <w:rsid w:val="000642F3"/>
    <w:rsid w:val="000960ED"/>
    <w:rsid w:val="000B102A"/>
    <w:rsid w:val="000B1753"/>
    <w:rsid w:val="000B583E"/>
    <w:rsid w:val="000B66A8"/>
    <w:rsid w:val="000C7345"/>
    <w:rsid w:val="000E55BD"/>
    <w:rsid w:val="00102353"/>
    <w:rsid w:val="00111451"/>
    <w:rsid w:val="00126F57"/>
    <w:rsid w:val="001329A1"/>
    <w:rsid w:val="0016790A"/>
    <w:rsid w:val="001A3C5E"/>
    <w:rsid w:val="001A50B3"/>
    <w:rsid w:val="001D4173"/>
    <w:rsid w:val="00200196"/>
    <w:rsid w:val="00204125"/>
    <w:rsid w:val="0021094F"/>
    <w:rsid w:val="00215BF7"/>
    <w:rsid w:val="00230E45"/>
    <w:rsid w:val="0025263C"/>
    <w:rsid w:val="00256018"/>
    <w:rsid w:val="00272915"/>
    <w:rsid w:val="00287782"/>
    <w:rsid w:val="00290257"/>
    <w:rsid w:val="0029029D"/>
    <w:rsid w:val="002947E1"/>
    <w:rsid w:val="002B49CE"/>
    <w:rsid w:val="002C09A9"/>
    <w:rsid w:val="002F1B41"/>
    <w:rsid w:val="002F41C6"/>
    <w:rsid w:val="002F4354"/>
    <w:rsid w:val="0030176F"/>
    <w:rsid w:val="00306B07"/>
    <w:rsid w:val="003233C1"/>
    <w:rsid w:val="0032567C"/>
    <w:rsid w:val="00333061"/>
    <w:rsid w:val="003369D2"/>
    <w:rsid w:val="003461E9"/>
    <w:rsid w:val="0037781D"/>
    <w:rsid w:val="003B6E13"/>
    <w:rsid w:val="003B7154"/>
    <w:rsid w:val="003C4757"/>
    <w:rsid w:val="003C6C88"/>
    <w:rsid w:val="003C7250"/>
    <w:rsid w:val="003D5C25"/>
    <w:rsid w:val="003E629C"/>
    <w:rsid w:val="004066C6"/>
    <w:rsid w:val="0042468A"/>
    <w:rsid w:val="004511A8"/>
    <w:rsid w:val="00455047"/>
    <w:rsid w:val="0045705D"/>
    <w:rsid w:val="00470B00"/>
    <w:rsid w:val="004953E4"/>
    <w:rsid w:val="004B00BE"/>
    <w:rsid w:val="004E0F2D"/>
    <w:rsid w:val="004E2A1F"/>
    <w:rsid w:val="004E4FEF"/>
    <w:rsid w:val="004F06F2"/>
    <w:rsid w:val="0050235D"/>
    <w:rsid w:val="005135CE"/>
    <w:rsid w:val="0056205A"/>
    <w:rsid w:val="0056293C"/>
    <w:rsid w:val="00563354"/>
    <w:rsid w:val="00572E1E"/>
    <w:rsid w:val="00573501"/>
    <w:rsid w:val="00581976"/>
    <w:rsid w:val="00587BE0"/>
    <w:rsid w:val="005A01F6"/>
    <w:rsid w:val="005A3D9D"/>
    <w:rsid w:val="005B6CB2"/>
    <w:rsid w:val="005E2517"/>
    <w:rsid w:val="005F4A7A"/>
    <w:rsid w:val="00604349"/>
    <w:rsid w:val="006232DB"/>
    <w:rsid w:val="00637D8C"/>
    <w:rsid w:val="0066139C"/>
    <w:rsid w:val="00667354"/>
    <w:rsid w:val="00690E34"/>
    <w:rsid w:val="00693059"/>
    <w:rsid w:val="00694E73"/>
    <w:rsid w:val="006A6C63"/>
    <w:rsid w:val="006B290E"/>
    <w:rsid w:val="006D0846"/>
    <w:rsid w:val="0070433F"/>
    <w:rsid w:val="00721DF6"/>
    <w:rsid w:val="007323D1"/>
    <w:rsid w:val="00754294"/>
    <w:rsid w:val="00755AF7"/>
    <w:rsid w:val="0078161C"/>
    <w:rsid w:val="00797432"/>
    <w:rsid w:val="007A25BC"/>
    <w:rsid w:val="007C37A0"/>
    <w:rsid w:val="007D2E85"/>
    <w:rsid w:val="007D6CCF"/>
    <w:rsid w:val="007E0D9D"/>
    <w:rsid w:val="007F293D"/>
    <w:rsid w:val="0083257A"/>
    <w:rsid w:val="00840D12"/>
    <w:rsid w:val="00843EE2"/>
    <w:rsid w:val="008B07B9"/>
    <w:rsid w:val="008B3446"/>
    <w:rsid w:val="008C0C42"/>
    <w:rsid w:val="008C2C61"/>
    <w:rsid w:val="008E4856"/>
    <w:rsid w:val="009614A9"/>
    <w:rsid w:val="00962DD6"/>
    <w:rsid w:val="00994B85"/>
    <w:rsid w:val="009C2707"/>
    <w:rsid w:val="009C5273"/>
    <w:rsid w:val="009E462A"/>
    <w:rsid w:val="00A03CCF"/>
    <w:rsid w:val="00A24600"/>
    <w:rsid w:val="00A46E2E"/>
    <w:rsid w:val="00AA6491"/>
    <w:rsid w:val="00AB65A2"/>
    <w:rsid w:val="00AF6695"/>
    <w:rsid w:val="00B05912"/>
    <w:rsid w:val="00B46F5B"/>
    <w:rsid w:val="00B5562D"/>
    <w:rsid w:val="00B6184E"/>
    <w:rsid w:val="00B62780"/>
    <w:rsid w:val="00B636C8"/>
    <w:rsid w:val="00B63FCE"/>
    <w:rsid w:val="00B72631"/>
    <w:rsid w:val="00BC4856"/>
    <w:rsid w:val="00BC61FC"/>
    <w:rsid w:val="00BC6DED"/>
    <w:rsid w:val="00BD75C2"/>
    <w:rsid w:val="00C01E47"/>
    <w:rsid w:val="00C02B50"/>
    <w:rsid w:val="00C1367B"/>
    <w:rsid w:val="00C23018"/>
    <w:rsid w:val="00C30A5B"/>
    <w:rsid w:val="00C649D7"/>
    <w:rsid w:val="00C6710C"/>
    <w:rsid w:val="00CB2437"/>
    <w:rsid w:val="00CD7789"/>
    <w:rsid w:val="00CE7B98"/>
    <w:rsid w:val="00D13ED6"/>
    <w:rsid w:val="00D26A46"/>
    <w:rsid w:val="00D3337E"/>
    <w:rsid w:val="00D64D90"/>
    <w:rsid w:val="00D67FAA"/>
    <w:rsid w:val="00DA4E70"/>
    <w:rsid w:val="00DB7462"/>
    <w:rsid w:val="00DD4CD2"/>
    <w:rsid w:val="00DF4940"/>
    <w:rsid w:val="00E0700B"/>
    <w:rsid w:val="00E3445E"/>
    <w:rsid w:val="00E37BAD"/>
    <w:rsid w:val="00E44F63"/>
    <w:rsid w:val="00E6016A"/>
    <w:rsid w:val="00E62B9A"/>
    <w:rsid w:val="00E71ABD"/>
    <w:rsid w:val="00E71F61"/>
    <w:rsid w:val="00E834F0"/>
    <w:rsid w:val="00E83ED0"/>
    <w:rsid w:val="00E94397"/>
    <w:rsid w:val="00EB51D9"/>
    <w:rsid w:val="00EB584E"/>
    <w:rsid w:val="00EC1C22"/>
    <w:rsid w:val="00EC3EED"/>
    <w:rsid w:val="00EC60B8"/>
    <w:rsid w:val="00EC7F00"/>
    <w:rsid w:val="00EE2937"/>
    <w:rsid w:val="00F2259E"/>
    <w:rsid w:val="00F420DB"/>
    <w:rsid w:val="00F50381"/>
    <w:rsid w:val="00F6409E"/>
    <w:rsid w:val="00F73D86"/>
    <w:rsid w:val="00F747C4"/>
    <w:rsid w:val="00F762BC"/>
    <w:rsid w:val="00FB47D3"/>
    <w:rsid w:val="00FC0850"/>
    <w:rsid w:val="00F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8A6B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1</Pages>
  <Words>2893</Words>
  <Characters>19962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112</cp:revision>
  <dcterms:created xsi:type="dcterms:W3CDTF">2017-11-01T18:49:00Z</dcterms:created>
  <dcterms:modified xsi:type="dcterms:W3CDTF">2017-11-07T22:31:00Z</dcterms:modified>
</cp:coreProperties>
</file>